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490" w:rsidRDefault="00E25490"/>
    <w:p w:rsidR="00E25490" w:rsidRDefault="00E25490"/>
    <w:p w:rsidR="00E25490" w:rsidRDefault="00E25490"/>
    <w:p w:rsidR="00E25490" w:rsidRDefault="00C61D83">
      <w:r>
        <w:rPr>
          <w:noProof/>
        </w:rPr>
        <w:pict>
          <v:shapetype id="_x0000_t202" coordsize="21600,21600" o:spt="202" path="m,l,21600r21600,l21600,xe">
            <v:stroke joinstyle="miter"/>
            <v:path gradientshapeok="t" o:connecttype="rect"/>
          </v:shapetype>
          <v:shape id="Text Box 2" o:spid="_x0000_s1026" type="#_x0000_t202" style="position:absolute;margin-left:131.3pt;margin-top:11pt;width:364.05pt;height:85.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lcCtwIAALo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jJGgPPXpke4Pu5B5FtjzjoDPwehjAz+zhGFxdqnq4l9U3jYRctlRs2K1ScmwZrYFeaG/6F1cn&#10;HG1B1uNHWUMYujXSAe0b1dvaQTUQoEObnk6tsVQqOCRBFJIYKFZgmyfRu8j1zqfZ8fagtHnPZI/s&#10;IscKWu/Q6e5eG8uGZkcXG0zIkneda38nnh2A43QCseGqtVkWrps/0yBdJauEeCSarTwSFIV3Wy6J&#10;NyvDeVy8K5bLIvxl44Yka3ldM2HDHJUVkj/r3EHjkyZO2tKy47WFs5S02qyXnUI7Csou3edqDpaz&#10;m/+chisC5PIipTAiwV2UeuUsmXukJLGXzoPEC8L0Lp0FJCVF+Tyley7Yv6eExhyncRRPYjqTfpFb&#10;4L7XudGs5wZmR8f7HCcnJ5pZCa5E7VprKO+m9UUpLP1zKaDdx0Y7wVqNTmo1+/UeUKyK17J+Aukq&#10;CcoCfcLAg0Ur1Q+MRhgeOdbft1QxjLoPAuSfhoTYaeM2JJ6DWJG6tKwvLVRUAJVjg9G0XJppQm0H&#10;xTctRJoenJC38GQa7tR8ZnV4aDAgXFKHYWYn0OXeeZ1H7uI3AAAA//8DAFBLAwQUAAYACAAAACEA&#10;d7wHwN8AAAAKAQAADwAAAGRycy9kb3ducmV2LnhtbEyPy07DMBBF90j9B2uQ2FGb0IYmxKkQiC2o&#10;5SGxc+NpEjUeR7HbhL/vdAXL0Rzde26xnlwnTjiE1pOGu7kCgVR521Kt4fPj9XYFIkRD1nSeUMMv&#10;BliXs6vC5NaPtMHTNtaCQyjkRkMTY59LGaoGnQlz3yPxb+8HZyKfQy3tYEYOd51MlEqlMy1xQ2N6&#10;fG6wOmyPTsPX2/7ne6He6xe37Ec/KUkuk1rfXE9PjyAiTvEPhos+q0PJTjt/JBtEpyFJk5RRDYuM&#10;JzCwypYZiB2TD/cKZFnI/xPKMwAAAP//AwBQSwECLQAUAAYACAAAACEAtoM4kv4AAADhAQAAEwAA&#10;AAAAAAAAAAAAAAAAAAAAW0NvbnRlbnRfVHlwZXNdLnhtbFBLAQItABQABgAIAAAAIQA4/SH/1gAA&#10;AJQBAAALAAAAAAAAAAAAAAAAAC8BAABfcmVscy8ucmVsc1BLAQItABQABgAIAAAAIQA4olcCtwIA&#10;ALoFAAAOAAAAAAAAAAAAAAAAAC4CAABkcnMvZTJvRG9jLnhtbFBLAQItABQABgAIAAAAIQB3vAfA&#10;3wAAAAoBAAAPAAAAAAAAAAAAAAAAABEFAABkcnMvZG93bnJldi54bWxQSwUGAAAAAAQABADzAAAA&#10;HQYAAAAA&#10;" filled="f" stroked="f">
            <v:textbox style="mso-next-textbox:#Text Box 2">
              <w:txbxContent>
                <w:p w:rsidR="00AE7619" w:rsidRDefault="00AE7619" w:rsidP="00AE7619">
                  <w:pPr>
                    <w:pStyle w:val="TitleProposal"/>
                    <w:rPr>
                      <w:rFonts w:ascii="Arial Black" w:hAnsi="Arial Black"/>
                      <w:color w:val="auto"/>
                    </w:rPr>
                  </w:pPr>
                  <w:r w:rsidRPr="003A4BA1">
                    <w:rPr>
                      <w:rFonts w:ascii="Arial Black" w:hAnsi="Arial Black"/>
                      <w:color w:val="auto"/>
                    </w:rPr>
                    <w:t xml:space="preserve">2011 </w:t>
                  </w:r>
                  <w:r>
                    <w:rPr>
                      <w:rFonts w:ascii="Arial Black" w:hAnsi="Arial Black"/>
                      <w:color w:val="auto"/>
                    </w:rPr>
                    <w:t>Statewide Evaluation of California Aggregator Demand Response Programs</w:t>
                  </w:r>
                </w:p>
                <w:p w:rsidR="0061332F" w:rsidRPr="00AE7619" w:rsidRDefault="00AE7619" w:rsidP="00AE7619">
                  <w:pPr>
                    <w:pStyle w:val="TitleProposal"/>
                  </w:pPr>
                  <w:r>
                    <w:rPr>
                      <w:rFonts w:ascii="Arial Black" w:hAnsi="Arial Black"/>
                      <w:color w:val="auto"/>
                    </w:rPr>
                    <w:t>Volume I: Ex Post and Ex Ante Impacts</w:t>
                  </w:r>
                </w:p>
              </w:txbxContent>
            </v:textbox>
          </v:shape>
        </w:pict>
      </w:r>
      <w:r>
        <w:rPr>
          <w:noProof/>
        </w:rPr>
        <w:pict>
          <v:shape id="Text Box 6" o:spid="_x0000_s1028" type="#_x0000_t202" style="position:absolute;margin-left:129.95pt;margin-top:367.8pt;width:191.15pt;height:86.6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r1uwIAAMI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A21&#10;CzEStIcaPbK9QXdyj2KbnnHQGWg9DKBn9vAMqi5UPdzL6ptGQi5bKjbsVik5tozW4F5of/oXXycc&#10;bUHW40dZgxm6NdIB7RvV29xBNhCgQ5meTqWxrlTwGJFoHgczjCqQhUGaJpErnk+z4/dBafOeyR7Z&#10;Q44V1N7B0929NtYdmh1VrDUhS951rv6dePYAitMLGIevVmbdcOX8mQbpKlklxCNRvPJIUBTebbkk&#10;XlyG81nxrlgui/CXtRuSrOV1zYQ1c6RWSP6sdAeST6Q4kUvLjtcWzrqk1Wa97BTaUaB26ZZLOkjO&#10;av5zN1wSIJYXIYURCe6i1CvjZO6Rksy8dB4kXhCmd2kckJQU5fOQ7rlg/x4SGnOczqLZxKaz0y9i&#10;C9x6HRvNem5geHS8z3FyUqKZ5eBK1K60hvJuOl+kwrp/TgWU+1hox1hL0omuZr/eu96Ijo2wlvUT&#10;UFhJIBjwFAYfHFqpfmA0whDJsf6+pYph1H0Q0AZpSIidOu5CZnPgLFKXkvWlhIoKoHJsMJqOSzNN&#10;qu2g+KYFS1PjCXkLrdNwR2rbY5NXh4aDQeFiOww1O4ku707rPHoXvwEAAP//AwBQSwMEFAAGAAgA&#10;AAAhAEmhKDPgAAAACwEAAA8AAABkcnMvZG93bnJldi54bWxMj8tOwzAQRfdI/IM1SOyoTWhCEjKp&#10;EIgtqOUhsXPjaRIRj6PYbcLfY1awHN2je89Um8UO4kST7x0jXK8UCOLGmZ5bhLfXp6schA+ajR4c&#10;E8I3edjU52eVLo2beUunXWhFLGFfaoQuhLGU0jcdWe1XbiSO2cFNVod4Tq00k55juR1kolQmre45&#10;LnR6pIeOmq/d0SK8Px8+P9bqpX206Ti7RUm2hUS8vFju70AEWsIfDL/6UR3q6LR3RzZeDAhJWhQR&#10;Rbi9STMQkcjWSQJij1CoPAdZV/L/D/UPAAAA//8DAFBLAQItABQABgAIAAAAIQC2gziS/gAAAOEB&#10;AAATAAAAAAAAAAAAAAAAAAAAAABbQ29udGVudF9UeXBlc10ueG1sUEsBAi0AFAAGAAgAAAAhADj9&#10;If/WAAAAlAEAAAsAAAAAAAAAAAAAAAAALwEAAF9yZWxzLy5yZWxzUEsBAi0AFAAGAAgAAAAhAA+l&#10;GvW7AgAAwgUAAA4AAAAAAAAAAAAAAAAALgIAAGRycy9lMm9Eb2MueG1sUEsBAi0AFAAGAAgAAAAh&#10;AEmhKDPgAAAACwEAAA8AAAAAAAAAAAAAAAAAFQUAAGRycy9kb3ducmV2LnhtbFBLBQYAAAAABAAE&#10;APMAAAAiBgAAAAA=&#10;" filled="f" stroked="f">
            <v:textbox style="mso-next-textbox:#Text Box 6">
              <w:txbxContent>
                <w:p w:rsidR="0061332F" w:rsidRPr="00A01BC6" w:rsidRDefault="0061332F" w:rsidP="00E25490">
                  <w:pPr>
                    <w:pStyle w:val="TitleAddress"/>
                    <w:tabs>
                      <w:tab w:val="clear" w:pos="3960"/>
                    </w:tabs>
                    <w:rPr>
                      <w:rFonts w:ascii="TitilliumText22L Rg" w:hAnsi="TitilliumText22L Rg"/>
                      <w:b w:val="0"/>
                      <w:color w:val="auto"/>
                      <w:sz w:val="24"/>
                      <w:szCs w:val="24"/>
                    </w:rPr>
                  </w:pPr>
                  <w:r w:rsidRPr="00A01BC6">
                    <w:rPr>
                      <w:rFonts w:ascii="TitilliumText22L Rg" w:hAnsi="TitilliumText22L Rg"/>
                      <w:b w:val="0"/>
                      <w:color w:val="auto"/>
                      <w:sz w:val="24"/>
                      <w:szCs w:val="24"/>
                    </w:rPr>
                    <w:t>Freeman, Sullivan &amp; Co</w:t>
                  </w:r>
                  <w:proofErr w:type="gramStart"/>
                  <w:r w:rsidRPr="00A01BC6">
                    <w:rPr>
                      <w:rFonts w:ascii="TitilliumText22L Rg" w:hAnsi="TitilliumText22L Rg"/>
                      <w:b w:val="0"/>
                      <w:color w:val="auto"/>
                      <w:sz w:val="24"/>
                      <w:szCs w:val="24"/>
                    </w:rPr>
                    <w:t>.</w:t>
                  </w:r>
                  <w:proofErr w:type="gramEnd"/>
                  <w:r w:rsidRPr="00A01BC6">
                    <w:rPr>
                      <w:rFonts w:ascii="TitilliumText22L Rg" w:hAnsi="TitilliumText22L Rg"/>
                      <w:b w:val="0"/>
                      <w:color w:val="auto"/>
                      <w:sz w:val="24"/>
                      <w:szCs w:val="24"/>
                    </w:rPr>
                    <w:br/>
                    <w:t>101 Montgomery St., 15th Floor</w:t>
                  </w:r>
                  <w:r w:rsidRPr="00A01BC6">
                    <w:rPr>
                      <w:rFonts w:ascii="TitilliumText22L Rg" w:hAnsi="TitilliumText22L Rg"/>
                      <w:b w:val="0"/>
                      <w:color w:val="auto"/>
                      <w:sz w:val="24"/>
                      <w:szCs w:val="24"/>
                    </w:rPr>
                    <w:br/>
                    <w:t>San Francisco, CA  94104</w:t>
                  </w:r>
                  <w:r w:rsidRPr="00A01BC6">
                    <w:rPr>
                      <w:rFonts w:ascii="TitilliumText22L Rg" w:hAnsi="TitilliumText22L Rg"/>
                      <w:b w:val="0"/>
                      <w:color w:val="auto"/>
                      <w:sz w:val="24"/>
                      <w:szCs w:val="24"/>
                    </w:rPr>
                    <w:br/>
                    <w:t>fscgroup.com</w:t>
                  </w:r>
                </w:p>
                <w:p w:rsidR="0061332F" w:rsidRPr="000D67D1" w:rsidRDefault="0061332F" w:rsidP="00E25490">
                  <w:pPr>
                    <w:pStyle w:val="TitleAddress"/>
                  </w:pPr>
                  <w:r w:rsidRPr="000D67D1">
                    <w:tab/>
                  </w:r>
                </w:p>
              </w:txbxContent>
            </v:textbox>
          </v:shape>
        </w:pict>
      </w:r>
    </w:p>
    <w:p w:rsidR="00E25490" w:rsidRDefault="005310C6">
      <w:r>
        <w:rPr>
          <w:noProof/>
        </w:rPr>
        <w:drawing>
          <wp:anchor distT="0" distB="0" distL="114300" distR="114300" simplePos="0" relativeHeight="251672576" behindDoc="1" locked="0" layoutInCell="1" allowOverlap="1">
            <wp:simplePos x="0" y="0"/>
            <wp:positionH relativeFrom="column">
              <wp:posOffset>-583037</wp:posOffset>
            </wp:positionH>
            <wp:positionV relativeFrom="paragraph">
              <wp:posOffset>-121491</wp:posOffset>
            </wp:positionV>
            <wp:extent cx="1769843" cy="5537916"/>
            <wp:effectExtent l="19050" t="0" r="1807" b="0"/>
            <wp:wrapNone/>
            <wp:docPr id="1" name="Picture 8" descr="C:\Users\mrohde\AppData\Local\Temp\SNAGHTML9674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rohde\AppData\Local\Temp\SNAGHTML967438.PNG"/>
                    <pic:cNvPicPr>
                      <a:picLocks noChangeAspect="1" noChangeArrowheads="1"/>
                    </pic:cNvPicPr>
                  </pic:nvPicPr>
                  <pic:blipFill>
                    <a:blip r:embed="rId9" cstate="print"/>
                    <a:srcRect/>
                    <a:stretch>
                      <a:fillRect/>
                    </a:stretch>
                  </pic:blipFill>
                  <pic:spPr bwMode="auto">
                    <a:xfrm>
                      <a:off x="0" y="0"/>
                      <a:ext cx="1769843" cy="5537916"/>
                    </a:xfrm>
                    <a:prstGeom prst="rect">
                      <a:avLst/>
                    </a:prstGeom>
                    <a:noFill/>
                    <a:ln w="9525">
                      <a:noFill/>
                      <a:miter lim="800000"/>
                      <a:headEnd/>
                      <a:tailEnd/>
                    </a:ln>
                  </pic:spPr>
                </pic:pic>
              </a:graphicData>
            </a:graphic>
          </wp:anchor>
        </w:drawing>
      </w:r>
    </w:p>
    <w:p w:rsidR="00E25490" w:rsidRDefault="00E25490"/>
    <w:p w:rsidR="00E25490" w:rsidRDefault="00E25490"/>
    <w:p w:rsidR="00E25490" w:rsidRDefault="00C61D83">
      <w:r>
        <w:rPr>
          <w:noProof/>
        </w:rPr>
        <w:pict>
          <v:shape id="Text Box 4" o:spid="_x0000_s1029" type="#_x0000_t202" style="position:absolute;margin-left:131.3pt;margin-top:22.75pt;width:316.65pt;height:33.1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RKeuQIAAMA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JxgJ2kGJHtlo0J0cEbHZGXqdgtJDD2pmhGeosotU9/ey/KaRkKuGii27VUoODaMVeBfan/7F1wlH&#10;W5DN8FFWYIbujHRAY606mzpIBgJ0qNLTqTLWlRIeSRCFJI4xKkFGouB67krn0/T4u1favGeyQ/aQ&#10;YQWVd+h0f6+N9YamRxVrTMiCt62rfiuePYDi9AK24auVWS9cMX8mQbJerBfEI9Fs7ZEgz73bYkW8&#10;WRHO4/w6X63y8Je1G5K04VXFhDVzJFZI/qxwB4pPlDhRS8uWVxbOuqTVdrNqFdpTIHbhlss5SM5q&#10;/nM3XBIglhchhREJ7qLEK2aLuUcKEnvJPFh4QZjcJbOAJCQvnod0zwX795DQAJyLo3gi09npF7EF&#10;br2OjaYdNzA6Wt5leHFSoqml4FpUrrSG8nY6X6TCun9OBZT7WGhHWMvRia1m3IyuM66PfbCR1RMw&#10;WEkgGNAUxh4cGql+YDTACMmw/r6jimHUfhDQBUlIiJ057kLieQQXdSnZXEqoKAEqwwaj6bgy05za&#10;9YpvG7A09Z2Qt9A5NXekti02eXXoNxgTLrbDSLNz6PLutM6Dd/kbAAD//wMAUEsDBBQABgAIAAAA&#10;IQBPmlKd3AAAAAkBAAAPAAAAZHJzL2Rvd25yZXYueG1sTI9BT8MwDIXvSPsPkZG4bQkVq9rSdJpA&#10;XEFsgMQta7y2onGqJlvLv8c7jZOf5afn75Wb2fXijGPoPGm4XykQSLW3HTUaPvYvywxEiIas6T2h&#10;hl8MsKkWN6UprJ/oHc+72AgOoVAYDW2MQyFlqFt0Jqz8gMS3ox+dibyOjbSjmTjc9TJRKpXOdMQf&#10;WjPgU4v1z+7kNHy+Hr+/HtRb8+zWw+RnJcnlUuu723n7CCLiHK9muOAzOlTMdPAnskH0GpI0SdnK&#10;4jLZkOXrHMSBRZaBrEr5v0H1BwAA//8DAFBLAQItABQABgAIAAAAIQC2gziS/gAAAOEBAAATAAAA&#10;AAAAAAAAAAAAAAAAAABbQ29udGVudF9UeXBlc10ueG1sUEsBAi0AFAAGAAgAAAAhADj9If/WAAAA&#10;lAEAAAsAAAAAAAAAAAAAAAAALwEAAF9yZWxzLy5yZWxzUEsBAi0AFAAGAAgAAAAhAPTxEp65AgAA&#10;wAUAAA4AAAAAAAAAAAAAAAAALgIAAGRycy9lMm9Eb2MueG1sUEsBAi0AFAAGAAgAAAAhAE+aUp3c&#10;AAAACQEAAA8AAAAAAAAAAAAAAAAAEwUAAGRycy9kb3ducmV2LnhtbFBLBQYAAAAABAAEAPMAAAAc&#10;BgAAAAA=&#10;" filled="f" stroked="f">
            <v:textbox style="mso-next-textbox:#Text Box 4">
              <w:txbxContent>
                <w:p w:rsidR="0061332F" w:rsidRPr="00AD248C" w:rsidRDefault="0061332F" w:rsidP="00E25490">
                  <w:pPr>
                    <w:pStyle w:val="TitleProposal"/>
                    <w:rPr>
                      <w:rFonts w:ascii="TitilliumText22L Rg" w:hAnsi="TitilliumText22L Rg"/>
                      <w:b w:val="0"/>
                      <w:color w:val="auto"/>
                      <w:sz w:val="24"/>
                      <w:szCs w:val="24"/>
                    </w:rPr>
                  </w:pPr>
                  <w:r>
                    <w:rPr>
                      <w:rFonts w:ascii="TitilliumText22L Rg" w:hAnsi="TitilliumText22L Rg"/>
                      <w:b w:val="0"/>
                      <w:color w:val="auto"/>
                      <w:sz w:val="24"/>
                      <w:szCs w:val="24"/>
                    </w:rPr>
                    <w:t>June 1</w:t>
                  </w:r>
                  <w:r w:rsidRPr="00AD248C">
                    <w:rPr>
                      <w:rFonts w:ascii="TitilliumText22L Rg" w:hAnsi="TitilliumText22L Rg"/>
                      <w:b w:val="0"/>
                      <w:color w:val="auto"/>
                      <w:sz w:val="24"/>
                      <w:szCs w:val="24"/>
                    </w:rPr>
                    <w:t>, 2012</w:t>
                  </w:r>
                </w:p>
              </w:txbxContent>
            </v:textbox>
          </v:shape>
        </w:pict>
      </w:r>
    </w:p>
    <w:p w:rsidR="00E25490" w:rsidRDefault="00E25490"/>
    <w:p w:rsidR="00E25490" w:rsidRDefault="00C61D83">
      <w:r>
        <w:rPr>
          <w:noProof/>
        </w:rPr>
        <w:pict>
          <v:shape id="_x0000_s1035" type="#_x0000_t202" style="position:absolute;margin-left:131.3pt;margin-top:12.3pt;width:216.75pt;height:83.55pt;z-index:251681792" filled="f" stroked="f">
            <v:textbox style="mso-next-textbox:#_x0000_s1035">
              <w:txbxContent>
                <w:p w:rsidR="0061332F" w:rsidRPr="00AD248C" w:rsidRDefault="0061332F" w:rsidP="00DD0D5C">
                  <w:pPr>
                    <w:pStyle w:val="PreparedFor"/>
                    <w:spacing w:before="0" w:after="0"/>
                    <w:jc w:val="left"/>
                    <w:rPr>
                      <w:rFonts w:ascii="TitilliumText22L Rg" w:hAnsi="TitilliumText22L Rg"/>
                      <w:sz w:val="24"/>
                      <w:szCs w:val="24"/>
                    </w:rPr>
                  </w:pPr>
                  <w:r w:rsidRPr="00AD248C">
                    <w:rPr>
                      <w:rFonts w:ascii="TitilliumText22L Rg" w:hAnsi="TitilliumText22L Rg"/>
                      <w:sz w:val="24"/>
                      <w:szCs w:val="24"/>
                    </w:rPr>
                    <w:t>Prepared for:</w:t>
                  </w:r>
                </w:p>
                <w:p w:rsidR="0061332F" w:rsidRDefault="0061332F" w:rsidP="00DD0D5C">
                  <w:pPr>
                    <w:pStyle w:val="PreparedForCompany"/>
                    <w:jc w:val="left"/>
                    <w:rPr>
                      <w:rFonts w:ascii="TitilliumText22L Rg" w:hAnsi="TitilliumText22L Rg"/>
                      <w:sz w:val="24"/>
                    </w:rPr>
                  </w:pPr>
                  <w:r>
                    <w:rPr>
                      <w:rFonts w:ascii="TitilliumText22L Rg" w:hAnsi="TitilliumText22L Rg"/>
                      <w:sz w:val="24"/>
                    </w:rPr>
                    <w:t>Pacific Gas and Electric (PG&amp;E)</w:t>
                  </w:r>
                </w:p>
                <w:p w:rsidR="0061332F" w:rsidRDefault="0061332F" w:rsidP="00DD0D5C">
                  <w:pPr>
                    <w:pStyle w:val="PreparedForCompany"/>
                    <w:jc w:val="left"/>
                    <w:rPr>
                      <w:rFonts w:ascii="TitilliumText22L Rg" w:hAnsi="TitilliumText22L Rg"/>
                      <w:sz w:val="24"/>
                    </w:rPr>
                  </w:pPr>
                  <w:r>
                    <w:rPr>
                      <w:rFonts w:ascii="TitilliumText22L Rg" w:hAnsi="TitilliumText22L Rg"/>
                      <w:sz w:val="24"/>
                    </w:rPr>
                    <w:t>Southern California Edison (SCE)</w:t>
                  </w:r>
                </w:p>
                <w:p w:rsidR="0061332F" w:rsidRDefault="0061332F" w:rsidP="00DD0D5C">
                  <w:pPr>
                    <w:pStyle w:val="PreparedForCompany"/>
                    <w:jc w:val="left"/>
                    <w:rPr>
                      <w:rFonts w:ascii="TitilliumText22L Rg" w:hAnsi="TitilliumText22L Rg"/>
                      <w:sz w:val="24"/>
                    </w:rPr>
                  </w:pPr>
                  <w:r>
                    <w:rPr>
                      <w:rFonts w:ascii="TitilliumText22L Rg" w:hAnsi="TitilliumText22L Rg"/>
                      <w:sz w:val="24"/>
                    </w:rPr>
                    <w:t>San Diego Gas and Electric (SDG&amp;E)</w:t>
                  </w:r>
                </w:p>
                <w:p w:rsidR="0061332F" w:rsidRPr="000B2255" w:rsidRDefault="0061332F" w:rsidP="00DD0D5C">
                  <w:pPr>
                    <w:pStyle w:val="PreparedForCompany"/>
                    <w:jc w:val="left"/>
                    <w:rPr>
                      <w:rFonts w:ascii="TitilliumText22L Rg" w:hAnsi="TitilliumText22L Rg"/>
                      <w:sz w:val="28"/>
                      <w:szCs w:val="28"/>
                    </w:rPr>
                  </w:pPr>
                </w:p>
                <w:p w:rsidR="0061332F" w:rsidRPr="000B2255" w:rsidRDefault="0061332F" w:rsidP="00DD0D5C">
                  <w:pPr>
                    <w:pStyle w:val="PreparedForCompany"/>
                    <w:jc w:val="left"/>
                    <w:rPr>
                      <w:rFonts w:ascii="TitilliumText22L Rg" w:hAnsi="TitilliumText22L Rg"/>
                      <w:sz w:val="28"/>
                      <w:szCs w:val="28"/>
                    </w:rPr>
                  </w:pPr>
                </w:p>
              </w:txbxContent>
            </v:textbox>
          </v:shape>
        </w:pict>
      </w:r>
    </w:p>
    <w:p w:rsidR="00E25490" w:rsidRDefault="00E25490">
      <w:bookmarkStart w:id="0" w:name="_GoBack"/>
      <w:bookmarkEnd w:id="0"/>
    </w:p>
    <w:p w:rsidR="00E25490" w:rsidRDefault="00E25490"/>
    <w:p w:rsidR="00E25490" w:rsidRDefault="00C61D83">
      <w:r>
        <w:rPr>
          <w:noProof/>
        </w:rPr>
        <w:pict>
          <v:shape id="Text Box 5" o:spid="_x0000_s1031" type="#_x0000_t202" style="position:absolute;margin-left:129.95pt;margin-top:24.15pt;width:194.9pt;height:94.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qQugIAAME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Sr&#10;DMcYCdpBix7ZaNCdHFFsqzP0OgWnhx7czAjH0GWXqe7vZflNIyFXDRVbdquUHBpGK2AX2pv+xdUJ&#10;R1uQzfBRVhCG7ox0QGOtOls6KAYCdOjS06kzlkoJhxGZx9E1mEqwhWEyuyaudz5Nj9d7pc17Jjtk&#10;FxlW0HoHT/f32lg6ND262GhCFrxtXftb8ewAHKcTCA5Xrc3ScN38mQTJerFeEI9Es7VHgjz3bosV&#10;8WZFOI/z63y1ysNfNm5I0oZXFRM2zFFZIfmzzh00PmnipC0tW15ZOEtJq+1m1Sq0p6Dswn2u6GA5&#10;u/nPabgiQC4vUgojEtxFiVfMFnOPFCT2knmw8IIwuUtmAUlIXjxP6Z4L9u8poSHDSRzFk5rOpF/k&#10;FrjvdW407biB2dHyLsOLkxNNrQbXonKtNZS30/qiFJb+uRTQ7mOjnWKtSCe5mnEzHp4GgFk1b2T1&#10;BBJWEgQGYoS5B4tGqh8YDTBDMqy/76hiGLUfBDyDJCQgU2TchsTzCDbq0rK5tFBRAlSGDUbTcmWm&#10;QbXrFd82EGl6eELewtOpuRP1mdXhwcGccLkdZpodRJd753WevMvfAAAA//8DAFBLAwQUAAYACAAA&#10;ACEAOLA2B94AAAAKAQAADwAAAGRycy9kb3ducmV2LnhtbEyPwU7DMBBE70j8g7VI3KhNSFOaxqkQ&#10;iCuIQpF6c+NtEhGvo9htwt93e4LTajSj2XnFenKdOOEQWk8a7mcKBFLlbUu1hq/P17tHECEasqbz&#10;hBp+McC6vL4qTG79SB942sRacAmF3GhoYuxzKUPVoDNh5nsk9g5+cCayHGppBzNyuetkolQmnWmJ&#10;PzSmx+cGq5/N0WnYvh1236l6r1/cvB/9pCS5pdT69mZ6WoGIOMW/MFzm83QoedPeH8kG0WlIMsUs&#10;UcPDgi8HsnTJLHt2knkKsizkf4TyDAAA//8DAFBLAQItABQABgAIAAAAIQC2gziS/gAAAOEBAAAT&#10;AAAAAAAAAAAAAAAAAAAAAABbQ29udGVudF9UeXBlc10ueG1sUEsBAi0AFAAGAAgAAAAhADj9If/W&#10;AAAAlAEAAAsAAAAAAAAAAAAAAAAALwEAAF9yZWxzLy5yZWxzUEsBAi0AFAAGAAgAAAAhAAtGmpC6&#10;AgAAwQUAAA4AAAAAAAAAAAAAAAAALgIAAGRycy9lMm9Eb2MueG1sUEsBAi0AFAAGAAgAAAAhADiw&#10;NgfeAAAACgEAAA8AAAAAAAAAAAAAAAAAFAUAAGRycy9kb3ducmV2LnhtbFBLBQYAAAAABAAEAPMA&#10;AAAfBgAAAAA=&#10;" filled="f" stroked="f">
            <v:textbox>
              <w:txbxContent>
                <w:p w:rsidR="0061332F" w:rsidRPr="00AD248C" w:rsidRDefault="0061332F" w:rsidP="00E25490">
                  <w:pPr>
                    <w:pStyle w:val="PreparedForCompany"/>
                    <w:jc w:val="left"/>
                    <w:rPr>
                      <w:rFonts w:ascii="TitilliumText22L Rg" w:hAnsi="TitilliumText22L Rg"/>
                      <w:i/>
                      <w:sz w:val="24"/>
                    </w:rPr>
                  </w:pPr>
                  <w:r w:rsidRPr="00AD248C">
                    <w:rPr>
                      <w:rFonts w:ascii="TitilliumText22L Rg" w:hAnsi="TitilliumText22L Rg"/>
                      <w:i/>
                      <w:sz w:val="24"/>
                    </w:rPr>
                    <w:t>Prepared by:</w:t>
                  </w:r>
                </w:p>
                <w:p w:rsidR="0061332F" w:rsidRDefault="0061332F" w:rsidP="00E25490">
                  <w:pPr>
                    <w:pStyle w:val="PreparedForCompany"/>
                    <w:jc w:val="left"/>
                    <w:rPr>
                      <w:rFonts w:ascii="TitilliumText22L Rg" w:hAnsi="TitilliumText22L Rg"/>
                      <w:sz w:val="24"/>
                    </w:rPr>
                  </w:pPr>
                  <w:r>
                    <w:rPr>
                      <w:rFonts w:ascii="TitilliumText22L Rg" w:hAnsi="TitilliumText22L Rg"/>
                      <w:sz w:val="24"/>
                    </w:rPr>
                    <w:t>Stephen George, Ph.D.</w:t>
                  </w:r>
                </w:p>
                <w:p w:rsidR="0061332F" w:rsidRDefault="0061332F" w:rsidP="00E25490">
                  <w:pPr>
                    <w:pStyle w:val="PreparedForCompany"/>
                    <w:jc w:val="left"/>
                    <w:rPr>
                      <w:rFonts w:ascii="TitilliumText22L Rg" w:hAnsi="TitilliumText22L Rg"/>
                      <w:sz w:val="24"/>
                    </w:rPr>
                  </w:pPr>
                  <w:r>
                    <w:rPr>
                      <w:rFonts w:ascii="TitilliumText22L Rg" w:hAnsi="TitilliumText22L Rg"/>
                      <w:sz w:val="24"/>
                    </w:rPr>
                    <w:t>Josh Bode, M.P.P.</w:t>
                  </w:r>
                </w:p>
                <w:p w:rsidR="0061332F" w:rsidRPr="00AD248C" w:rsidRDefault="0061332F" w:rsidP="00E25490">
                  <w:pPr>
                    <w:pStyle w:val="PreparedForCompany"/>
                    <w:jc w:val="left"/>
                    <w:rPr>
                      <w:rFonts w:ascii="TitilliumText22L Rg" w:hAnsi="TitilliumText22L Rg"/>
                      <w:sz w:val="24"/>
                    </w:rPr>
                  </w:pPr>
                  <w:r>
                    <w:rPr>
                      <w:rFonts w:ascii="TitilliumText22L Rg" w:hAnsi="TitilliumText22L Rg"/>
                      <w:sz w:val="24"/>
                    </w:rPr>
                    <w:t>Jason Burwen, M.A., M.P.P.</w:t>
                  </w:r>
                </w:p>
                <w:p w:rsidR="0061332F" w:rsidRPr="00AD248C" w:rsidRDefault="0061332F" w:rsidP="00E25490">
                  <w:pPr>
                    <w:pStyle w:val="PreparedForCompany"/>
                    <w:jc w:val="left"/>
                    <w:rPr>
                      <w:rFonts w:ascii="TitilliumText22L Rg" w:hAnsi="TitilliumText22L Rg"/>
                      <w:sz w:val="24"/>
                    </w:rPr>
                  </w:pPr>
                  <w:r w:rsidRPr="00AD248C">
                    <w:rPr>
                      <w:rFonts w:ascii="TitilliumText22L Rg" w:hAnsi="TitilliumText22L Rg"/>
                      <w:sz w:val="24"/>
                    </w:rPr>
                    <w:t>Freeman, Sullivan &amp; Co.</w:t>
                  </w:r>
                </w:p>
                <w:p w:rsidR="0061332F" w:rsidRPr="000B2255" w:rsidRDefault="0061332F" w:rsidP="00E25490">
                  <w:pPr>
                    <w:pStyle w:val="PreparedForCompany"/>
                    <w:jc w:val="left"/>
                    <w:rPr>
                      <w:rFonts w:ascii="TitilliumText22L Rg" w:hAnsi="TitilliumText22L Rg"/>
                      <w:sz w:val="28"/>
                      <w:szCs w:val="28"/>
                    </w:rPr>
                  </w:pPr>
                </w:p>
              </w:txbxContent>
            </v:textbox>
          </v:shape>
        </w:pict>
      </w:r>
    </w:p>
    <w:p w:rsidR="00E25490" w:rsidRDefault="00E25490"/>
    <w:p w:rsidR="00E25490" w:rsidRDefault="00E25490"/>
    <w:p w:rsidR="00E25490" w:rsidRDefault="00E25490"/>
    <w:p w:rsidR="00E25490" w:rsidRDefault="00E25490"/>
    <w:p w:rsidR="00E25490" w:rsidRDefault="00E25490"/>
    <w:p w:rsidR="00E25490" w:rsidRDefault="00E25490"/>
    <w:p w:rsidR="00E25490" w:rsidRDefault="00E25490"/>
    <w:p w:rsidR="00E25490" w:rsidRDefault="00E25490"/>
    <w:p w:rsidR="00E25490" w:rsidRDefault="00E25490"/>
    <w:p w:rsidR="00E25490" w:rsidRDefault="00C61D83">
      <w:r>
        <w:rPr>
          <w:noProof/>
        </w:rPr>
        <w:pict>
          <v:shapetype id="_x0000_t32" coordsize="21600,21600" o:spt="32" o:oned="t" path="m,l21600,21600e" filled="f">
            <v:path arrowok="t" fillok="f" o:connecttype="none"/>
            <o:lock v:ext="edit" shapetype="t"/>
          </v:shapetype>
          <v:shape id="AutoShape 9" o:spid="_x0000_s1033" type="#_x0000_t32" style="position:absolute;margin-left:-107.4pt;margin-top:90.15pt;width:644.25pt;height:.0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nQlJAIAAD4EAAAOAAAAZHJzL2Uyb0RvYy54bWysU8GO2jAQvVfqP1i+QxIILESE1TaBXrZb&#10;pN1+gLGdxGpiW7YhoKr/3rEJaGkvVdWLM45n3ryZebN6PHUtOnJjhZI5TsYxRlxSxYSsc/ztbTta&#10;YGQdkYy0SvIcn7nFj+uPH1a9zvhENapl3CAAkTbrdY4b53QWRZY2vCN2rDSX8Fgp0xEHV1NHzJAe&#10;0Ls2msTxPOqVYdooyq2Fv+XlEa8DflVx6r5WleUOtTkGbi6cJpx7f0brFclqQ3Qj6ECD/AOLjggJ&#10;SW9QJXEEHYz4A6oT1CirKjemqotUVQnKQw1QTRL/Vs1rQzQPtUBzrL61yf4/WPpy3BkkWI5TjCTp&#10;YERPB6dCZrT07em1zcCrkDvjC6Qn+aqfFf1ukVRFQ2TNg/PbWUNs4iOiuxB/sRqS7PsvioEPAfzQ&#10;q1NlOg8JXUCnMJLzbST85BCFn4tkkSwfZhhReJtPZwGfZNdQbaz7zFWHvJFj6wwRdeMKJSWMXpkk&#10;JCLHZ+s8MZJdA3xeqbaibYMCWon6HE9maRyHCKtawfyr97Om3hetQUcCIkqn00/zh4HGnZtRB8kC&#10;WsMJ2wy2I6K92JC9lR4PagM+g3VRyY9lvNwsNot0lE7mm1Eal+XoaVuko/k2eZiV07IoyuSnp5ak&#10;WSMY49Kzuyo2Sf9OEcPuXLR20+ytD9E9emgYkL1+A+kwXD/PizL2ip135jp0EGlwHhbKb8H7O9jv&#10;1379CwAA//8DAFBLAwQUAAYACAAAACEAincJpeUAAAANAQAADwAAAGRycy9kb3ducmV2LnhtbEyP&#10;zW7CMBCE75X6DtYicanA5q/QNA6qqtILlSqgHHpz4iWJiNchNiHt09f00h5nZzTzbbzsTMVabFxp&#10;ScJoKIAhZVaXlEv42K0GC2DOK9KqsoQSvtDBMrm9iVWk7YU22G59zkIJuUhJKLyvI85dVqBRbmhr&#10;pOAdbGOUD7LJuW7UJZSbio+FuOdGlRQWClXjc4HZcXs2Eh72r3efb+vd+3H2LdL2NNu3m5eVlP1e&#10;9/QIzGPn/8JwxQ/okASm1J5JO1ZJGIxH08Dug7MQE2DXiJhP5sDS39MUeBLz/18kPwAAAP//AwBQ&#10;SwECLQAUAAYACAAAACEAtoM4kv4AAADhAQAAEwAAAAAAAAAAAAAAAAAAAAAAW0NvbnRlbnRfVHlw&#10;ZXNdLnhtbFBLAQItABQABgAIAAAAIQA4/SH/1gAAAJQBAAALAAAAAAAAAAAAAAAAAC8BAABfcmVs&#10;cy8ucmVsc1BLAQItABQABgAIAAAAIQBRLnQlJAIAAD4EAAAOAAAAAAAAAAAAAAAAAC4CAABkcnMv&#10;ZTJvRG9jLnhtbFBLAQItABQABgAIAAAAIQCKdwml5QAAAA0BAAAPAAAAAAAAAAAAAAAAAH4EAABk&#10;cnMvZG93bnJldi54bWxQSwUGAAAAAAQABADzAAAAkAUAAAAA&#10;" strokecolor="#433b67" strokeweight="2pt"/>
        </w:pict>
      </w:r>
      <w:r>
        <w:rPr>
          <w:noProof/>
        </w:rPr>
        <w:pict>
          <v:shape id="AutoShape 8" o:spid="_x0000_s1032" type="#_x0000_t32" style="position:absolute;margin-left:-95.4pt;margin-top:91.35pt;width:644.25pt;height:.0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EONwIAAHUEAAAOAAAAZHJzL2Uyb0RvYy54bWysVE2P2jAQvVfqf7B8hyR8ExFWqwR62bZI&#10;u/0BxnaIVce2bENAVf97xw6gpb1UVTmY8XjmzZvxc1ZP51aiE7dOaFXgbJhixBXVTKhDgb+9bQcL&#10;jJwnihGpFS/whTv8tP74YdWZnI90oyXjFgGIcnlnCtx4b/IkcbThLXFDbbiCw1rblnjY2kPCLOkA&#10;vZXJKE1nSactM1ZT7hx4q/4QryN+XXPqv9a14x7JAgM3H1cb131Yk/WK5AdLTCPolQb5BxYtEQqK&#10;3qEq4gk6WvEHVCuo1U7Xfkh1m+i6FpTHHqCbLP2tm9eGGB57geE4cx+T+3+w9MtpZ5FgBR5jpEgL&#10;V/R89DpWRoswns64HKJKtbOhQXpWr+ZF0+8OKV02RB14DH67GMjNQkbykBI2zkCRffdZM4ghgB9n&#10;da5tGyBhCugcr+RyvxJ+9oiCc5EtsuV8ihGFs9l4GvFJfks11vlPXLcoGAV23hJxaHyplYKr1zaL&#10;hcjpxflAjOS3hFBX6a2QMipAKtQB+9E8TWOG01KwcBriohh5KS06EZCRP/eo8thCQ70vS8OvVxP4&#10;QXO9P7qg7B0iknhAt/qoWCTRcMI2V9sTIXsbsqUKNGAk0MbV6sX1Y5kuN4vNYjKYjGabwSStqsHz&#10;tpwMZttsPq3GVVlW2c/QUTbJG8EYV6Gpm9Czyd8J6frkeonepX4fX/KIHlsEsrf/SDpqIsigF9Re&#10;s8vO3rQC2o7B13cYHs/7PdjvvxbrXwAAAP//AwBQSwMEFAAGAAgAAAAhAG9IJ/ndAAAADQEAAA8A&#10;AABkcnMvZG93bnJldi54bWxMj81OwzAQhO9IvIO1SNxauzk0aYhTQaX2DC3c3XibRI1/ZLtJeHu2&#10;XOC2uzOa/abazmZgI4bYOythtRTA0DZO97aV8HnaLwpgMSmr1eAsSvjGCNv68aFSpXaT/cDxmFpG&#10;ITaWSkKXki85j02HRsWl82hJu7hgVKI1tFwHNVG4GXgmxJob1Vv60CmPuw6b6/FmJHy9X+Z1POze&#10;rqd8DMnvD8JPmZTPT/PrC7CEc/ozwx2f0KEmprO7WR3ZIGGx2ghiT6QUWQ7sbhGbnKbz76kAXlf8&#10;f4v6BwAA//8DAFBLAQItABQABgAIAAAAIQC2gziS/gAAAOEBAAATAAAAAAAAAAAAAAAAAAAAAABb&#10;Q29udGVudF9UeXBlc10ueG1sUEsBAi0AFAAGAAgAAAAhADj9If/WAAAAlAEAAAsAAAAAAAAAAAAA&#10;AAAALwEAAF9yZWxzLy5yZWxzUEsBAi0AFAAGAAgAAAAhAAWJQQ43AgAAdQQAAA4AAAAAAAAAAAAA&#10;AAAALgIAAGRycy9lMm9Eb2MueG1sUEsBAi0AFAAGAAgAAAAhAG9IJ/ndAAAADQEAAA8AAAAAAAAA&#10;AAAAAAAAkQQAAGRycy9kb3ducmV2LnhtbFBLBQYAAAAABAAEAPMAAACbBQAAAAA=&#10;" strokecolor="black [3213]" strokeweight="1pt"/>
        </w:pict>
      </w:r>
    </w:p>
    <w:p w:rsidR="00E25490" w:rsidRDefault="00C61D83">
      <w:r>
        <w:rPr>
          <w:noProof/>
        </w:rPr>
        <w:pict>
          <v:shape id="_x0000_s1037" type="#_x0000_t202" style="position:absolute;margin-left:296.65pt;margin-top:39.95pt;width:166.7pt;height:20.1pt;z-index:251682816" stroked="f">
            <v:textbox>
              <w:txbxContent>
                <w:p w:rsidR="0061332F" w:rsidRPr="003B4151" w:rsidRDefault="00190970" w:rsidP="009274EB">
                  <w:pPr>
                    <w:rPr>
                      <w:rFonts w:ascii="TitilliumText22L Rg" w:eastAsia="Times New Roman" w:hAnsi="TitilliumText22L Rg" w:cs="Arial"/>
                      <w:sz w:val="24"/>
                      <w:szCs w:val="24"/>
                    </w:rPr>
                  </w:pPr>
                  <w:r w:rsidRPr="00190970">
                    <w:rPr>
                      <w:rFonts w:ascii="TitilliumText22L Rg" w:eastAsia="Times New Roman" w:hAnsi="TitilliumText22L Rg" w:cs="Arial"/>
                      <w:sz w:val="24"/>
                      <w:szCs w:val="24"/>
                    </w:rPr>
                    <w:t>CALMAC ID: PGE0314</w:t>
                  </w:r>
                  <w:r>
                    <w:rPr>
                      <w:rFonts w:ascii="TitilliumText22L Rg" w:eastAsia="Times New Roman" w:hAnsi="TitilliumText22L Rg" w:cs="Arial"/>
                      <w:sz w:val="24"/>
                      <w:szCs w:val="24"/>
                    </w:rPr>
                    <w:t>.01</w:t>
                  </w:r>
                </w:p>
                <w:p w:rsidR="0061332F" w:rsidRDefault="0061332F"/>
              </w:txbxContent>
            </v:textbox>
          </v:shape>
        </w:pict>
      </w:r>
      <w:r>
        <w:rPr>
          <w:noProof/>
        </w:rPr>
        <w:pict>
          <v:shape id="Text Box 7" o:spid="_x0000_s1027" type="#_x0000_t202" style="position:absolute;margin-left:-13.1pt;margin-top:38.25pt;width:175.1pt;height:2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HuQIAAMEFAAAOAAAAZHJzL2Uyb0RvYy54bWysVNtunDAQfa/Uf7D8Trgs7AIKGyXLUlVK&#10;L1LSD/CCWayCTW3vQhr13zs2e0vyUrX1g2V7xmduZ+b6ZuxatKdSMcEz7F95GFFeiorxbYa/PRZO&#10;jJHShFekFZxm+IkqfLN8/+566FMaiEa0FZUIQLhKhz7DjdZ96rqqbGhH1JXoKQdhLWRHNFzl1q0k&#10;GQC9a93A8+buIGTVS1FSpeA1n4R4afHrmpb6S10rqlGbYfBN213afWN2d3lN0q0kfcPKgxvkL7zo&#10;CONg9ASVE03QTrI3UB0rpVCi1lel6FxR16ykNgaIxvdeRfPQkJ7aWCA5qj+lSf0/2PLz/qtErILa&#10;zTDipIMaPdJRozsxooVJz9CrFLQeetDTIzyDqg1V9fei/K4QF6uG8C29lVIMDSUVuOebn+7F1wlH&#10;GZDN8ElUYIbstLBAYy07kzvIBgJ0KNPTqTTGldKYnEV+EIOoBNnM9/3I1s4l6fF3L5X+QEWHzCHD&#10;Ekpv0cn+XmnjDUmPKsYYFwVrW1v+lr94AMXpBWzDVyMzXthqPideso7XceiEwXzthF6eO7fFKnTm&#10;hb+I8lm+WuX+L2PXD9OGVRXlxsyRWX74Z5U7cHzixIlbSrSsMnDGJSW3m1Ur0Z4Aswu7bM5BclZz&#10;X7phkwCxvArJD0LvLkicYh4vnLAIIydZeLHj+cldMvfCJMyLlyHdM07/PSQ0ZDiJgmgi09npV7F5&#10;dr2NjaQd0zA7WtZlOD4pkdRQcM0rW1pNWDudL1Jh3D+nAsp9LLQlrOHoxFY9bsapNY59sBHVEzBY&#10;CiAYcBHmHhwaIX9iNMAMybD6sSOSYtR+5NAFiR+GZujYSxgtArjIS8nmUkJ4CVAZ1hhNx5WeBtWu&#10;l2zbgKWp77i4hc6pmSW1abHJq0O/wZywsR1mmhlEl3erdZ68y98AAAD//wMAUEsDBBQABgAIAAAA&#10;IQBXgGVc4AAAAA0BAAAPAAAAZHJzL2Rvd25yZXYueG1sTI9NT8MwDIbvSPyHyEjctqSlVFtpOiEQ&#10;VybGh8Qta7y2onGqJlvLv593gput99Hrx+Vmdr044Rg6TxqSpQKBVHvbUaPh4/1lsQIRoiFrek+o&#10;4RcDbKrrq9IU1k/0hqddbASXUCiMhjbGoZAy1C06E5Z+QOLs4EdnIq9jI+1oJi53vUyVyqUzHfGF&#10;1gz41GL9szs6DZ+vh++vTG2bZ3c/TH5Wktxaan17Mz8+gIg4xz8YLvqsDhU77f2RbBC9hkWap4xy&#10;oNZZAuKCrPIcxJ6HJLtLQFal/P9FdQYAAP//AwBQSwECLQAUAAYACAAAACEAtoM4kv4AAADhAQAA&#10;EwAAAAAAAAAAAAAAAAAAAAAAW0NvbnRlbnRfVHlwZXNdLnhtbFBLAQItABQABgAIAAAAIQA4/SH/&#10;1gAAAJQBAAALAAAAAAAAAAAAAAAAAC8BAABfcmVscy8ucmVsc1BLAQItABQABgAIAAAAIQBTrO/H&#10;uQIAAMEFAAAOAAAAAAAAAAAAAAAAAC4CAABkcnMvZTJvRG9jLnhtbFBLAQItABQABgAIAAAAIQBX&#10;gGVc4AAAAA0BAAAPAAAAAAAAAAAAAAAAABMFAABkcnMvZG93bnJldi54bWxQSwUGAAAAAAQABADz&#10;AAAAIAYAAAAA&#10;" filled="f" stroked="f">
            <v:textbox>
              <w:txbxContent>
                <w:p w:rsidR="0061332F" w:rsidRPr="00A01BC6" w:rsidRDefault="0061332F" w:rsidP="00E25490">
                  <w:pPr>
                    <w:pStyle w:val="TitleProposal"/>
                    <w:rPr>
                      <w:rFonts w:ascii="TitilliumText22L Rg" w:hAnsi="TitilliumText22L Rg"/>
                      <w:color w:val="auto"/>
                    </w:rPr>
                  </w:pPr>
                  <w:r w:rsidRPr="00A01BC6">
                    <w:rPr>
                      <w:rFonts w:ascii="TitilliumText22L Rg" w:hAnsi="TitilliumText22L Rg"/>
                      <w:color w:val="auto"/>
                    </w:rPr>
                    <w:t>The FSC Group</w:t>
                  </w:r>
                </w:p>
                <w:p w:rsidR="0061332F" w:rsidRPr="000D67D1" w:rsidRDefault="0061332F" w:rsidP="00E25490">
                  <w:pPr>
                    <w:pStyle w:val="TitleProposal"/>
                  </w:pPr>
                </w:p>
              </w:txbxContent>
            </v:textbox>
          </v:shape>
        </w:pict>
      </w:r>
      <w:r w:rsidR="00E25490">
        <w:br w:type="page"/>
      </w:r>
    </w:p>
    <w:p w:rsidR="005343AA" w:rsidRPr="00050374" w:rsidRDefault="005343AA" w:rsidP="005343AA">
      <w:pPr>
        <w:spacing w:before="240"/>
        <w:rPr>
          <w:b/>
          <w:color w:val="433B67"/>
          <w:sz w:val="28"/>
          <w:szCs w:val="28"/>
        </w:rPr>
        <w:sectPr w:rsidR="005343AA" w:rsidRPr="00050374" w:rsidSect="00011137">
          <w:headerReference w:type="default" r:id="rId10"/>
          <w:footerReference w:type="default" r:id="rId11"/>
          <w:headerReference w:type="first" r:id="rId12"/>
          <w:pgSz w:w="12240" w:h="15840"/>
          <w:pgMar w:top="1440" w:right="1800" w:bottom="1440" w:left="1800" w:header="720" w:footer="720" w:gutter="0"/>
          <w:pgNumType w:fmt="lowerRoman" w:start="1"/>
          <w:cols w:space="720"/>
          <w:titlePg/>
          <w:docGrid w:linePitch="360"/>
        </w:sectPr>
      </w:pPr>
    </w:p>
    <w:sdt>
      <w:sdtPr>
        <w:rPr>
          <w:rFonts w:asciiTheme="minorHAnsi" w:eastAsiaTheme="minorHAnsi" w:hAnsiTheme="minorHAnsi" w:cstheme="minorBidi"/>
          <w:b w:val="0"/>
          <w:color w:val="auto"/>
          <w:sz w:val="22"/>
          <w:szCs w:val="22"/>
        </w:rPr>
        <w:id w:val="1780305"/>
        <w:docPartObj>
          <w:docPartGallery w:val="Table of Contents"/>
          <w:docPartUnique/>
        </w:docPartObj>
      </w:sdtPr>
      <w:sdtEndPr>
        <w:rPr>
          <w:rFonts w:eastAsiaTheme="minorEastAsia"/>
        </w:rPr>
      </w:sdtEndPr>
      <w:sdtContent>
        <w:p w:rsidR="005343AA" w:rsidRPr="00050374" w:rsidRDefault="005343AA" w:rsidP="005343AA">
          <w:pPr>
            <w:pStyle w:val="TableofContents"/>
            <w:ind w:left="0"/>
          </w:pPr>
          <w:r w:rsidRPr="00050374">
            <w:t>Table of Contents</w:t>
          </w:r>
        </w:p>
        <w:p w:rsidR="00C375B2" w:rsidRDefault="00C61D83">
          <w:pPr>
            <w:pStyle w:val="TOC1"/>
            <w:rPr>
              <w:rFonts w:asciiTheme="minorHAnsi" w:hAnsiTheme="minorHAnsi" w:cstheme="minorBidi"/>
              <w:sz w:val="22"/>
              <w:szCs w:val="22"/>
            </w:rPr>
          </w:pPr>
          <w:r w:rsidRPr="00C61D83">
            <w:fldChar w:fldCharType="begin"/>
          </w:r>
          <w:r w:rsidR="005343AA" w:rsidRPr="00050374">
            <w:instrText xml:space="preserve"> TOC \o "1-3" \h \z \t "Appendix Heading 1,2,Appendix Heading 2,3,Appendix Heading 3,4" </w:instrText>
          </w:r>
          <w:r w:rsidRPr="00C61D83">
            <w:fldChar w:fldCharType="separate"/>
          </w:r>
          <w:hyperlink w:anchor="_Toc326073994" w:history="1">
            <w:r w:rsidR="00C375B2" w:rsidRPr="00FD7289">
              <w:rPr>
                <w:rStyle w:val="Hyperlink"/>
              </w:rPr>
              <w:t>1</w:t>
            </w:r>
            <w:r w:rsidR="00C375B2">
              <w:rPr>
                <w:rFonts w:asciiTheme="minorHAnsi" w:hAnsiTheme="minorHAnsi" w:cstheme="minorBidi"/>
                <w:sz w:val="22"/>
                <w:szCs w:val="22"/>
              </w:rPr>
              <w:tab/>
            </w:r>
            <w:r w:rsidR="00C375B2" w:rsidRPr="00FD7289">
              <w:rPr>
                <w:rStyle w:val="Hyperlink"/>
              </w:rPr>
              <w:t>Executive Summary</w:t>
            </w:r>
            <w:r w:rsidR="00C375B2">
              <w:rPr>
                <w:webHidden/>
              </w:rPr>
              <w:tab/>
            </w:r>
            <w:r>
              <w:rPr>
                <w:webHidden/>
              </w:rPr>
              <w:fldChar w:fldCharType="begin"/>
            </w:r>
            <w:r w:rsidR="00C375B2">
              <w:rPr>
                <w:webHidden/>
              </w:rPr>
              <w:instrText xml:space="preserve"> PAGEREF _Toc326073994 \h </w:instrText>
            </w:r>
            <w:r>
              <w:rPr>
                <w:webHidden/>
              </w:rPr>
            </w:r>
            <w:r>
              <w:rPr>
                <w:webHidden/>
              </w:rPr>
              <w:fldChar w:fldCharType="separate"/>
            </w:r>
            <w:r w:rsidR="00C375B2">
              <w:rPr>
                <w:webHidden/>
              </w:rPr>
              <w:t>1</w:t>
            </w:r>
            <w:r>
              <w:rPr>
                <w:webHidden/>
              </w:rPr>
              <w:fldChar w:fldCharType="end"/>
            </w:r>
          </w:hyperlink>
        </w:p>
        <w:p w:rsidR="00C375B2" w:rsidRDefault="00C61D83">
          <w:pPr>
            <w:pStyle w:val="TOC2"/>
            <w:rPr>
              <w:rFonts w:asciiTheme="minorHAnsi" w:hAnsiTheme="minorHAnsi" w:cstheme="minorBidi"/>
              <w:sz w:val="22"/>
              <w:szCs w:val="22"/>
            </w:rPr>
          </w:pPr>
          <w:hyperlink w:anchor="_Toc326073995" w:history="1">
            <w:r w:rsidR="00C375B2" w:rsidRPr="00FD7289">
              <w:rPr>
                <w:rStyle w:val="Hyperlink"/>
              </w:rPr>
              <w:t>1.1</w:t>
            </w:r>
            <w:r w:rsidR="00C375B2">
              <w:rPr>
                <w:rFonts w:asciiTheme="minorHAnsi" w:hAnsiTheme="minorHAnsi" w:cstheme="minorBidi"/>
                <w:sz w:val="22"/>
                <w:szCs w:val="22"/>
              </w:rPr>
              <w:tab/>
            </w:r>
            <w:r w:rsidR="00C375B2" w:rsidRPr="00FD7289">
              <w:rPr>
                <w:rStyle w:val="Hyperlink"/>
              </w:rPr>
              <w:t>Capacity Bidding Program</w:t>
            </w:r>
            <w:r w:rsidR="00C375B2">
              <w:rPr>
                <w:webHidden/>
              </w:rPr>
              <w:tab/>
            </w:r>
            <w:r>
              <w:rPr>
                <w:webHidden/>
              </w:rPr>
              <w:fldChar w:fldCharType="begin"/>
            </w:r>
            <w:r w:rsidR="00C375B2">
              <w:rPr>
                <w:webHidden/>
              </w:rPr>
              <w:instrText xml:space="preserve"> PAGEREF _Toc326073995 \h </w:instrText>
            </w:r>
            <w:r>
              <w:rPr>
                <w:webHidden/>
              </w:rPr>
            </w:r>
            <w:r>
              <w:rPr>
                <w:webHidden/>
              </w:rPr>
              <w:fldChar w:fldCharType="separate"/>
            </w:r>
            <w:r w:rsidR="00C375B2">
              <w:rPr>
                <w:webHidden/>
              </w:rPr>
              <w:t>1</w:t>
            </w:r>
            <w:r>
              <w:rPr>
                <w:webHidden/>
              </w:rPr>
              <w:fldChar w:fldCharType="end"/>
            </w:r>
          </w:hyperlink>
        </w:p>
        <w:p w:rsidR="00C375B2" w:rsidRDefault="00C61D83">
          <w:pPr>
            <w:pStyle w:val="TOC2"/>
            <w:rPr>
              <w:rFonts w:asciiTheme="minorHAnsi" w:hAnsiTheme="minorHAnsi" w:cstheme="minorBidi"/>
              <w:sz w:val="22"/>
              <w:szCs w:val="22"/>
            </w:rPr>
          </w:pPr>
          <w:hyperlink w:anchor="_Toc326073996" w:history="1">
            <w:r w:rsidR="00C375B2" w:rsidRPr="00FD7289">
              <w:rPr>
                <w:rStyle w:val="Hyperlink"/>
              </w:rPr>
              <w:t>1.2</w:t>
            </w:r>
            <w:r w:rsidR="00C375B2">
              <w:rPr>
                <w:rFonts w:asciiTheme="minorHAnsi" w:hAnsiTheme="minorHAnsi" w:cstheme="minorBidi"/>
                <w:sz w:val="22"/>
                <w:szCs w:val="22"/>
              </w:rPr>
              <w:tab/>
            </w:r>
            <w:r w:rsidR="00C375B2" w:rsidRPr="00FD7289">
              <w:rPr>
                <w:rStyle w:val="Hyperlink"/>
              </w:rPr>
              <w:t>PG&amp;E’s Aggregator Managed Portfolio Program</w:t>
            </w:r>
            <w:r w:rsidR="00C375B2">
              <w:rPr>
                <w:webHidden/>
              </w:rPr>
              <w:tab/>
            </w:r>
            <w:r>
              <w:rPr>
                <w:webHidden/>
              </w:rPr>
              <w:fldChar w:fldCharType="begin"/>
            </w:r>
            <w:r w:rsidR="00C375B2">
              <w:rPr>
                <w:webHidden/>
              </w:rPr>
              <w:instrText xml:space="preserve"> PAGEREF _Toc326073996 \h </w:instrText>
            </w:r>
            <w:r>
              <w:rPr>
                <w:webHidden/>
              </w:rPr>
            </w:r>
            <w:r>
              <w:rPr>
                <w:webHidden/>
              </w:rPr>
              <w:fldChar w:fldCharType="separate"/>
            </w:r>
            <w:r w:rsidR="00C375B2">
              <w:rPr>
                <w:webHidden/>
              </w:rPr>
              <w:t>3</w:t>
            </w:r>
            <w:r>
              <w:rPr>
                <w:webHidden/>
              </w:rPr>
              <w:fldChar w:fldCharType="end"/>
            </w:r>
          </w:hyperlink>
        </w:p>
        <w:p w:rsidR="00C375B2" w:rsidRDefault="00C61D83">
          <w:pPr>
            <w:pStyle w:val="TOC2"/>
            <w:rPr>
              <w:rFonts w:asciiTheme="minorHAnsi" w:hAnsiTheme="minorHAnsi" w:cstheme="minorBidi"/>
              <w:sz w:val="22"/>
              <w:szCs w:val="22"/>
            </w:rPr>
          </w:pPr>
          <w:hyperlink w:anchor="_Toc326073997" w:history="1">
            <w:r w:rsidR="00C375B2" w:rsidRPr="00FD7289">
              <w:rPr>
                <w:rStyle w:val="Hyperlink"/>
              </w:rPr>
              <w:t>1.3</w:t>
            </w:r>
            <w:r w:rsidR="00C375B2">
              <w:rPr>
                <w:rFonts w:asciiTheme="minorHAnsi" w:hAnsiTheme="minorHAnsi" w:cstheme="minorBidi"/>
                <w:sz w:val="22"/>
                <w:szCs w:val="22"/>
              </w:rPr>
              <w:tab/>
            </w:r>
            <w:r w:rsidR="00C375B2" w:rsidRPr="00FD7289">
              <w:rPr>
                <w:rStyle w:val="Hyperlink"/>
              </w:rPr>
              <w:t>SCE’s Demand Response Resource Contract Program</w:t>
            </w:r>
            <w:r w:rsidR="00C375B2">
              <w:rPr>
                <w:webHidden/>
              </w:rPr>
              <w:tab/>
            </w:r>
            <w:r>
              <w:rPr>
                <w:webHidden/>
              </w:rPr>
              <w:fldChar w:fldCharType="begin"/>
            </w:r>
            <w:r w:rsidR="00C375B2">
              <w:rPr>
                <w:webHidden/>
              </w:rPr>
              <w:instrText xml:space="preserve"> PAGEREF _Toc326073997 \h </w:instrText>
            </w:r>
            <w:r>
              <w:rPr>
                <w:webHidden/>
              </w:rPr>
            </w:r>
            <w:r>
              <w:rPr>
                <w:webHidden/>
              </w:rPr>
              <w:fldChar w:fldCharType="separate"/>
            </w:r>
            <w:r w:rsidR="00C375B2">
              <w:rPr>
                <w:webHidden/>
              </w:rPr>
              <w:t>4</w:t>
            </w:r>
            <w:r>
              <w:rPr>
                <w:webHidden/>
              </w:rPr>
              <w:fldChar w:fldCharType="end"/>
            </w:r>
          </w:hyperlink>
        </w:p>
        <w:p w:rsidR="00C375B2" w:rsidRDefault="00C61D83">
          <w:pPr>
            <w:pStyle w:val="TOC1"/>
            <w:rPr>
              <w:rFonts w:asciiTheme="minorHAnsi" w:hAnsiTheme="minorHAnsi" w:cstheme="minorBidi"/>
              <w:sz w:val="22"/>
              <w:szCs w:val="22"/>
            </w:rPr>
          </w:pPr>
          <w:hyperlink w:anchor="_Toc326073998" w:history="1">
            <w:r w:rsidR="00C375B2" w:rsidRPr="00FD7289">
              <w:rPr>
                <w:rStyle w:val="Hyperlink"/>
              </w:rPr>
              <w:t>2</w:t>
            </w:r>
            <w:r w:rsidR="00C375B2">
              <w:rPr>
                <w:rFonts w:asciiTheme="minorHAnsi" w:hAnsiTheme="minorHAnsi" w:cstheme="minorBidi"/>
                <w:sz w:val="22"/>
                <w:szCs w:val="22"/>
              </w:rPr>
              <w:tab/>
            </w:r>
            <w:r w:rsidR="00C375B2" w:rsidRPr="00FD7289">
              <w:rPr>
                <w:rStyle w:val="Hyperlink"/>
              </w:rPr>
              <w:t>Introduction and Program Summary</w:t>
            </w:r>
            <w:r w:rsidR="00C375B2">
              <w:rPr>
                <w:webHidden/>
              </w:rPr>
              <w:tab/>
            </w:r>
            <w:r>
              <w:rPr>
                <w:webHidden/>
              </w:rPr>
              <w:fldChar w:fldCharType="begin"/>
            </w:r>
            <w:r w:rsidR="00C375B2">
              <w:rPr>
                <w:webHidden/>
              </w:rPr>
              <w:instrText xml:space="preserve"> PAGEREF _Toc326073998 \h </w:instrText>
            </w:r>
            <w:r>
              <w:rPr>
                <w:webHidden/>
              </w:rPr>
            </w:r>
            <w:r>
              <w:rPr>
                <w:webHidden/>
              </w:rPr>
              <w:fldChar w:fldCharType="separate"/>
            </w:r>
            <w:r w:rsidR="00C375B2">
              <w:rPr>
                <w:webHidden/>
              </w:rPr>
              <w:t>6</w:t>
            </w:r>
            <w:r>
              <w:rPr>
                <w:webHidden/>
              </w:rPr>
              <w:fldChar w:fldCharType="end"/>
            </w:r>
          </w:hyperlink>
        </w:p>
        <w:p w:rsidR="00C375B2" w:rsidRDefault="00C61D83">
          <w:pPr>
            <w:pStyle w:val="TOC2"/>
            <w:rPr>
              <w:rFonts w:asciiTheme="minorHAnsi" w:hAnsiTheme="minorHAnsi" w:cstheme="minorBidi"/>
              <w:sz w:val="22"/>
              <w:szCs w:val="22"/>
            </w:rPr>
          </w:pPr>
          <w:hyperlink w:anchor="_Toc326073999" w:history="1">
            <w:r w:rsidR="00C375B2" w:rsidRPr="00FD7289">
              <w:rPr>
                <w:rStyle w:val="Hyperlink"/>
              </w:rPr>
              <w:t>2.1</w:t>
            </w:r>
            <w:r w:rsidR="00C375B2">
              <w:rPr>
                <w:rFonts w:asciiTheme="minorHAnsi" w:hAnsiTheme="minorHAnsi" w:cstheme="minorBidi"/>
                <w:sz w:val="22"/>
                <w:szCs w:val="22"/>
              </w:rPr>
              <w:tab/>
            </w:r>
            <w:r w:rsidR="00C375B2" w:rsidRPr="00FD7289">
              <w:rPr>
                <w:rStyle w:val="Hyperlink"/>
              </w:rPr>
              <w:t>Program Summaries</w:t>
            </w:r>
            <w:r w:rsidR="00C375B2">
              <w:rPr>
                <w:webHidden/>
              </w:rPr>
              <w:tab/>
            </w:r>
            <w:r>
              <w:rPr>
                <w:webHidden/>
              </w:rPr>
              <w:fldChar w:fldCharType="begin"/>
            </w:r>
            <w:r w:rsidR="00C375B2">
              <w:rPr>
                <w:webHidden/>
              </w:rPr>
              <w:instrText xml:space="preserve"> PAGEREF _Toc326073999 \h </w:instrText>
            </w:r>
            <w:r>
              <w:rPr>
                <w:webHidden/>
              </w:rPr>
            </w:r>
            <w:r>
              <w:rPr>
                <w:webHidden/>
              </w:rPr>
              <w:fldChar w:fldCharType="separate"/>
            </w:r>
            <w:r w:rsidR="00C375B2">
              <w:rPr>
                <w:webHidden/>
              </w:rPr>
              <w:t>7</w:t>
            </w:r>
            <w:r>
              <w:rPr>
                <w:webHidden/>
              </w:rPr>
              <w:fldChar w:fldCharType="end"/>
            </w:r>
          </w:hyperlink>
        </w:p>
        <w:p w:rsidR="00C375B2" w:rsidRDefault="00C61D83">
          <w:pPr>
            <w:pStyle w:val="TOC3"/>
            <w:rPr>
              <w:rFonts w:asciiTheme="minorHAnsi" w:hAnsiTheme="minorHAnsi" w:cstheme="minorBidi"/>
              <w:sz w:val="22"/>
              <w:szCs w:val="22"/>
            </w:rPr>
          </w:pPr>
          <w:hyperlink w:anchor="_Toc326074000" w:history="1">
            <w:r w:rsidR="00C375B2" w:rsidRPr="00FD7289">
              <w:rPr>
                <w:rStyle w:val="Hyperlink"/>
              </w:rPr>
              <w:t>2.1.1</w:t>
            </w:r>
            <w:r w:rsidR="00C375B2">
              <w:rPr>
                <w:rFonts w:asciiTheme="minorHAnsi" w:hAnsiTheme="minorHAnsi" w:cstheme="minorBidi"/>
                <w:sz w:val="22"/>
                <w:szCs w:val="22"/>
              </w:rPr>
              <w:tab/>
            </w:r>
            <w:r w:rsidR="00C375B2" w:rsidRPr="00FD7289">
              <w:rPr>
                <w:rStyle w:val="Hyperlink"/>
              </w:rPr>
              <w:t>Statewide Capacity Bidding Program</w:t>
            </w:r>
            <w:r w:rsidR="00C375B2">
              <w:rPr>
                <w:webHidden/>
              </w:rPr>
              <w:tab/>
            </w:r>
            <w:r>
              <w:rPr>
                <w:webHidden/>
              </w:rPr>
              <w:fldChar w:fldCharType="begin"/>
            </w:r>
            <w:r w:rsidR="00C375B2">
              <w:rPr>
                <w:webHidden/>
              </w:rPr>
              <w:instrText xml:space="preserve"> PAGEREF _Toc326074000 \h </w:instrText>
            </w:r>
            <w:r>
              <w:rPr>
                <w:webHidden/>
              </w:rPr>
            </w:r>
            <w:r>
              <w:rPr>
                <w:webHidden/>
              </w:rPr>
              <w:fldChar w:fldCharType="separate"/>
            </w:r>
            <w:r w:rsidR="00C375B2">
              <w:rPr>
                <w:webHidden/>
              </w:rPr>
              <w:t>7</w:t>
            </w:r>
            <w:r>
              <w:rPr>
                <w:webHidden/>
              </w:rPr>
              <w:fldChar w:fldCharType="end"/>
            </w:r>
          </w:hyperlink>
        </w:p>
        <w:p w:rsidR="00C375B2" w:rsidRDefault="00C61D83">
          <w:pPr>
            <w:pStyle w:val="TOC3"/>
            <w:rPr>
              <w:rFonts w:asciiTheme="minorHAnsi" w:hAnsiTheme="minorHAnsi" w:cstheme="minorBidi"/>
              <w:sz w:val="22"/>
              <w:szCs w:val="22"/>
            </w:rPr>
          </w:pPr>
          <w:hyperlink w:anchor="_Toc326074001" w:history="1">
            <w:r w:rsidR="00C375B2" w:rsidRPr="00FD7289">
              <w:rPr>
                <w:rStyle w:val="Hyperlink"/>
              </w:rPr>
              <w:t>2.1.2</w:t>
            </w:r>
            <w:r w:rsidR="00C375B2">
              <w:rPr>
                <w:rFonts w:asciiTheme="minorHAnsi" w:hAnsiTheme="minorHAnsi" w:cstheme="minorBidi"/>
                <w:sz w:val="22"/>
                <w:szCs w:val="22"/>
              </w:rPr>
              <w:tab/>
            </w:r>
            <w:r w:rsidR="00C375B2" w:rsidRPr="00FD7289">
              <w:rPr>
                <w:rStyle w:val="Hyperlink"/>
              </w:rPr>
              <w:t>PG&amp;E’s Aggregator Managed Portfolio</w:t>
            </w:r>
            <w:r w:rsidR="00C375B2">
              <w:rPr>
                <w:webHidden/>
              </w:rPr>
              <w:tab/>
            </w:r>
            <w:r>
              <w:rPr>
                <w:webHidden/>
              </w:rPr>
              <w:fldChar w:fldCharType="begin"/>
            </w:r>
            <w:r w:rsidR="00C375B2">
              <w:rPr>
                <w:webHidden/>
              </w:rPr>
              <w:instrText xml:space="preserve"> PAGEREF _Toc326074001 \h </w:instrText>
            </w:r>
            <w:r>
              <w:rPr>
                <w:webHidden/>
              </w:rPr>
            </w:r>
            <w:r>
              <w:rPr>
                <w:webHidden/>
              </w:rPr>
              <w:fldChar w:fldCharType="separate"/>
            </w:r>
            <w:r w:rsidR="00C375B2">
              <w:rPr>
                <w:webHidden/>
              </w:rPr>
              <w:t>9</w:t>
            </w:r>
            <w:r>
              <w:rPr>
                <w:webHidden/>
              </w:rPr>
              <w:fldChar w:fldCharType="end"/>
            </w:r>
          </w:hyperlink>
        </w:p>
        <w:p w:rsidR="00C375B2" w:rsidRDefault="00C61D83">
          <w:pPr>
            <w:pStyle w:val="TOC3"/>
            <w:rPr>
              <w:rFonts w:asciiTheme="minorHAnsi" w:hAnsiTheme="minorHAnsi" w:cstheme="minorBidi"/>
              <w:sz w:val="22"/>
              <w:szCs w:val="22"/>
            </w:rPr>
          </w:pPr>
          <w:hyperlink w:anchor="_Toc326074002" w:history="1">
            <w:r w:rsidR="00C375B2" w:rsidRPr="00FD7289">
              <w:rPr>
                <w:rStyle w:val="Hyperlink"/>
              </w:rPr>
              <w:t>2.1.3</w:t>
            </w:r>
            <w:r w:rsidR="00C375B2">
              <w:rPr>
                <w:rFonts w:asciiTheme="minorHAnsi" w:hAnsiTheme="minorHAnsi" w:cstheme="minorBidi"/>
                <w:sz w:val="22"/>
                <w:szCs w:val="22"/>
              </w:rPr>
              <w:tab/>
            </w:r>
            <w:r w:rsidR="00C375B2" w:rsidRPr="00FD7289">
              <w:rPr>
                <w:rStyle w:val="Hyperlink"/>
              </w:rPr>
              <w:t>SCE’s Demand Response Resource Contracts</w:t>
            </w:r>
            <w:r w:rsidR="00C375B2">
              <w:rPr>
                <w:webHidden/>
              </w:rPr>
              <w:tab/>
            </w:r>
            <w:r>
              <w:rPr>
                <w:webHidden/>
              </w:rPr>
              <w:fldChar w:fldCharType="begin"/>
            </w:r>
            <w:r w:rsidR="00C375B2">
              <w:rPr>
                <w:webHidden/>
              </w:rPr>
              <w:instrText xml:space="preserve"> PAGEREF _Toc326074002 \h </w:instrText>
            </w:r>
            <w:r>
              <w:rPr>
                <w:webHidden/>
              </w:rPr>
            </w:r>
            <w:r>
              <w:rPr>
                <w:webHidden/>
              </w:rPr>
              <w:fldChar w:fldCharType="separate"/>
            </w:r>
            <w:r w:rsidR="00C375B2">
              <w:rPr>
                <w:webHidden/>
              </w:rPr>
              <w:t>10</w:t>
            </w:r>
            <w:r>
              <w:rPr>
                <w:webHidden/>
              </w:rPr>
              <w:fldChar w:fldCharType="end"/>
            </w:r>
          </w:hyperlink>
        </w:p>
        <w:p w:rsidR="00C375B2" w:rsidRDefault="00C61D83">
          <w:pPr>
            <w:pStyle w:val="TOC2"/>
            <w:rPr>
              <w:rFonts w:asciiTheme="minorHAnsi" w:hAnsiTheme="minorHAnsi" w:cstheme="minorBidi"/>
              <w:sz w:val="22"/>
              <w:szCs w:val="22"/>
            </w:rPr>
          </w:pPr>
          <w:hyperlink w:anchor="_Toc326074003" w:history="1">
            <w:r w:rsidR="00C375B2" w:rsidRPr="00FD7289">
              <w:rPr>
                <w:rStyle w:val="Hyperlink"/>
              </w:rPr>
              <w:t>2.2</w:t>
            </w:r>
            <w:r w:rsidR="00C375B2">
              <w:rPr>
                <w:rFonts w:asciiTheme="minorHAnsi" w:hAnsiTheme="minorHAnsi" w:cstheme="minorBidi"/>
                <w:sz w:val="22"/>
                <w:szCs w:val="22"/>
              </w:rPr>
              <w:tab/>
            </w:r>
            <w:r w:rsidR="00C375B2" w:rsidRPr="00FD7289">
              <w:rPr>
                <w:rStyle w:val="Hyperlink"/>
              </w:rPr>
              <w:t>Report Organization</w:t>
            </w:r>
            <w:r w:rsidR="00C375B2">
              <w:rPr>
                <w:webHidden/>
              </w:rPr>
              <w:tab/>
            </w:r>
            <w:r>
              <w:rPr>
                <w:webHidden/>
              </w:rPr>
              <w:fldChar w:fldCharType="begin"/>
            </w:r>
            <w:r w:rsidR="00C375B2">
              <w:rPr>
                <w:webHidden/>
              </w:rPr>
              <w:instrText xml:space="preserve"> PAGEREF _Toc326074003 \h </w:instrText>
            </w:r>
            <w:r>
              <w:rPr>
                <w:webHidden/>
              </w:rPr>
            </w:r>
            <w:r>
              <w:rPr>
                <w:webHidden/>
              </w:rPr>
              <w:fldChar w:fldCharType="separate"/>
            </w:r>
            <w:r w:rsidR="00C375B2">
              <w:rPr>
                <w:webHidden/>
              </w:rPr>
              <w:t>11</w:t>
            </w:r>
            <w:r>
              <w:rPr>
                <w:webHidden/>
              </w:rPr>
              <w:fldChar w:fldCharType="end"/>
            </w:r>
          </w:hyperlink>
        </w:p>
        <w:p w:rsidR="00C375B2" w:rsidRDefault="00C61D83">
          <w:pPr>
            <w:pStyle w:val="TOC1"/>
            <w:rPr>
              <w:rFonts w:asciiTheme="minorHAnsi" w:hAnsiTheme="minorHAnsi" w:cstheme="minorBidi"/>
              <w:sz w:val="22"/>
              <w:szCs w:val="22"/>
            </w:rPr>
          </w:pPr>
          <w:hyperlink w:anchor="_Toc326074004" w:history="1">
            <w:r w:rsidR="00C375B2" w:rsidRPr="00FD7289">
              <w:rPr>
                <w:rStyle w:val="Hyperlink"/>
              </w:rPr>
              <w:t>3</w:t>
            </w:r>
            <w:r w:rsidR="00C375B2">
              <w:rPr>
                <w:rFonts w:asciiTheme="minorHAnsi" w:hAnsiTheme="minorHAnsi" w:cstheme="minorBidi"/>
                <w:sz w:val="22"/>
                <w:szCs w:val="22"/>
              </w:rPr>
              <w:tab/>
            </w:r>
            <w:r w:rsidR="00C375B2" w:rsidRPr="00FD7289">
              <w:rPr>
                <w:rStyle w:val="Hyperlink"/>
              </w:rPr>
              <w:t>Methodology</w:t>
            </w:r>
            <w:r w:rsidR="00C375B2">
              <w:rPr>
                <w:webHidden/>
              </w:rPr>
              <w:tab/>
            </w:r>
            <w:r>
              <w:rPr>
                <w:webHidden/>
              </w:rPr>
              <w:fldChar w:fldCharType="begin"/>
            </w:r>
            <w:r w:rsidR="00C375B2">
              <w:rPr>
                <w:webHidden/>
              </w:rPr>
              <w:instrText xml:space="preserve"> PAGEREF _Toc326074004 \h </w:instrText>
            </w:r>
            <w:r>
              <w:rPr>
                <w:webHidden/>
              </w:rPr>
            </w:r>
            <w:r>
              <w:rPr>
                <w:webHidden/>
              </w:rPr>
              <w:fldChar w:fldCharType="separate"/>
            </w:r>
            <w:r w:rsidR="00C375B2">
              <w:rPr>
                <w:webHidden/>
              </w:rPr>
              <w:t>12</w:t>
            </w:r>
            <w:r>
              <w:rPr>
                <w:webHidden/>
              </w:rPr>
              <w:fldChar w:fldCharType="end"/>
            </w:r>
          </w:hyperlink>
        </w:p>
        <w:p w:rsidR="00C375B2" w:rsidRDefault="00C61D83">
          <w:pPr>
            <w:pStyle w:val="TOC2"/>
            <w:rPr>
              <w:rFonts w:asciiTheme="minorHAnsi" w:hAnsiTheme="minorHAnsi" w:cstheme="minorBidi"/>
              <w:sz w:val="22"/>
              <w:szCs w:val="22"/>
            </w:rPr>
          </w:pPr>
          <w:hyperlink w:anchor="_Toc326074005" w:history="1">
            <w:r w:rsidR="00C375B2" w:rsidRPr="00FD7289">
              <w:rPr>
                <w:rStyle w:val="Hyperlink"/>
              </w:rPr>
              <w:t>3.1</w:t>
            </w:r>
            <w:r w:rsidR="00C375B2">
              <w:rPr>
                <w:rFonts w:asciiTheme="minorHAnsi" w:hAnsiTheme="minorHAnsi" w:cstheme="minorBidi"/>
                <w:sz w:val="22"/>
                <w:szCs w:val="22"/>
              </w:rPr>
              <w:tab/>
            </w:r>
            <w:r w:rsidR="00C375B2" w:rsidRPr="00FD7289">
              <w:rPr>
                <w:rStyle w:val="Hyperlink"/>
              </w:rPr>
              <w:t>Regression Model Selection</w:t>
            </w:r>
            <w:r w:rsidR="00C375B2">
              <w:rPr>
                <w:webHidden/>
              </w:rPr>
              <w:tab/>
            </w:r>
            <w:r>
              <w:rPr>
                <w:webHidden/>
              </w:rPr>
              <w:fldChar w:fldCharType="begin"/>
            </w:r>
            <w:r w:rsidR="00C375B2">
              <w:rPr>
                <w:webHidden/>
              </w:rPr>
              <w:instrText xml:space="preserve"> PAGEREF _Toc326074005 \h </w:instrText>
            </w:r>
            <w:r>
              <w:rPr>
                <w:webHidden/>
              </w:rPr>
            </w:r>
            <w:r>
              <w:rPr>
                <w:webHidden/>
              </w:rPr>
              <w:fldChar w:fldCharType="separate"/>
            </w:r>
            <w:r w:rsidR="00C375B2">
              <w:rPr>
                <w:webHidden/>
              </w:rPr>
              <w:t>12</w:t>
            </w:r>
            <w:r>
              <w:rPr>
                <w:webHidden/>
              </w:rPr>
              <w:fldChar w:fldCharType="end"/>
            </w:r>
          </w:hyperlink>
        </w:p>
        <w:p w:rsidR="00C375B2" w:rsidRDefault="00C61D83">
          <w:pPr>
            <w:pStyle w:val="TOC2"/>
            <w:rPr>
              <w:rFonts w:asciiTheme="minorHAnsi" w:hAnsiTheme="minorHAnsi" w:cstheme="minorBidi"/>
              <w:sz w:val="22"/>
              <w:szCs w:val="22"/>
            </w:rPr>
          </w:pPr>
          <w:hyperlink w:anchor="_Toc326074006" w:history="1">
            <w:r w:rsidR="00C375B2" w:rsidRPr="00FD7289">
              <w:rPr>
                <w:rStyle w:val="Hyperlink"/>
              </w:rPr>
              <w:t>3.2</w:t>
            </w:r>
            <w:r w:rsidR="00C375B2">
              <w:rPr>
                <w:rFonts w:asciiTheme="minorHAnsi" w:hAnsiTheme="minorHAnsi" w:cstheme="minorBidi"/>
                <w:sz w:val="22"/>
                <w:szCs w:val="22"/>
              </w:rPr>
              <w:tab/>
            </w:r>
            <w:r w:rsidR="00C375B2" w:rsidRPr="00FD7289">
              <w:rPr>
                <w:rStyle w:val="Hyperlink"/>
              </w:rPr>
              <w:t>Accuracy of Regression Models</w:t>
            </w:r>
            <w:r w:rsidR="00C375B2">
              <w:rPr>
                <w:webHidden/>
              </w:rPr>
              <w:tab/>
            </w:r>
            <w:r>
              <w:rPr>
                <w:webHidden/>
              </w:rPr>
              <w:fldChar w:fldCharType="begin"/>
            </w:r>
            <w:r w:rsidR="00C375B2">
              <w:rPr>
                <w:webHidden/>
              </w:rPr>
              <w:instrText xml:space="preserve"> PAGEREF _Toc326074006 \h </w:instrText>
            </w:r>
            <w:r>
              <w:rPr>
                <w:webHidden/>
              </w:rPr>
            </w:r>
            <w:r>
              <w:rPr>
                <w:webHidden/>
              </w:rPr>
              <w:fldChar w:fldCharType="separate"/>
            </w:r>
            <w:r w:rsidR="00C375B2">
              <w:rPr>
                <w:webHidden/>
              </w:rPr>
              <w:t>14</w:t>
            </w:r>
            <w:r>
              <w:rPr>
                <w:webHidden/>
              </w:rPr>
              <w:fldChar w:fldCharType="end"/>
            </w:r>
          </w:hyperlink>
        </w:p>
        <w:p w:rsidR="00C375B2" w:rsidRDefault="00C61D83">
          <w:pPr>
            <w:pStyle w:val="TOC2"/>
            <w:rPr>
              <w:rFonts w:asciiTheme="minorHAnsi" w:hAnsiTheme="minorHAnsi" w:cstheme="minorBidi"/>
              <w:sz w:val="22"/>
              <w:szCs w:val="22"/>
            </w:rPr>
          </w:pPr>
          <w:hyperlink w:anchor="_Toc326074007" w:history="1">
            <w:r w:rsidR="00C375B2" w:rsidRPr="00FD7289">
              <w:rPr>
                <w:rStyle w:val="Hyperlink"/>
              </w:rPr>
              <w:t>3.3</w:t>
            </w:r>
            <w:r w:rsidR="00C375B2">
              <w:rPr>
                <w:rFonts w:asciiTheme="minorHAnsi" w:hAnsiTheme="minorHAnsi" w:cstheme="minorBidi"/>
                <w:sz w:val="22"/>
                <w:szCs w:val="22"/>
              </w:rPr>
              <w:tab/>
            </w:r>
            <w:r w:rsidR="00C375B2" w:rsidRPr="00FD7289">
              <w:rPr>
                <w:rStyle w:val="Hyperlink"/>
              </w:rPr>
              <w:t>Ex Ante Load Impact Estimates</w:t>
            </w:r>
            <w:r w:rsidR="00C375B2">
              <w:rPr>
                <w:webHidden/>
              </w:rPr>
              <w:tab/>
            </w:r>
            <w:r>
              <w:rPr>
                <w:webHidden/>
              </w:rPr>
              <w:fldChar w:fldCharType="begin"/>
            </w:r>
            <w:r w:rsidR="00C375B2">
              <w:rPr>
                <w:webHidden/>
              </w:rPr>
              <w:instrText xml:space="preserve"> PAGEREF _Toc326074007 \h </w:instrText>
            </w:r>
            <w:r>
              <w:rPr>
                <w:webHidden/>
              </w:rPr>
            </w:r>
            <w:r>
              <w:rPr>
                <w:webHidden/>
              </w:rPr>
              <w:fldChar w:fldCharType="separate"/>
            </w:r>
            <w:r w:rsidR="00C375B2">
              <w:rPr>
                <w:webHidden/>
              </w:rPr>
              <w:t>17</w:t>
            </w:r>
            <w:r>
              <w:rPr>
                <w:webHidden/>
              </w:rPr>
              <w:fldChar w:fldCharType="end"/>
            </w:r>
          </w:hyperlink>
        </w:p>
        <w:p w:rsidR="00C375B2" w:rsidRDefault="00C61D83">
          <w:pPr>
            <w:pStyle w:val="TOC3"/>
            <w:rPr>
              <w:rFonts w:asciiTheme="minorHAnsi" w:hAnsiTheme="minorHAnsi" w:cstheme="minorBidi"/>
              <w:sz w:val="22"/>
              <w:szCs w:val="22"/>
            </w:rPr>
          </w:pPr>
          <w:hyperlink w:anchor="_Toc326074008" w:history="1">
            <w:r w:rsidR="00C375B2" w:rsidRPr="00FD7289">
              <w:rPr>
                <w:rStyle w:val="Hyperlink"/>
              </w:rPr>
              <w:t>3.3.1</w:t>
            </w:r>
            <w:r w:rsidR="00C375B2">
              <w:rPr>
                <w:rFonts w:asciiTheme="minorHAnsi" w:hAnsiTheme="minorHAnsi" w:cstheme="minorBidi"/>
                <w:sz w:val="22"/>
                <w:szCs w:val="22"/>
              </w:rPr>
              <w:tab/>
            </w:r>
            <w:r w:rsidR="00C375B2" w:rsidRPr="00FD7289">
              <w:rPr>
                <w:rStyle w:val="Hyperlink"/>
              </w:rPr>
              <w:t>Ex Ante Impact Uncertainty</w:t>
            </w:r>
            <w:r w:rsidR="00C375B2">
              <w:rPr>
                <w:webHidden/>
              </w:rPr>
              <w:tab/>
            </w:r>
            <w:r>
              <w:rPr>
                <w:webHidden/>
              </w:rPr>
              <w:fldChar w:fldCharType="begin"/>
            </w:r>
            <w:r w:rsidR="00C375B2">
              <w:rPr>
                <w:webHidden/>
              </w:rPr>
              <w:instrText xml:space="preserve"> PAGEREF _Toc326074008 \h </w:instrText>
            </w:r>
            <w:r>
              <w:rPr>
                <w:webHidden/>
              </w:rPr>
            </w:r>
            <w:r>
              <w:rPr>
                <w:webHidden/>
              </w:rPr>
              <w:fldChar w:fldCharType="separate"/>
            </w:r>
            <w:r w:rsidR="00C375B2">
              <w:rPr>
                <w:webHidden/>
              </w:rPr>
              <w:t>19</w:t>
            </w:r>
            <w:r>
              <w:rPr>
                <w:webHidden/>
              </w:rPr>
              <w:fldChar w:fldCharType="end"/>
            </w:r>
          </w:hyperlink>
        </w:p>
        <w:p w:rsidR="00C375B2" w:rsidRDefault="00C61D83">
          <w:pPr>
            <w:pStyle w:val="TOC1"/>
            <w:rPr>
              <w:rFonts w:asciiTheme="minorHAnsi" w:hAnsiTheme="minorHAnsi" w:cstheme="minorBidi"/>
              <w:sz w:val="22"/>
              <w:szCs w:val="22"/>
            </w:rPr>
          </w:pPr>
          <w:hyperlink w:anchor="_Toc326074009" w:history="1">
            <w:r w:rsidR="00C375B2" w:rsidRPr="00FD7289">
              <w:rPr>
                <w:rStyle w:val="Hyperlink"/>
              </w:rPr>
              <w:t>4</w:t>
            </w:r>
            <w:r w:rsidR="00C375B2">
              <w:rPr>
                <w:rFonts w:asciiTheme="minorHAnsi" w:hAnsiTheme="minorHAnsi" w:cstheme="minorBidi"/>
                <w:sz w:val="22"/>
                <w:szCs w:val="22"/>
              </w:rPr>
              <w:tab/>
            </w:r>
            <w:r w:rsidR="00C375B2" w:rsidRPr="00FD7289">
              <w:rPr>
                <w:rStyle w:val="Hyperlink"/>
              </w:rPr>
              <w:t>Load Impact Estimates for PG&amp;E’s AMP and CBP Programs</w:t>
            </w:r>
            <w:r w:rsidR="00C375B2">
              <w:rPr>
                <w:webHidden/>
              </w:rPr>
              <w:tab/>
            </w:r>
            <w:r>
              <w:rPr>
                <w:webHidden/>
              </w:rPr>
              <w:fldChar w:fldCharType="begin"/>
            </w:r>
            <w:r w:rsidR="00C375B2">
              <w:rPr>
                <w:webHidden/>
              </w:rPr>
              <w:instrText xml:space="preserve"> PAGEREF _Toc326074009 \h </w:instrText>
            </w:r>
            <w:r>
              <w:rPr>
                <w:webHidden/>
              </w:rPr>
            </w:r>
            <w:r>
              <w:rPr>
                <w:webHidden/>
              </w:rPr>
              <w:fldChar w:fldCharType="separate"/>
            </w:r>
            <w:r w:rsidR="00C375B2">
              <w:rPr>
                <w:webHidden/>
              </w:rPr>
              <w:t>20</w:t>
            </w:r>
            <w:r>
              <w:rPr>
                <w:webHidden/>
              </w:rPr>
              <w:fldChar w:fldCharType="end"/>
            </w:r>
          </w:hyperlink>
        </w:p>
        <w:p w:rsidR="00C375B2" w:rsidRDefault="00C61D83">
          <w:pPr>
            <w:pStyle w:val="TOC2"/>
            <w:rPr>
              <w:rFonts w:asciiTheme="minorHAnsi" w:hAnsiTheme="minorHAnsi" w:cstheme="minorBidi"/>
              <w:sz w:val="22"/>
              <w:szCs w:val="22"/>
            </w:rPr>
          </w:pPr>
          <w:hyperlink w:anchor="_Toc326074010" w:history="1">
            <w:r w:rsidR="00C375B2" w:rsidRPr="00FD7289">
              <w:rPr>
                <w:rStyle w:val="Hyperlink"/>
              </w:rPr>
              <w:t>4.1</w:t>
            </w:r>
            <w:r w:rsidR="00C375B2">
              <w:rPr>
                <w:rFonts w:asciiTheme="minorHAnsi" w:hAnsiTheme="minorHAnsi" w:cstheme="minorBidi"/>
                <w:sz w:val="22"/>
                <w:szCs w:val="22"/>
              </w:rPr>
              <w:tab/>
            </w:r>
            <w:r w:rsidR="00C375B2" w:rsidRPr="00FD7289">
              <w:rPr>
                <w:rStyle w:val="Hyperlink"/>
              </w:rPr>
              <w:t>2011 Event Day Characteristics</w:t>
            </w:r>
            <w:r w:rsidR="00C375B2">
              <w:rPr>
                <w:webHidden/>
              </w:rPr>
              <w:tab/>
            </w:r>
            <w:r>
              <w:rPr>
                <w:webHidden/>
              </w:rPr>
              <w:fldChar w:fldCharType="begin"/>
            </w:r>
            <w:r w:rsidR="00C375B2">
              <w:rPr>
                <w:webHidden/>
              </w:rPr>
              <w:instrText xml:space="preserve"> PAGEREF _Toc326074010 \h </w:instrText>
            </w:r>
            <w:r>
              <w:rPr>
                <w:webHidden/>
              </w:rPr>
            </w:r>
            <w:r>
              <w:rPr>
                <w:webHidden/>
              </w:rPr>
              <w:fldChar w:fldCharType="separate"/>
            </w:r>
            <w:r w:rsidR="00C375B2">
              <w:rPr>
                <w:webHidden/>
              </w:rPr>
              <w:t>20</w:t>
            </w:r>
            <w:r>
              <w:rPr>
                <w:webHidden/>
              </w:rPr>
              <w:fldChar w:fldCharType="end"/>
            </w:r>
          </w:hyperlink>
        </w:p>
        <w:p w:rsidR="00C375B2" w:rsidRDefault="00C61D83">
          <w:pPr>
            <w:pStyle w:val="TOC2"/>
            <w:rPr>
              <w:rFonts w:asciiTheme="minorHAnsi" w:hAnsiTheme="minorHAnsi" w:cstheme="minorBidi"/>
              <w:sz w:val="22"/>
              <w:szCs w:val="22"/>
            </w:rPr>
          </w:pPr>
          <w:hyperlink w:anchor="_Toc326074011" w:history="1">
            <w:r w:rsidR="00C375B2" w:rsidRPr="00FD7289">
              <w:rPr>
                <w:rStyle w:val="Hyperlink"/>
              </w:rPr>
              <w:t>4.2</w:t>
            </w:r>
            <w:r w:rsidR="00C375B2">
              <w:rPr>
                <w:rFonts w:asciiTheme="minorHAnsi" w:hAnsiTheme="minorHAnsi" w:cstheme="minorBidi"/>
                <w:sz w:val="22"/>
                <w:szCs w:val="22"/>
              </w:rPr>
              <w:tab/>
            </w:r>
            <w:r w:rsidR="00C375B2" w:rsidRPr="00FD7289">
              <w:rPr>
                <w:rStyle w:val="Hyperlink"/>
              </w:rPr>
              <w:t>Aggregator Managed Portfolio Load Impacts</w:t>
            </w:r>
            <w:r w:rsidR="00C375B2">
              <w:rPr>
                <w:webHidden/>
              </w:rPr>
              <w:tab/>
            </w:r>
            <w:r>
              <w:rPr>
                <w:webHidden/>
              </w:rPr>
              <w:fldChar w:fldCharType="begin"/>
            </w:r>
            <w:r w:rsidR="00C375B2">
              <w:rPr>
                <w:webHidden/>
              </w:rPr>
              <w:instrText xml:space="preserve"> PAGEREF _Toc326074011 \h </w:instrText>
            </w:r>
            <w:r>
              <w:rPr>
                <w:webHidden/>
              </w:rPr>
            </w:r>
            <w:r>
              <w:rPr>
                <w:webHidden/>
              </w:rPr>
              <w:fldChar w:fldCharType="separate"/>
            </w:r>
            <w:r w:rsidR="00C375B2">
              <w:rPr>
                <w:webHidden/>
              </w:rPr>
              <w:t>21</w:t>
            </w:r>
            <w:r>
              <w:rPr>
                <w:webHidden/>
              </w:rPr>
              <w:fldChar w:fldCharType="end"/>
            </w:r>
          </w:hyperlink>
        </w:p>
        <w:p w:rsidR="00C375B2" w:rsidRDefault="00C61D83">
          <w:pPr>
            <w:pStyle w:val="TOC3"/>
            <w:rPr>
              <w:rFonts w:asciiTheme="minorHAnsi" w:hAnsiTheme="minorHAnsi" w:cstheme="minorBidi"/>
              <w:sz w:val="22"/>
              <w:szCs w:val="22"/>
            </w:rPr>
          </w:pPr>
          <w:hyperlink w:anchor="_Toc326074012" w:history="1">
            <w:r w:rsidR="00C375B2" w:rsidRPr="00FD7289">
              <w:rPr>
                <w:rStyle w:val="Hyperlink"/>
              </w:rPr>
              <w:t>4.2.1</w:t>
            </w:r>
            <w:r w:rsidR="00C375B2">
              <w:rPr>
                <w:rFonts w:asciiTheme="minorHAnsi" w:hAnsiTheme="minorHAnsi" w:cstheme="minorBidi"/>
                <w:sz w:val="22"/>
                <w:szCs w:val="22"/>
              </w:rPr>
              <w:tab/>
            </w:r>
            <w:r w:rsidR="00C375B2" w:rsidRPr="00FD7289">
              <w:rPr>
                <w:rStyle w:val="Hyperlink"/>
              </w:rPr>
              <w:t>AMP Demand Reductions by Industry</w:t>
            </w:r>
            <w:r w:rsidR="00C375B2">
              <w:rPr>
                <w:webHidden/>
              </w:rPr>
              <w:tab/>
            </w:r>
            <w:r>
              <w:rPr>
                <w:webHidden/>
              </w:rPr>
              <w:fldChar w:fldCharType="begin"/>
            </w:r>
            <w:r w:rsidR="00C375B2">
              <w:rPr>
                <w:webHidden/>
              </w:rPr>
              <w:instrText xml:space="preserve"> PAGEREF _Toc326074012 \h </w:instrText>
            </w:r>
            <w:r>
              <w:rPr>
                <w:webHidden/>
              </w:rPr>
            </w:r>
            <w:r>
              <w:rPr>
                <w:webHidden/>
              </w:rPr>
              <w:fldChar w:fldCharType="separate"/>
            </w:r>
            <w:r w:rsidR="00C375B2">
              <w:rPr>
                <w:webHidden/>
              </w:rPr>
              <w:t>23</w:t>
            </w:r>
            <w:r>
              <w:rPr>
                <w:webHidden/>
              </w:rPr>
              <w:fldChar w:fldCharType="end"/>
            </w:r>
          </w:hyperlink>
        </w:p>
        <w:p w:rsidR="00C375B2" w:rsidRDefault="00C61D83">
          <w:pPr>
            <w:pStyle w:val="TOC3"/>
            <w:rPr>
              <w:rFonts w:asciiTheme="minorHAnsi" w:hAnsiTheme="minorHAnsi" w:cstheme="minorBidi"/>
              <w:sz w:val="22"/>
              <w:szCs w:val="22"/>
            </w:rPr>
          </w:pPr>
          <w:hyperlink w:anchor="_Toc326074013" w:history="1">
            <w:r w:rsidR="00C375B2" w:rsidRPr="00FD7289">
              <w:rPr>
                <w:rStyle w:val="Hyperlink"/>
              </w:rPr>
              <w:t>4.2.2</w:t>
            </w:r>
            <w:r w:rsidR="00C375B2">
              <w:rPr>
                <w:rFonts w:asciiTheme="minorHAnsi" w:hAnsiTheme="minorHAnsi" w:cstheme="minorBidi"/>
                <w:sz w:val="22"/>
                <w:szCs w:val="22"/>
              </w:rPr>
              <w:tab/>
            </w:r>
            <w:r w:rsidR="00C375B2" w:rsidRPr="00FD7289">
              <w:rPr>
                <w:rStyle w:val="Hyperlink"/>
              </w:rPr>
              <w:t>AMP Demand Reductions by Local Capacity Area</w:t>
            </w:r>
            <w:r w:rsidR="00C375B2">
              <w:rPr>
                <w:webHidden/>
              </w:rPr>
              <w:tab/>
            </w:r>
            <w:r>
              <w:rPr>
                <w:webHidden/>
              </w:rPr>
              <w:fldChar w:fldCharType="begin"/>
            </w:r>
            <w:r w:rsidR="00C375B2">
              <w:rPr>
                <w:webHidden/>
              </w:rPr>
              <w:instrText xml:space="preserve"> PAGEREF _Toc326074013 \h </w:instrText>
            </w:r>
            <w:r>
              <w:rPr>
                <w:webHidden/>
              </w:rPr>
            </w:r>
            <w:r>
              <w:rPr>
                <w:webHidden/>
              </w:rPr>
              <w:fldChar w:fldCharType="separate"/>
            </w:r>
            <w:r w:rsidR="00C375B2">
              <w:rPr>
                <w:webHidden/>
              </w:rPr>
              <w:t>24</w:t>
            </w:r>
            <w:r>
              <w:rPr>
                <w:webHidden/>
              </w:rPr>
              <w:fldChar w:fldCharType="end"/>
            </w:r>
          </w:hyperlink>
        </w:p>
        <w:p w:rsidR="00C375B2" w:rsidRDefault="00C61D83">
          <w:pPr>
            <w:pStyle w:val="TOC3"/>
            <w:rPr>
              <w:rFonts w:asciiTheme="minorHAnsi" w:hAnsiTheme="minorHAnsi" w:cstheme="minorBidi"/>
              <w:sz w:val="22"/>
              <w:szCs w:val="22"/>
            </w:rPr>
          </w:pPr>
          <w:hyperlink w:anchor="_Toc326074014" w:history="1">
            <w:r w:rsidR="00C375B2" w:rsidRPr="00FD7289">
              <w:rPr>
                <w:rStyle w:val="Hyperlink"/>
              </w:rPr>
              <w:t>4.2.3</w:t>
            </w:r>
            <w:r w:rsidR="00C375B2">
              <w:rPr>
                <w:rFonts w:asciiTheme="minorHAnsi" w:hAnsiTheme="minorHAnsi" w:cstheme="minorBidi"/>
                <w:sz w:val="22"/>
                <w:szCs w:val="22"/>
              </w:rPr>
              <w:tab/>
            </w:r>
            <w:r w:rsidR="00C375B2" w:rsidRPr="00FD7289">
              <w:rPr>
                <w:rStyle w:val="Hyperlink"/>
              </w:rPr>
              <w:t>AMP Demand Reductions by Customer Size</w:t>
            </w:r>
            <w:r w:rsidR="00C375B2">
              <w:rPr>
                <w:webHidden/>
              </w:rPr>
              <w:tab/>
            </w:r>
            <w:r>
              <w:rPr>
                <w:webHidden/>
              </w:rPr>
              <w:fldChar w:fldCharType="begin"/>
            </w:r>
            <w:r w:rsidR="00C375B2">
              <w:rPr>
                <w:webHidden/>
              </w:rPr>
              <w:instrText xml:space="preserve"> PAGEREF _Toc326074014 \h </w:instrText>
            </w:r>
            <w:r>
              <w:rPr>
                <w:webHidden/>
              </w:rPr>
            </w:r>
            <w:r>
              <w:rPr>
                <w:webHidden/>
              </w:rPr>
              <w:fldChar w:fldCharType="separate"/>
            </w:r>
            <w:r w:rsidR="00C375B2">
              <w:rPr>
                <w:webHidden/>
              </w:rPr>
              <w:t>25</w:t>
            </w:r>
            <w:r>
              <w:rPr>
                <w:webHidden/>
              </w:rPr>
              <w:fldChar w:fldCharType="end"/>
            </w:r>
          </w:hyperlink>
        </w:p>
        <w:p w:rsidR="00C375B2" w:rsidRDefault="00C61D83">
          <w:pPr>
            <w:pStyle w:val="TOC2"/>
            <w:rPr>
              <w:rFonts w:asciiTheme="minorHAnsi" w:hAnsiTheme="minorHAnsi" w:cstheme="minorBidi"/>
              <w:sz w:val="22"/>
              <w:szCs w:val="22"/>
            </w:rPr>
          </w:pPr>
          <w:hyperlink w:anchor="_Toc326074015" w:history="1">
            <w:r w:rsidR="00C375B2" w:rsidRPr="00FD7289">
              <w:rPr>
                <w:rStyle w:val="Hyperlink"/>
              </w:rPr>
              <w:t>4.3</w:t>
            </w:r>
            <w:r w:rsidR="00C375B2">
              <w:rPr>
                <w:rFonts w:asciiTheme="minorHAnsi" w:hAnsiTheme="minorHAnsi" w:cstheme="minorBidi"/>
                <w:sz w:val="22"/>
                <w:szCs w:val="22"/>
              </w:rPr>
              <w:tab/>
            </w:r>
            <w:r w:rsidR="00C375B2" w:rsidRPr="00FD7289">
              <w:rPr>
                <w:rStyle w:val="Hyperlink"/>
              </w:rPr>
              <w:t>Capacity Bidding Program Load Impacts</w:t>
            </w:r>
            <w:r w:rsidR="00C375B2">
              <w:rPr>
                <w:webHidden/>
              </w:rPr>
              <w:tab/>
            </w:r>
            <w:r>
              <w:rPr>
                <w:webHidden/>
              </w:rPr>
              <w:fldChar w:fldCharType="begin"/>
            </w:r>
            <w:r w:rsidR="00C375B2">
              <w:rPr>
                <w:webHidden/>
              </w:rPr>
              <w:instrText xml:space="preserve"> PAGEREF _Toc326074015 \h </w:instrText>
            </w:r>
            <w:r>
              <w:rPr>
                <w:webHidden/>
              </w:rPr>
            </w:r>
            <w:r>
              <w:rPr>
                <w:webHidden/>
              </w:rPr>
              <w:fldChar w:fldCharType="separate"/>
            </w:r>
            <w:r w:rsidR="00C375B2">
              <w:rPr>
                <w:webHidden/>
              </w:rPr>
              <w:t>26</w:t>
            </w:r>
            <w:r>
              <w:rPr>
                <w:webHidden/>
              </w:rPr>
              <w:fldChar w:fldCharType="end"/>
            </w:r>
          </w:hyperlink>
        </w:p>
        <w:p w:rsidR="00C375B2" w:rsidRDefault="00C61D83">
          <w:pPr>
            <w:pStyle w:val="TOC3"/>
            <w:rPr>
              <w:rFonts w:asciiTheme="minorHAnsi" w:hAnsiTheme="minorHAnsi" w:cstheme="minorBidi"/>
              <w:sz w:val="22"/>
              <w:szCs w:val="22"/>
            </w:rPr>
          </w:pPr>
          <w:hyperlink w:anchor="_Toc326074016" w:history="1">
            <w:r w:rsidR="00C375B2" w:rsidRPr="00FD7289">
              <w:rPr>
                <w:rStyle w:val="Hyperlink"/>
              </w:rPr>
              <w:t>4.3.1</w:t>
            </w:r>
            <w:r w:rsidR="00C375B2">
              <w:rPr>
                <w:rFonts w:asciiTheme="minorHAnsi" w:hAnsiTheme="minorHAnsi" w:cstheme="minorBidi"/>
                <w:sz w:val="22"/>
                <w:szCs w:val="22"/>
              </w:rPr>
              <w:tab/>
            </w:r>
            <w:r w:rsidR="00C375B2" w:rsidRPr="00FD7289">
              <w:rPr>
                <w:rStyle w:val="Hyperlink"/>
              </w:rPr>
              <w:t>CBP Demand Reductions by Industry</w:t>
            </w:r>
            <w:r w:rsidR="00C375B2">
              <w:rPr>
                <w:webHidden/>
              </w:rPr>
              <w:tab/>
            </w:r>
            <w:r>
              <w:rPr>
                <w:webHidden/>
              </w:rPr>
              <w:fldChar w:fldCharType="begin"/>
            </w:r>
            <w:r w:rsidR="00C375B2">
              <w:rPr>
                <w:webHidden/>
              </w:rPr>
              <w:instrText xml:space="preserve"> PAGEREF _Toc326074016 \h </w:instrText>
            </w:r>
            <w:r>
              <w:rPr>
                <w:webHidden/>
              </w:rPr>
            </w:r>
            <w:r>
              <w:rPr>
                <w:webHidden/>
              </w:rPr>
              <w:fldChar w:fldCharType="separate"/>
            </w:r>
            <w:r w:rsidR="00C375B2">
              <w:rPr>
                <w:webHidden/>
              </w:rPr>
              <w:t>27</w:t>
            </w:r>
            <w:r>
              <w:rPr>
                <w:webHidden/>
              </w:rPr>
              <w:fldChar w:fldCharType="end"/>
            </w:r>
          </w:hyperlink>
        </w:p>
        <w:p w:rsidR="00C375B2" w:rsidRDefault="00C61D83">
          <w:pPr>
            <w:pStyle w:val="TOC3"/>
            <w:rPr>
              <w:rFonts w:asciiTheme="minorHAnsi" w:hAnsiTheme="minorHAnsi" w:cstheme="minorBidi"/>
              <w:sz w:val="22"/>
              <w:szCs w:val="22"/>
            </w:rPr>
          </w:pPr>
          <w:hyperlink w:anchor="_Toc326074017" w:history="1">
            <w:r w:rsidR="00C375B2" w:rsidRPr="00FD7289">
              <w:rPr>
                <w:rStyle w:val="Hyperlink"/>
              </w:rPr>
              <w:t>4.3.2</w:t>
            </w:r>
            <w:r w:rsidR="00C375B2">
              <w:rPr>
                <w:rFonts w:asciiTheme="minorHAnsi" w:hAnsiTheme="minorHAnsi" w:cstheme="minorBidi"/>
                <w:sz w:val="22"/>
                <w:szCs w:val="22"/>
              </w:rPr>
              <w:tab/>
            </w:r>
            <w:r w:rsidR="00C375B2" w:rsidRPr="00FD7289">
              <w:rPr>
                <w:rStyle w:val="Hyperlink"/>
              </w:rPr>
              <w:t>CBP Demand Reductions by Local Capacity Area</w:t>
            </w:r>
            <w:r w:rsidR="00C375B2">
              <w:rPr>
                <w:webHidden/>
              </w:rPr>
              <w:tab/>
            </w:r>
            <w:r>
              <w:rPr>
                <w:webHidden/>
              </w:rPr>
              <w:fldChar w:fldCharType="begin"/>
            </w:r>
            <w:r w:rsidR="00C375B2">
              <w:rPr>
                <w:webHidden/>
              </w:rPr>
              <w:instrText xml:space="preserve"> PAGEREF _Toc326074017 \h </w:instrText>
            </w:r>
            <w:r>
              <w:rPr>
                <w:webHidden/>
              </w:rPr>
            </w:r>
            <w:r>
              <w:rPr>
                <w:webHidden/>
              </w:rPr>
              <w:fldChar w:fldCharType="separate"/>
            </w:r>
            <w:r w:rsidR="00C375B2">
              <w:rPr>
                <w:webHidden/>
              </w:rPr>
              <w:t>28</w:t>
            </w:r>
            <w:r>
              <w:rPr>
                <w:webHidden/>
              </w:rPr>
              <w:fldChar w:fldCharType="end"/>
            </w:r>
          </w:hyperlink>
        </w:p>
        <w:p w:rsidR="00C375B2" w:rsidRDefault="00C61D83">
          <w:pPr>
            <w:pStyle w:val="TOC3"/>
            <w:rPr>
              <w:rFonts w:asciiTheme="minorHAnsi" w:hAnsiTheme="minorHAnsi" w:cstheme="minorBidi"/>
              <w:sz w:val="22"/>
              <w:szCs w:val="22"/>
            </w:rPr>
          </w:pPr>
          <w:hyperlink w:anchor="_Toc326074018" w:history="1">
            <w:r w:rsidR="00C375B2" w:rsidRPr="00FD7289">
              <w:rPr>
                <w:rStyle w:val="Hyperlink"/>
              </w:rPr>
              <w:t>4.3.3</w:t>
            </w:r>
            <w:r w:rsidR="00C375B2">
              <w:rPr>
                <w:rFonts w:asciiTheme="minorHAnsi" w:hAnsiTheme="minorHAnsi" w:cstheme="minorBidi"/>
                <w:sz w:val="22"/>
                <w:szCs w:val="22"/>
              </w:rPr>
              <w:tab/>
            </w:r>
            <w:r w:rsidR="00C375B2" w:rsidRPr="00FD7289">
              <w:rPr>
                <w:rStyle w:val="Hyperlink"/>
              </w:rPr>
              <w:t>CBP Demand Reductions by Customer Size</w:t>
            </w:r>
            <w:r w:rsidR="00C375B2">
              <w:rPr>
                <w:webHidden/>
              </w:rPr>
              <w:tab/>
            </w:r>
            <w:r>
              <w:rPr>
                <w:webHidden/>
              </w:rPr>
              <w:fldChar w:fldCharType="begin"/>
            </w:r>
            <w:r w:rsidR="00C375B2">
              <w:rPr>
                <w:webHidden/>
              </w:rPr>
              <w:instrText xml:space="preserve"> PAGEREF _Toc326074018 \h </w:instrText>
            </w:r>
            <w:r>
              <w:rPr>
                <w:webHidden/>
              </w:rPr>
            </w:r>
            <w:r>
              <w:rPr>
                <w:webHidden/>
              </w:rPr>
              <w:fldChar w:fldCharType="separate"/>
            </w:r>
            <w:r w:rsidR="00C375B2">
              <w:rPr>
                <w:webHidden/>
              </w:rPr>
              <w:t>29</w:t>
            </w:r>
            <w:r>
              <w:rPr>
                <w:webHidden/>
              </w:rPr>
              <w:fldChar w:fldCharType="end"/>
            </w:r>
          </w:hyperlink>
        </w:p>
        <w:p w:rsidR="00C375B2" w:rsidRDefault="00C61D83">
          <w:pPr>
            <w:pStyle w:val="TOC2"/>
            <w:rPr>
              <w:rFonts w:asciiTheme="minorHAnsi" w:hAnsiTheme="minorHAnsi" w:cstheme="minorBidi"/>
              <w:sz w:val="22"/>
              <w:szCs w:val="22"/>
            </w:rPr>
          </w:pPr>
          <w:hyperlink w:anchor="_Toc326074019" w:history="1">
            <w:r w:rsidR="00C375B2" w:rsidRPr="00FD7289">
              <w:rPr>
                <w:rStyle w:val="Hyperlink"/>
              </w:rPr>
              <w:t>4.4</w:t>
            </w:r>
            <w:r w:rsidR="00C375B2">
              <w:rPr>
                <w:rFonts w:asciiTheme="minorHAnsi" w:hAnsiTheme="minorHAnsi" w:cstheme="minorBidi"/>
                <w:sz w:val="22"/>
                <w:szCs w:val="22"/>
              </w:rPr>
              <w:tab/>
            </w:r>
            <w:r w:rsidR="00C375B2" w:rsidRPr="00FD7289">
              <w:rPr>
                <w:rStyle w:val="Hyperlink"/>
              </w:rPr>
              <w:t>Technical Incentive and AutoDR Realization Rates</w:t>
            </w:r>
            <w:r w:rsidR="00C375B2">
              <w:rPr>
                <w:webHidden/>
              </w:rPr>
              <w:tab/>
            </w:r>
            <w:r>
              <w:rPr>
                <w:webHidden/>
              </w:rPr>
              <w:fldChar w:fldCharType="begin"/>
            </w:r>
            <w:r w:rsidR="00C375B2">
              <w:rPr>
                <w:webHidden/>
              </w:rPr>
              <w:instrText xml:space="preserve"> PAGEREF _Toc326074019 \h </w:instrText>
            </w:r>
            <w:r>
              <w:rPr>
                <w:webHidden/>
              </w:rPr>
            </w:r>
            <w:r>
              <w:rPr>
                <w:webHidden/>
              </w:rPr>
              <w:fldChar w:fldCharType="separate"/>
            </w:r>
            <w:r w:rsidR="00C375B2">
              <w:rPr>
                <w:webHidden/>
              </w:rPr>
              <w:t>30</w:t>
            </w:r>
            <w:r>
              <w:rPr>
                <w:webHidden/>
              </w:rPr>
              <w:fldChar w:fldCharType="end"/>
            </w:r>
          </w:hyperlink>
        </w:p>
        <w:p w:rsidR="00C375B2" w:rsidRDefault="00C61D83">
          <w:pPr>
            <w:pStyle w:val="TOC1"/>
            <w:rPr>
              <w:rFonts w:asciiTheme="minorHAnsi" w:hAnsiTheme="minorHAnsi" w:cstheme="minorBidi"/>
              <w:sz w:val="22"/>
              <w:szCs w:val="22"/>
            </w:rPr>
          </w:pPr>
          <w:hyperlink w:anchor="_Toc326074020" w:history="1">
            <w:r w:rsidR="00C375B2" w:rsidRPr="00FD7289">
              <w:rPr>
                <w:rStyle w:val="Hyperlink"/>
              </w:rPr>
              <w:t>5</w:t>
            </w:r>
            <w:r w:rsidR="00C375B2">
              <w:rPr>
                <w:rFonts w:asciiTheme="minorHAnsi" w:hAnsiTheme="minorHAnsi" w:cstheme="minorBidi"/>
                <w:sz w:val="22"/>
                <w:szCs w:val="22"/>
              </w:rPr>
              <w:tab/>
            </w:r>
            <w:r w:rsidR="00C375B2" w:rsidRPr="00FD7289">
              <w:rPr>
                <w:rStyle w:val="Hyperlink"/>
              </w:rPr>
              <w:t>Load Impact Estimates for SCE’s DRRC and CBP Programs</w:t>
            </w:r>
            <w:r w:rsidR="00C375B2">
              <w:rPr>
                <w:webHidden/>
              </w:rPr>
              <w:tab/>
            </w:r>
            <w:r>
              <w:rPr>
                <w:webHidden/>
              </w:rPr>
              <w:fldChar w:fldCharType="begin"/>
            </w:r>
            <w:r w:rsidR="00C375B2">
              <w:rPr>
                <w:webHidden/>
              </w:rPr>
              <w:instrText xml:space="preserve"> PAGEREF _Toc326074020 \h </w:instrText>
            </w:r>
            <w:r>
              <w:rPr>
                <w:webHidden/>
              </w:rPr>
            </w:r>
            <w:r>
              <w:rPr>
                <w:webHidden/>
              </w:rPr>
              <w:fldChar w:fldCharType="separate"/>
            </w:r>
            <w:r w:rsidR="00C375B2">
              <w:rPr>
                <w:webHidden/>
              </w:rPr>
              <w:t>32</w:t>
            </w:r>
            <w:r>
              <w:rPr>
                <w:webHidden/>
              </w:rPr>
              <w:fldChar w:fldCharType="end"/>
            </w:r>
          </w:hyperlink>
        </w:p>
        <w:p w:rsidR="00C375B2" w:rsidRDefault="00C61D83">
          <w:pPr>
            <w:pStyle w:val="TOC2"/>
            <w:rPr>
              <w:rFonts w:asciiTheme="minorHAnsi" w:hAnsiTheme="minorHAnsi" w:cstheme="minorBidi"/>
              <w:sz w:val="22"/>
              <w:szCs w:val="22"/>
            </w:rPr>
          </w:pPr>
          <w:hyperlink w:anchor="_Toc326074021" w:history="1">
            <w:r w:rsidR="00C375B2" w:rsidRPr="00FD7289">
              <w:rPr>
                <w:rStyle w:val="Hyperlink"/>
              </w:rPr>
              <w:t>5.1</w:t>
            </w:r>
            <w:r w:rsidR="00C375B2">
              <w:rPr>
                <w:rFonts w:asciiTheme="minorHAnsi" w:hAnsiTheme="minorHAnsi" w:cstheme="minorBidi"/>
                <w:sz w:val="22"/>
                <w:szCs w:val="22"/>
              </w:rPr>
              <w:tab/>
            </w:r>
            <w:r w:rsidR="00C375B2" w:rsidRPr="00FD7289">
              <w:rPr>
                <w:rStyle w:val="Hyperlink"/>
              </w:rPr>
              <w:t>2011 Event Day Characteristics</w:t>
            </w:r>
            <w:r w:rsidR="00C375B2">
              <w:rPr>
                <w:webHidden/>
              </w:rPr>
              <w:tab/>
            </w:r>
            <w:r>
              <w:rPr>
                <w:webHidden/>
              </w:rPr>
              <w:fldChar w:fldCharType="begin"/>
            </w:r>
            <w:r w:rsidR="00C375B2">
              <w:rPr>
                <w:webHidden/>
              </w:rPr>
              <w:instrText xml:space="preserve"> PAGEREF _Toc326074021 \h </w:instrText>
            </w:r>
            <w:r>
              <w:rPr>
                <w:webHidden/>
              </w:rPr>
            </w:r>
            <w:r>
              <w:rPr>
                <w:webHidden/>
              </w:rPr>
              <w:fldChar w:fldCharType="separate"/>
            </w:r>
            <w:r w:rsidR="00C375B2">
              <w:rPr>
                <w:webHidden/>
              </w:rPr>
              <w:t>32</w:t>
            </w:r>
            <w:r>
              <w:rPr>
                <w:webHidden/>
              </w:rPr>
              <w:fldChar w:fldCharType="end"/>
            </w:r>
          </w:hyperlink>
        </w:p>
        <w:p w:rsidR="00C375B2" w:rsidRDefault="00C61D83">
          <w:pPr>
            <w:pStyle w:val="TOC2"/>
            <w:rPr>
              <w:rFonts w:asciiTheme="minorHAnsi" w:hAnsiTheme="minorHAnsi" w:cstheme="minorBidi"/>
              <w:sz w:val="22"/>
              <w:szCs w:val="22"/>
            </w:rPr>
          </w:pPr>
          <w:hyperlink w:anchor="_Toc326074022" w:history="1">
            <w:r w:rsidR="00C375B2" w:rsidRPr="00FD7289">
              <w:rPr>
                <w:rStyle w:val="Hyperlink"/>
              </w:rPr>
              <w:t>5.2</w:t>
            </w:r>
            <w:r w:rsidR="00C375B2">
              <w:rPr>
                <w:rFonts w:asciiTheme="minorHAnsi" w:hAnsiTheme="minorHAnsi" w:cstheme="minorBidi"/>
                <w:sz w:val="22"/>
                <w:szCs w:val="22"/>
              </w:rPr>
              <w:tab/>
            </w:r>
            <w:r w:rsidR="00C375B2" w:rsidRPr="00FD7289">
              <w:rPr>
                <w:rStyle w:val="Hyperlink"/>
              </w:rPr>
              <w:t>Demand Response Resource Contract Load Impacts</w:t>
            </w:r>
            <w:r w:rsidR="00C375B2">
              <w:rPr>
                <w:webHidden/>
              </w:rPr>
              <w:tab/>
            </w:r>
            <w:r>
              <w:rPr>
                <w:webHidden/>
              </w:rPr>
              <w:fldChar w:fldCharType="begin"/>
            </w:r>
            <w:r w:rsidR="00C375B2">
              <w:rPr>
                <w:webHidden/>
              </w:rPr>
              <w:instrText xml:space="preserve"> PAGEREF _Toc326074022 \h </w:instrText>
            </w:r>
            <w:r>
              <w:rPr>
                <w:webHidden/>
              </w:rPr>
            </w:r>
            <w:r>
              <w:rPr>
                <w:webHidden/>
              </w:rPr>
              <w:fldChar w:fldCharType="separate"/>
            </w:r>
            <w:r w:rsidR="00C375B2">
              <w:rPr>
                <w:webHidden/>
              </w:rPr>
              <w:t>34</w:t>
            </w:r>
            <w:r>
              <w:rPr>
                <w:webHidden/>
              </w:rPr>
              <w:fldChar w:fldCharType="end"/>
            </w:r>
          </w:hyperlink>
        </w:p>
        <w:p w:rsidR="00C375B2" w:rsidRDefault="00C61D83">
          <w:pPr>
            <w:pStyle w:val="TOC3"/>
            <w:rPr>
              <w:rFonts w:asciiTheme="minorHAnsi" w:hAnsiTheme="minorHAnsi" w:cstheme="minorBidi"/>
              <w:sz w:val="22"/>
              <w:szCs w:val="22"/>
            </w:rPr>
          </w:pPr>
          <w:hyperlink w:anchor="_Toc326074023" w:history="1">
            <w:r w:rsidR="00C375B2" w:rsidRPr="00FD7289">
              <w:rPr>
                <w:rStyle w:val="Hyperlink"/>
              </w:rPr>
              <w:t>5.2.1</w:t>
            </w:r>
            <w:r w:rsidR="00C375B2">
              <w:rPr>
                <w:rFonts w:asciiTheme="minorHAnsi" w:hAnsiTheme="minorHAnsi" w:cstheme="minorBidi"/>
                <w:sz w:val="22"/>
                <w:szCs w:val="22"/>
              </w:rPr>
              <w:tab/>
            </w:r>
            <w:r w:rsidR="00C375B2" w:rsidRPr="00FD7289">
              <w:rPr>
                <w:rStyle w:val="Hyperlink"/>
              </w:rPr>
              <w:t>DRRC Demand Reductions by Industry</w:t>
            </w:r>
            <w:r w:rsidR="00C375B2">
              <w:rPr>
                <w:webHidden/>
              </w:rPr>
              <w:tab/>
            </w:r>
            <w:r>
              <w:rPr>
                <w:webHidden/>
              </w:rPr>
              <w:fldChar w:fldCharType="begin"/>
            </w:r>
            <w:r w:rsidR="00C375B2">
              <w:rPr>
                <w:webHidden/>
              </w:rPr>
              <w:instrText xml:space="preserve"> PAGEREF _Toc326074023 \h </w:instrText>
            </w:r>
            <w:r>
              <w:rPr>
                <w:webHidden/>
              </w:rPr>
            </w:r>
            <w:r>
              <w:rPr>
                <w:webHidden/>
              </w:rPr>
              <w:fldChar w:fldCharType="separate"/>
            </w:r>
            <w:r w:rsidR="00C375B2">
              <w:rPr>
                <w:webHidden/>
              </w:rPr>
              <w:t>35</w:t>
            </w:r>
            <w:r>
              <w:rPr>
                <w:webHidden/>
              </w:rPr>
              <w:fldChar w:fldCharType="end"/>
            </w:r>
          </w:hyperlink>
        </w:p>
        <w:p w:rsidR="00C375B2" w:rsidRDefault="00C61D83">
          <w:pPr>
            <w:pStyle w:val="TOC3"/>
            <w:rPr>
              <w:rFonts w:asciiTheme="minorHAnsi" w:hAnsiTheme="minorHAnsi" w:cstheme="minorBidi"/>
              <w:sz w:val="22"/>
              <w:szCs w:val="22"/>
            </w:rPr>
          </w:pPr>
          <w:hyperlink w:anchor="_Toc326074024" w:history="1">
            <w:r w:rsidR="00C375B2" w:rsidRPr="00FD7289">
              <w:rPr>
                <w:rStyle w:val="Hyperlink"/>
              </w:rPr>
              <w:t>5.2.2</w:t>
            </w:r>
            <w:r w:rsidR="00C375B2">
              <w:rPr>
                <w:rFonts w:asciiTheme="minorHAnsi" w:hAnsiTheme="minorHAnsi" w:cstheme="minorBidi"/>
                <w:sz w:val="22"/>
                <w:szCs w:val="22"/>
              </w:rPr>
              <w:tab/>
            </w:r>
            <w:r w:rsidR="00C375B2" w:rsidRPr="00FD7289">
              <w:rPr>
                <w:rStyle w:val="Hyperlink"/>
              </w:rPr>
              <w:t>DRRC Demand Reductions by Local Capacity Area</w:t>
            </w:r>
            <w:r w:rsidR="00C375B2">
              <w:rPr>
                <w:webHidden/>
              </w:rPr>
              <w:tab/>
            </w:r>
            <w:r>
              <w:rPr>
                <w:webHidden/>
              </w:rPr>
              <w:fldChar w:fldCharType="begin"/>
            </w:r>
            <w:r w:rsidR="00C375B2">
              <w:rPr>
                <w:webHidden/>
              </w:rPr>
              <w:instrText xml:space="preserve"> PAGEREF _Toc326074024 \h </w:instrText>
            </w:r>
            <w:r>
              <w:rPr>
                <w:webHidden/>
              </w:rPr>
            </w:r>
            <w:r>
              <w:rPr>
                <w:webHidden/>
              </w:rPr>
              <w:fldChar w:fldCharType="separate"/>
            </w:r>
            <w:r w:rsidR="00C375B2">
              <w:rPr>
                <w:webHidden/>
              </w:rPr>
              <w:t>36</w:t>
            </w:r>
            <w:r>
              <w:rPr>
                <w:webHidden/>
              </w:rPr>
              <w:fldChar w:fldCharType="end"/>
            </w:r>
          </w:hyperlink>
        </w:p>
        <w:p w:rsidR="00C375B2" w:rsidRDefault="00C61D83">
          <w:pPr>
            <w:pStyle w:val="TOC3"/>
            <w:rPr>
              <w:rFonts w:asciiTheme="minorHAnsi" w:hAnsiTheme="minorHAnsi" w:cstheme="minorBidi"/>
              <w:sz w:val="22"/>
              <w:szCs w:val="22"/>
            </w:rPr>
          </w:pPr>
          <w:hyperlink w:anchor="_Toc326074025" w:history="1">
            <w:r w:rsidR="00C375B2" w:rsidRPr="00FD7289">
              <w:rPr>
                <w:rStyle w:val="Hyperlink"/>
              </w:rPr>
              <w:t>5.2.3</w:t>
            </w:r>
            <w:r w:rsidR="00C375B2">
              <w:rPr>
                <w:rFonts w:asciiTheme="minorHAnsi" w:hAnsiTheme="minorHAnsi" w:cstheme="minorBidi"/>
                <w:sz w:val="22"/>
                <w:szCs w:val="22"/>
              </w:rPr>
              <w:tab/>
            </w:r>
            <w:r w:rsidR="00C375B2" w:rsidRPr="00FD7289">
              <w:rPr>
                <w:rStyle w:val="Hyperlink"/>
              </w:rPr>
              <w:t>DRRC Demand Reductions by Customer Size</w:t>
            </w:r>
            <w:r w:rsidR="00C375B2">
              <w:rPr>
                <w:webHidden/>
              </w:rPr>
              <w:tab/>
            </w:r>
            <w:r>
              <w:rPr>
                <w:webHidden/>
              </w:rPr>
              <w:fldChar w:fldCharType="begin"/>
            </w:r>
            <w:r w:rsidR="00C375B2">
              <w:rPr>
                <w:webHidden/>
              </w:rPr>
              <w:instrText xml:space="preserve"> PAGEREF _Toc326074025 \h </w:instrText>
            </w:r>
            <w:r>
              <w:rPr>
                <w:webHidden/>
              </w:rPr>
            </w:r>
            <w:r>
              <w:rPr>
                <w:webHidden/>
              </w:rPr>
              <w:fldChar w:fldCharType="separate"/>
            </w:r>
            <w:r w:rsidR="00C375B2">
              <w:rPr>
                <w:webHidden/>
              </w:rPr>
              <w:t>37</w:t>
            </w:r>
            <w:r>
              <w:rPr>
                <w:webHidden/>
              </w:rPr>
              <w:fldChar w:fldCharType="end"/>
            </w:r>
          </w:hyperlink>
        </w:p>
        <w:p w:rsidR="00C375B2" w:rsidRDefault="00C61D83">
          <w:pPr>
            <w:pStyle w:val="TOC2"/>
            <w:rPr>
              <w:rFonts w:asciiTheme="minorHAnsi" w:hAnsiTheme="minorHAnsi" w:cstheme="minorBidi"/>
              <w:sz w:val="22"/>
              <w:szCs w:val="22"/>
            </w:rPr>
          </w:pPr>
          <w:hyperlink w:anchor="_Toc326074026" w:history="1">
            <w:r w:rsidR="00C375B2" w:rsidRPr="00FD7289">
              <w:rPr>
                <w:rStyle w:val="Hyperlink"/>
              </w:rPr>
              <w:t>5.3</w:t>
            </w:r>
            <w:r w:rsidR="00C375B2">
              <w:rPr>
                <w:rFonts w:asciiTheme="minorHAnsi" w:hAnsiTheme="minorHAnsi" w:cstheme="minorBidi"/>
                <w:sz w:val="22"/>
                <w:szCs w:val="22"/>
              </w:rPr>
              <w:tab/>
            </w:r>
            <w:r w:rsidR="00C375B2" w:rsidRPr="00FD7289">
              <w:rPr>
                <w:rStyle w:val="Hyperlink"/>
              </w:rPr>
              <w:t>Capacity Bidding Program Load Impacts</w:t>
            </w:r>
            <w:r w:rsidR="00C375B2">
              <w:rPr>
                <w:webHidden/>
              </w:rPr>
              <w:tab/>
            </w:r>
            <w:r>
              <w:rPr>
                <w:webHidden/>
              </w:rPr>
              <w:fldChar w:fldCharType="begin"/>
            </w:r>
            <w:r w:rsidR="00C375B2">
              <w:rPr>
                <w:webHidden/>
              </w:rPr>
              <w:instrText xml:space="preserve"> PAGEREF _Toc326074026 \h </w:instrText>
            </w:r>
            <w:r>
              <w:rPr>
                <w:webHidden/>
              </w:rPr>
            </w:r>
            <w:r>
              <w:rPr>
                <w:webHidden/>
              </w:rPr>
              <w:fldChar w:fldCharType="separate"/>
            </w:r>
            <w:r w:rsidR="00C375B2">
              <w:rPr>
                <w:webHidden/>
              </w:rPr>
              <w:t>38</w:t>
            </w:r>
            <w:r>
              <w:rPr>
                <w:webHidden/>
              </w:rPr>
              <w:fldChar w:fldCharType="end"/>
            </w:r>
          </w:hyperlink>
        </w:p>
        <w:p w:rsidR="00C375B2" w:rsidRDefault="00C61D83">
          <w:pPr>
            <w:pStyle w:val="TOC3"/>
            <w:rPr>
              <w:rFonts w:asciiTheme="minorHAnsi" w:hAnsiTheme="minorHAnsi" w:cstheme="minorBidi"/>
              <w:sz w:val="22"/>
              <w:szCs w:val="22"/>
            </w:rPr>
          </w:pPr>
          <w:hyperlink w:anchor="_Toc326074027" w:history="1">
            <w:r w:rsidR="00C375B2" w:rsidRPr="00FD7289">
              <w:rPr>
                <w:rStyle w:val="Hyperlink"/>
              </w:rPr>
              <w:t>5.3.1</w:t>
            </w:r>
            <w:r w:rsidR="00C375B2">
              <w:rPr>
                <w:rFonts w:asciiTheme="minorHAnsi" w:hAnsiTheme="minorHAnsi" w:cstheme="minorBidi"/>
                <w:sz w:val="22"/>
                <w:szCs w:val="22"/>
              </w:rPr>
              <w:tab/>
            </w:r>
            <w:r w:rsidR="00C375B2" w:rsidRPr="00FD7289">
              <w:rPr>
                <w:rStyle w:val="Hyperlink"/>
              </w:rPr>
              <w:t>CBP Demand Reductions by Industry</w:t>
            </w:r>
            <w:r w:rsidR="00C375B2">
              <w:rPr>
                <w:webHidden/>
              </w:rPr>
              <w:tab/>
            </w:r>
            <w:r>
              <w:rPr>
                <w:webHidden/>
              </w:rPr>
              <w:fldChar w:fldCharType="begin"/>
            </w:r>
            <w:r w:rsidR="00C375B2">
              <w:rPr>
                <w:webHidden/>
              </w:rPr>
              <w:instrText xml:space="preserve"> PAGEREF _Toc326074027 \h </w:instrText>
            </w:r>
            <w:r>
              <w:rPr>
                <w:webHidden/>
              </w:rPr>
            </w:r>
            <w:r>
              <w:rPr>
                <w:webHidden/>
              </w:rPr>
              <w:fldChar w:fldCharType="separate"/>
            </w:r>
            <w:r w:rsidR="00C375B2">
              <w:rPr>
                <w:webHidden/>
              </w:rPr>
              <w:t>40</w:t>
            </w:r>
            <w:r>
              <w:rPr>
                <w:webHidden/>
              </w:rPr>
              <w:fldChar w:fldCharType="end"/>
            </w:r>
          </w:hyperlink>
        </w:p>
        <w:p w:rsidR="00C375B2" w:rsidRDefault="00C61D83">
          <w:pPr>
            <w:pStyle w:val="TOC3"/>
            <w:rPr>
              <w:rFonts w:asciiTheme="minorHAnsi" w:hAnsiTheme="minorHAnsi" w:cstheme="minorBidi"/>
              <w:sz w:val="22"/>
              <w:szCs w:val="22"/>
            </w:rPr>
          </w:pPr>
          <w:hyperlink w:anchor="_Toc326074028" w:history="1">
            <w:r w:rsidR="00C375B2" w:rsidRPr="00FD7289">
              <w:rPr>
                <w:rStyle w:val="Hyperlink"/>
              </w:rPr>
              <w:t>5.3.2</w:t>
            </w:r>
            <w:r w:rsidR="00C375B2">
              <w:rPr>
                <w:rFonts w:asciiTheme="minorHAnsi" w:hAnsiTheme="minorHAnsi" w:cstheme="minorBidi"/>
                <w:sz w:val="22"/>
                <w:szCs w:val="22"/>
              </w:rPr>
              <w:tab/>
            </w:r>
            <w:r w:rsidR="00C375B2" w:rsidRPr="00FD7289">
              <w:rPr>
                <w:rStyle w:val="Hyperlink"/>
              </w:rPr>
              <w:t>CBP Demand Reductions by Local Capacity Area</w:t>
            </w:r>
            <w:r w:rsidR="00C375B2">
              <w:rPr>
                <w:webHidden/>
              </w:rPr>
              <w:tab/>
            </w:r>
            <w:r>
              <w:rPr>
                <w:webHidden/>
              </w:rPr>
              <w:fldChar w:fldCharType="begin"/>
            </w:r>
            <w:r w:rsidR="00C375B2">
              <w:rPr>
                <w:webHidden/>
              </w:rPr>
              <w:instrText xml:space="preserve"> PAGEREF _Toc326074028 \h </w:instrText>
            </w:r>
            <w:r>
              <w:rPr>
                <w:webHidden/>
              </w:rPr>
            </w:r>
            <w:r>
              <w:rPr>
                <w:webHidden/>
              </w:rPr>
              <w:fldChar w:fldCharType="separate"/>
            </w:r>
            <w:r w:rsidR="00C375B2">
              <w:rPr>
                <w:webHidden/>
              </w:rPr>
              <w:t>41</w:t>
            </w:r>
            <w:r>
              <w:rPr>
                <w:webHidden/>
              </w:rPr>
              <w:fldChar w:fldCharType="end"/>
            </w:r>
          </w:hyperlink>
        </w:p>
        <w:p w:rsidR="00C375B2" w:rsidRDefault="00C61D83">
          <w:pPr>
            <w:pStyle w:val="TOC3"/>
            <w:rPr>
              <w:rFonts w:asciiTheme="minorHAnsi" w:hAnsiTheme="minorHAnsi" w:cstheme="minorBidi"/>
              <w:sz w:val="22"/>
              <w:szCs w:val="22"/>
            </w:rPr>
          </w:pPr>
          <w:hyperlink w:anchor="_Toc326074029" w:history="1">
            <w:r w:rsidR="00C375B2" w:rsidRPr="00FD7289">
              <w:rPr>
                <w:rStyle w:val="Hyperlink"/>
              </w:rPr>
              <w:t>5.3.3</w:t>
            </w:r>
            <w:r w:rsidR="00C375B2">
              <w:rPr>
                <w:rFonts w:asciiTheme="minorHAnsi" w:hAnsiTheme="minorHAnsi" w:cstheme="minorBidi"/>
                <w:sz w:val="22"/>
                <w:szCs w:val="22"/>
              </w:rPr>
              <w:tab/>
            </w:r>
            <w:r w:rsidR="00C375B2" w:rsidRPr="00FD7289">
              <w:rPr>
                <w:rStyle w:val="Hyperlink"/>
              </w:rPr>
              <w:t>CBP Demand Reductions by Customer Size</w:t>
            </w:r>
            <w:r w:rsidR="00C375B2">
              <w:rPr>
                <w:webHidden/>
              </w:rPr>
              <w:tab/>
            </w:r>
            <w:r>
              <w:rPr>
                <w:webHidden/>
              </w:rPr>
              <w:fldChar w:fldCharType="begin"/>
            </w:r>
            <w:r w:rsidR="00C375B2">
              <w:rPr>
                <w:webHidden/>
              </w:rPr>
              <w:instrText xml:space="preserve"> PAGEREF _Toc326074029 \h </w:instrText>
            </w:r>
            <w:r>
              <w:rPr>
                <w:webHidden/>
              </w:rPr>
            </w:r>
            <w:r>
              <w:rPr>
                <w:webHidden/>
              </w:rPr>
              <w:fldChar w:fldCharType="separate"/>
            </w:r>
            <w:r w:rsidR="00C375B2">
              <w:rPr>
                <w:webHidden/>
              </w:rPr>
              <w:t>41</w:t>
            </w:r>
            <w:r>
              <w:rPr>
                <w:webHidden/>
              </w:rPr>
              <w:fldChar w:fldCharType="end"/>
            </w:r>
          </w:hyperlink>
        </w:p>
        <w:p w:rsidR="00C375B2" w:rsidRDefault="00C61D83">
          <w:pPr>
            <w:pStyle w:val="TOC2"/>
            <w:rPr>
              <w:rFonts w:asciiTheme="minorHAnsi" w:hAnsiTheme="minorHAnsi" w:cstheme="minorBidi"/>
              <w:sz w:val="22"/>
              <w:szCs w:val="22"/>
            </w:rPr>
          </w:pPr>
          <w:hyperlink w:anchor="_Toc326074030" w:history="1">
            <w:r w:rsidR="00C375B2" w:rsidRPr="00FD7289">
              <w:rPr>
                <w:rStyle w:val="Hyperlink"/>
              </w:rPr>
              <w:t>5.4</w:t>
            </w:r>
            <w:r w:rsidR="00C375B2">
              <w:rPr>
                <w:rFonts w:asciiTheme="minorHAnsi" w:hAnsiTheme="minorHAnsi" w:cstheme="minorBidi"/>
                <w:sz w:val="22"/>
                <w:szCs w:val="22"/>
              </w:rPr>
              <w:tab/>
            </w:r>
            <w:r w:rsidR="00C375B2" w:rsidRPr="00FD7289">
              <w:rPr>
                <w:rStyle w:val="Hyperlink"/>
              </w:rPr>
              <w:t>Technical Incentive and AutoDR Realization Rates</w:t>
            </w:r>
            <w:r w:rsidR="00C375B2">
              <w:rPr>
                <w:webHidden/>
              </w:rPr>
              <w:tab/>
            </w:r>
            <w:r>
              <w:rPr>
                <w:webHidden/>
              </w:rPr>
              <w:fldChar w:fldCharType="begin"/>
            </w:r>
            <w:r w:rsidR="00C375B2">
              <w:rPr>
                <w:webHidden/>
              </w:rPr>
              <w:instrText xml:space="preserve"> PAGEREF _Toc326074030 \h </w:instrText>
            </w:r>
            <w:r>
              <w:rPr>
                <w:webHidden/>
              </w:rPr>
            </w:r>
            <w:r>
              <w:rPr>
                <w:webHidden/>
              </w:rPr>
              <w:fldChar w:fldCharType="separate"/>
            </w:r>
            <w:r w:rsidR="00C375B2">
              <w:rPr>
                <w:webHidden/>
              </w:rPr>
              <w:t>42</w:t>
            </w:r>
            <w:r>
              <w:rPr>
                <w:webHidden/>
              </w:rPr>
              <w:fldChar w:fldCharType="end"/>
            </w:r>
          </w:hyperlink>
        </w:p>
        <w:p w:rsidR="00C375B2" w:rsidRDefault="00C61D83">
          <w:pPr>
            <w:pStyle w:val="TOC1"/>
            <w:rPr>
              <w:rFonts w:asciiTheme="minorHAnsi" w:hAnsiTheme="minorHAnsi" w:cstheme="minorBidi"/>
              <w:sz w:val="22"/>
              <w:szCs w:val="22"/>
            </w:rPr>
          </w:pPr>
          <w:hyperlink w:anchor="_Toc326074031" w:history="1">
            <w:r w:rsidR="00C375B2" w:rsidRPr="00FD7289">
              <w:rPr>
                <w:rStyle w:val="Hyperlink"/>
              </w:rPr>
              <w:t>6</w:t>
            </w:r>
            <w:r w:rsidR="00C375B2">
              <w:rPr>
                <w:rFonts w:asciiTheme="minorHAnsi" w:hAnsiTheme="minorHAnsi" w:cstheme="minorBidi"/>
                <w:sz w:val="22"/>
                <w:szCs w:val="22"/>
              </w:rPr>
              <w:tab/>
            </w:r>
            <w:r w:rsidR="00C375B2" w:rsidRPr="00FD7289">
              <w:rPr>
                <w:rStyle w:val="Hyperlink"/>
              </w:rPr>
              <w:t>Load Impact Estimates for SDG&amp;E’s CBP Program</w:t>
            </w:r>
            <w:r w:rsidR="00C375B2">
              <w:rPr>
                <w:webHidden/>
              </w:rPr>
              <w:tab/>
            </w:r>
            <w:r>
              <w:rPr>
                <w:webHidden/>
              </w:rPr>
              <w:fldChar w:fldCharType="begin"/>
            </w:r>
            <w:r w:rsidR="00C375B2">
              <w:rPr>
                <w:webHidden/>
              </w:rPr>
              <w:instrText xml:space="preserve"> PAGEREF _Toc326074031 \h </w:instrText>
            </w:r>
            <w:r>
              <w:rPr>
                <w:webHidden/>
              </w:rPr>
            </w:r>
            <w:r>
              <w:rPr>
                <w:webHidden/>
              </w:rPr>
              <w:fldChar w:fldCharType="separate"/>
            </w:r>
            <w:r w:rsidR="00C375B2">
              <w:rPr>
                <w:webHidden/>
              </w:rPr>
              <w:t>45</w:t>
            </w:r>
            <w:r>
              <w:rPr>
                <w:webHidden/>
              </w:rPr>
              <w:fldChar w:fldCharType="end"/>
            </w:r>
          </w:hyperlink>
        </w:p>
        <w:p w:rsidR="00C375B2" w:rsidRDefault="00C61D83">
          <w:pPr>
            <w:pStyle w:val="TOC2"/>
            <w:rPr>
              <w:rFonts w:asciiTheme="minorHAnsi" w:hAnsiTheme="minorHAnsi" w:cstheme="minorBidi"/>
              <w:sz w:val="22"/>
              <w:szCs w:val="22"/>
            </w:rPr>
          </w:pPr>
          <w:hyperlink w:anchor="_Toc326074032" w:history="1">
            <w:r w:rsidR="00C375B2" w:rsidRPr="00FD7289">
              <w:rPr>
                <w:rStyle w:val="Hyperlink"/>
              </w:rPr>
              <w:t>6.1</w:t>
            </w:r>
            <w:r w:rsidR="00C375B2">
              <w:rPr>
                <w:rFonts w:asciiTheme="minorHAnsi" w:hAnsiTheme="minorHAnsi" w:cstheme="minorBidi"/>
                <w:sz w:val="22"/>
                <w:szCs w:val="22"/>
              </w:rPr>
              <w:tab/>
            </w:r>
            <w:r w:rsidR="00C375B2" w:rsidRPr="00FD7289">
              <w:rPr>
                <w:rStyle w:val="Hyperlink"/>
              </w:rPr>
              <w:t>2011 Event Day Characteristics</w:t>
            </w:r>
            <w:r w:rsidR="00C375B2">
              <w:rPr>
                <w:webHidden/>
              </w:rPr>
              <w:tab/>
            </w:r>
            <w:r>
              <w:rPr>
                <w:webHidden/>
              </w:rPr>
              <w:fldChar w:fldCharType="begin"/>
            </w:r>
            <w:r w:rsidR="00C375B2">
              <w:rPr>
                <w:webHidden/>
              </w:rPr>
              <w:instrText xml:space="preserve"> PAGEREF _Toc326074032 \h </w:instrText>
            </w:r>
            <w:r>
              <w:rPr>
                <w:webHidden/>
              </w:rPr>
            </w:r>
            <w:r>
              <w:rPr>
                <w:webHidden/>
              </w:rPr>
              <w:fldChar w:fldCharType="separate"/>
            </w:r>
            <w:r w:rsidR="00C375B2">
              <w:rPr>
                <w:webHidden/>
              </w:rPr>
              <w:t>45</w:t>
            </w:r>
            <w:r>
              <w:rPr>
                <w:webHidden/>
              </w:rPr>
              <w:fldChar w:fldCharType="end"/>
            </w:r>
          </w:hyperlink>
        </w:p>
        <w:p w:rsidR="00C375B2" w:rsidRDefault="00C61D83">
          <w:pPr>
            <w:pStyle w:val="TOC2"/>
            <w:rPr>
              <w:rFonts w:asciiTheme="minorHAnsi" w:hAnsiTheme="minorHAnsi" w:cstheme="minorBidi"/>
              <w:sz w:val="22"/>
              <w:szCs w:val="22"/>
            </w:rPr>
          </w:pPr>
          <w:hyperlink w:anchor="_Toc326074033" w:history="1">
            <w:r w:rsidR="00C375B2" w:rsidRPr="00FD7289">
              <w:rPr>
                <w:rStyle w:val="Hyperlink"/>
              </w:rPr>
              <w:t>6.2</w:t>
            </w:r>
            <w:r w:rsidR="00C375B2">
              <w:rPr>
                <w:rFonts w:asciiTheme="minorHAnsi" w:hAnsiTheme="minorHAnsi" w:cstheme="minorBidi"/>
                <w:sz w:val="22"/>
                <w:szCs w:val="22"/>
              </w:rPr>
              <w:tab/>
            </w:r>
            <w:r w:rsidR="00C375B2" w:rsidRPr="00FD7289">
              <w:rPr>
                <w:rStyle w:val="Hyperlink"/>
              </w:rPr>
              <w:t>Capacity Bidding Program Load Impacts</w:t>
            </w:r>
            <w:r w:rsidR="00C375B2">
              <w:rPr>
                <w:webHidden/>
              </w:rPr>
              <w:tab/>
            </w:r>
            <w:r>
              <w:rPr>
                <w:webHidden/>
              </w:rPr>
              <w:fldChar w:fldCharType="begin"/>
            </w:r>
            <w:r w:rsidR="00C375B2">
              <w:rPr>
                <w:webHidden/>
              </w:rPr>
              <w:instrText xml:space="preserve"> PAGEREF _Toc326074033 \h </w:instrText>
            </w:r>
            <w:r>
              <w:rPr>
                <w:webHidden/>
              </w:rPr>
            </w:r>
            <w:r>
              <w:rPr>
                <w:webHidden/>
              </w:rPr>
              <w:fldChar w:fldCharType="separate"/>
            </w:r>
            <w:r w:rsidR="00C375B2">
              <w:rPr>
                <w:webHidden/>
              </w:rPr>
              <w:t>46</w:t>
            </w:r>
            <w:r>
              <w:rPr>
                <w:webHidden/>
              </w:rPr>
              <w:fldChar w:fldCharType="end"/>
            </w:r>
          </w:hyperlink>
        </w:p>
        <w:p w:rsidR="00C375B2" w:rsidRDefault="00C61D83">
          <w:pPr>
            <w:pStyle w:val="TOC3"/>
            <w:rPr>
              <w:rFonts w:asciiTheme="minorHAnsi" w:hAnsiTheme="minorHAnsi" w:cstheme="minorBidi"/>
              <w:sz w:val="22"/>
              <w:szCs w:val="22"/>
            </w:rPr>
          </w:pPr>
          <w:hyperlink w:anchor="_Toc326074034" w:history="1">
            <w:r w:rsidR="00C375B2" w:rsidRPr="00FD7289">
              <w:rPr>
                <w:rStyle w:val="Hyperlink"/>
              </w:rPr>
              <w:t>6.2.1</w:t>
            </w:r>
            <w:r w:rsidR="00C375B2">
              <w:rPr>
                <w:rFonts w:asciiTheme="minorHAnsi" w:hAnsiTheme="minorHAnsi" w:cstheme="minorBidi"/>
                <w:sz w:val="22"/>
                <w:szCs w:val="22"/>
              </w:rPr>
              <w:tab/>
            </w:r>
            <w:r w:rsidR="00C375B2" w:rsidRPr="00FD7289">
              <w:rPr>
                <w:rStyle w:val="Hyperlink"/>
              </w:rPr>
              <w:t>CBP Demand Reductions by Industry</w:t>
            </w:r>
            <w:r w:rsidR="00C375B2">
              <w:rPr>
                <w:webHidden/>
              </w:rPr>
              <w:tab/>
            </w:r>
            <w:r>
              <w:rPr>
                <w:webHidden/>
              </w:rPr>
              <w:fldChar w:fldCharType="begin"/>
            </w:r>
            <w:r w:rsidR="00C375B2">
              <w:rPr>
                <w:webHidden/>
              </w:rPr>
              <w:instrText xml:space="preserve"> PAGEREF _Toc326074034 \h </w:instrText>
            </w:r>
            <w:r>
              <w:rPr>
                <w:webHidden/>
              </w:rPr>
            </w:r>
            <w:r>
              <w:rPr>
                <w:webHidden/>
              </w:rPr>
              <w:fldChar w:fldCharType="separate"/>
            </w:r>
            <w:r w:rsidR="00C375B2">
              <w:rPr>
                <w:webHidden/>
              </w:rPr>
              <w:t>48</w:t>
            </w:r>
            <w:r>
              <w:rPr>
                <w:webHidden/>
              </w:rPr>
              <w:fldChar w:fldCharType="end"/>
            </w:r>
          </w:hyperlink>
        </w:p>
        <w:p w:rsidR="00C375B2" w:rsidRDefault="00C61D83">
          <w:pPr>
            <w:pStyle w:val="TOC3"/>
            <w:rPr>
              <w:rFonts w:asciiTheme="minorHAnsi" w:hAnsiTheme="minorHAnsi" w:cstheme="minorBidi"/>
              <w:sz w:val="22"/>
              <w:szCs w:val="22"/>
            </w:rPr>
          </w:pPr>
          <w:hyperlink w:anchor="_Toc326074035" w:history="1">
            <w:r w:rsidR="00C375B2" w:rsidRPr="00FD7289">
              <w:rPr>
                <w:rStyle w:val="Hyperlink"/>
              </w:rPr>
              <w:t>6.2.2</w:t>
            </w:r>
            <w:r w:rsidR="00C375B2">
              <w:rPr>
                <w:rFonts w:asciiTheme="minorHAnsi" w:hAnsiTheme="minorHAnsi" w:cstheme="minorBidi"/>
                <w:sz w:val="22"/>
                <w:szCs w:val="22"/>
              </w:rPr>
              <w:tab/>
            </w:r>
            <w:r w:rsidR="00C375B2" w:rsidRPr="00FD7289">
              <w:rPr>
                <w:rStyle w:val="Hyperlink"/>
              </w:rPr>
              <w:t>CBP Demand Reductions by Customer Size</w:t>
            </w:r>
            <w:r w:rsidR="00C375B2">
              <w:rPr>
                <w:webHidden/>
              </w:rPr>
              <w:tab/>
            </w:r>
            <w:r>
              <w:rPr>
                <w:webHidden/>
              </w:rPr>
              <w:fldChar w:fldCharType="begin"/>
            </w:r>
            <w:r w:rsidR="00C375B2">
              <w:rPr>
                <w:webHidden/>
              </w:rPr>
              <w:instrText xml:space="preserve"> PAGEREF _Toc326074035 \h </w:instrText>
            </w:r>
            <w:r>
              <w:rPr>
                <w:webHidden/>
              </w:rPr>
            </w:r>
            <w:r>
              <w:rPr>
                <w:webHidden/>
              </w:rPr>
              <w:fldChar w:fldCharType="separate"/>
            </w:r>
            <w:r w:rsidR="00C375B2">
              <w:rPr>
                <w:webHidden/>
              </w:rPr>
              <w:t>48</w:t>
            </w:r>
            <w:r>
              <w:rPr>
                <w:webHidden/>
              </w:rPr>
              <w:fldChar w:fldCharType="end"/>
            </w:r>
          </w:hyperlink>
        </w:p>
        <w:p w:rsidR="00C375B2" w:rsidRDefault="00C61D83">
          <w:pPr>
            <w:pStyle w:val="TOC2"/>
            <w:rPr>
              <w:rFonts w:asciiTheme="minorHAnsi" w:hAnsiTheme="minorHAnsi" w:cstheme="minorBidi"/>
              <w:sz w:val="22"/>
              <w:szCs w:val="22"/>
            </w:rPr>
          </w:pPr>
          <w:hyperlink w:anchor="_Toc326074036" w:history="1">
            <w:r w:rsidR="00C375B2" w:rsidRPr="00FD7289">
              <w:rPr>
                <w:rStyle w:val="Hyperlink"/>
              </w:rPr>
              <w:t>6.3</w:t>
            </w:r>
            <w:r w:rsidR="00C375B2">
              <w:rPr>
                <w:rFonts w:asciiTheme="minorHAnsi" w:hAnsiTheme="minorHAnsi" w:cstheme="minorBidi"/>
                <w:sz w:val="22"/>
                <w:szCs w:val="22"/>
              </w:rPr>
              <w:tab/>
            </w:r>
            <w:r w:rsidR="00C375B2" w:rsidRPr="00FD7289">
              <w:rPr>
                <w:rStyle w:val="Hyperlink"/>
              </w:rPr>
              <w:t>Technical Incentive and AutoDR Realization Rates</w:t>
            </w:r>
            <w:r w:rsidR="00C375B2">
              <w:rPr>
                <w:webHidden/>
              </w:rPr>
              <w:tab/>
            </w:r>
            <w:r>
              <w:rPr>
                <w:webHidden/>
              </w:rPr>
              <w:fldChar w:fldCharType="begin"/>
            </w:r>
            <w:r w:rsidR="00C375B2">
              <w:rPr>
                <w:webHidden/>
              </w:rPr>
              <w:instrText xml:space="preserve"> PAGEREF _Toc326074036 \h </w:instrText>
            </w:r>
            <w:r>
              <w:rPr>
                <w:webHidden/>
              </w:rPr>
            </w:r>
            <w:r>
              <w:rPr>
                <w:webHidden/>
              </w:rPr>
              <w:fldChar w:fldCharType="separate"/>
            </w:r>
            <w:r w:rsidR="00C375B2">
              <w:rPr>
                <w:webHidden/>
              </w:rPr>
              <w:t>49</w:t>
            </w:r>
            <w:r>
              <w:rPr>
                <w:webHidden/>
              </w:rPr>
              <w:fldChar w:fldCharType="end"/>
            </w:r>
          </w:hyperlink>
        </w:p>
        <w:p w:rsidR="00C375B2" w:rsidRDefault="00C61D83">
          <w:pPr>
            <w:pStyle w:val="TOC1"/>
            <w:rPr>
              <w:rFonts w:asciiTheme="minorHAnsi" w:hAnsiTheme="minorHAnsi" w:cstheme="minorBidi"/>
              <w:sz w:val="22"/>
              <w:szCs w:val="22"/>
            </w:rPr>
          </w:pPr>
          <w:hyperlink w:anchor="_Toc326074037" w:history="1">
            <w:r w:rsidR="00C375B2" w:rsidRPr="00FD7289">
              <w:rPr>
                <w:rStyle w:val="Hyperlink"/>
              </w:rPr>
              <w:t>7</w:t>
            </w:r>
            <w:r w:rsidR="00C375B2">
              <w:rPr>
                <w:rFonts w:asciiTheme="minorHAnsi" w:hAnsiTheme="minorHAnsi" w:cstheme="minorBidi"/>
                <w:sz w:val="22"/>
                <w:szCs w:val="22"/>
              </w:rPr>
              <w:tab/>
            </w:r>
            <w:r w:rsidR="00C375B2" w:rsidRPr="00FD7289">
              <w:rPr>
                <w:rStyle w:val="Hyperlink"/>
              </w:rPr>
              <w:t>Ex Ante Load Impact Estimates for PG&amp;E’s AMP and CBP Programs</w:t>
            </w:r>
            <w:r w:rsidR="00C375B2">
              <w:rPr>
                <w:rStyle w:val="Hyperlink"/>
              </w:rPr>
              <w:t xml:space="preserve"> </w:t>
            </w:r>
            <w:r w:rsidR="00C375B2">
              <w:rPr>
                <w:rStyle w:val="Hyperlink"/>
              </w:rPr>
              <w:tab/>
            </w:r>
            <w:r w:rsidR="00C375B2">
              <w:rPr>
                <w:rStyle w:val="Hyperlink"/>
              </w:rPr>
              <w:tab/>
            </w:r>
            <w:r w:rsidR="00C375B2">
              <w:rPr>
                <w:webHidden/>
              </w:rPr>
              <w:tab/>
            </w:r>
            <w:r w:rsidR="00C375B2">
              <w:rPr>
                <w:webHidden/>
              </w:rPr>
              <w:tab/>
            </w:r>
            <w:r>
              <w:rPr>
                <w:webHidden/>
              </w:rPr>
              <w:fldChar w:fldCharType="begin"/>
            </w:r>
            <w:r w:rsidR="00C375B2">
              <w:rPr>
                <w:webHidden/>
              </w:rPr>
              <w:instrText xml:space="preserve"> PAGEREF _Toc326074037 \h </w:instrText>
            </w:r>
            <w:r>
              <w:rPr>
                <w:webHidden/>
              </w:rPr>
            </w:r>
            <w:r>
              <w:rPr>
                <w:webHidden/>
              </w:rPr>
              <w:fldChar w:fldCharType="separate"/>
            </w:r>
            <w:r w:rsidR="00C375B2">
              <w:rPr>
                <w:webHidden/>
              </w:rPr>
              <w:t>51</w:t>
            </w:r>
            <w:r>
              <w:rPr>
                <w:webHidden/>
              </w:rPr>
              <w:fldChar w:fldCharType="end"/>
            </w:r>
          </w:hyperlink>
        </w:p>
        <w:p w:rsidR="00C375B2" w:rsidRDefault="00C61D83">
          <w:pPr>
            <w:pStyle w:val="TOC2"/>
            <w:rPr>
              <w:rFonts w:asciiTheme="minorHAnsi" w:hAnsiTheme="minorHAnsi" w:cstheme="minorBidi"/>
              <w:sz w:val="22"/>
              <w:szCs w:val="22"/>
            </w:rPr>
          </w:pPr>
          <w:hyperlink w:anchor="_Toc326074038" w:history="1">
            <w:r w:rsidR="00C375B2" w:rsidRPr="00FD7289">
              <w:rPr>
                <w:rStyle w:val="Hyperlink"/>
              </w:rPr>
              <w:t>7.1</w:t>
            </w:r>
            <w:r w:rsidR="00C375B2">
              <w:rPr>
                <w:rFonts w:asciiTheme="minorHAnsi" w:hAnsiTheme="minorHAnsi" w:cstheme="minorBidi"/>
                <w:sz w:val="22"/>
                <w:szCs w:val="22"/>
              </w:rPr>
              <w:tab/>
            </w:r>
            <w:r w:rsidR="00C375B2" w:rsidRPr="00FD7289">
              <w:rPr>
                <w:rStyle w:val="Hyperlink"/>
              </w:rPr>
              <w:t>Ex Ante Load Impact Estimates for the Aggregator Managed Portfolio Program</w:t>
            </w:r>
            <w:r w:rsidR="00C375B2">
              <w:rPr>
                <w:webHidden/>
              </w:rPr>
              <w:tab/>
            </w:r>
            <w:r>
              <w:rPr>
                <w:webHidden/>
              </w:rPr>
              <w:fldChar w:fldCharType="begin"/>
            </w:r>
            <w:r w:rsidR="00C375B2">
              <w:rPr>
                <w:webHidden/>
              </w:rPr>
              <w:instrText xml:space="preserve"> PAGEREF _Toc326074038 \h </w:instrText>
            </w:r>
            <w:r>
              <w:rPr>
                <w:webHidden/>
              </w:rPr>
            </w:r>
            <w:r>
              <w:rPr>
                <w:webHidden/>
              </w:rPr>
              <w:fldChar w:fldCharType="separate"/>
            </w:r>
            <w:r w:rsidR="00C375B2">
              <w:rPr>
                <w:webHidden/>
              </w:rPr>
              <w:t>51</w:t>
            </w:r>
            <w:r>
              <w:rPr>
                <w:webHidden/>
              </w:rPr>
              <w:fldChar w:fldCharType="end"/>
            </w:r>
          </w:hyperlink>
        </w:p>
        <w:p w:rsidR="00C375B2" w:rsidRDefault="00C61D83">
          <w:pPr>
            <w:pStyle w:val="TOC2"/>
            <w:rPr>
              <w:rFonts w:asciiTheme="minorHAnsi" w:hAnsiTheme="minorHAnsi" w:cstheme="minorBidi"/>
              <w:sz w:val="22"/>
              <w:szCs w:val="22"/>
            </w:rPr>
          </w:pPr>
          <w:hyperlink w:anchor="_Toc326074039" w:history="1">
            <w:r w:rsidR="00C375B2" w:rsidRPr="00FD7289">
              <w:rPr>
                <w:rStyle w:val="Hyperlink"/>
              </w:rPr>
              <w:t>7.2</w:t>
            </w:r>
            <w:r w:rsidR="00C375B2">
              <w:rPr>
                <w:rFonts w:asciiTheme="minorHAnsi" w:hAnsiTheme="minorHAnsi" w:cstheme="minorBidi"/>
                <w:sz w:val="22"/>
                <w:szCs w:val="22"/>
              </w:rPr>
              <w:tab/>
            </w:r>
            <w:r w:rsidR="00C375B2" w:rsidRPr="00FD7289">
              <w:rPr>
                <w:rStyle w:val="Hyperlink"/>
              </w:rPr>
              <w:t>Ex Ante Load Impact Estimates for the Capacity Bidding Program</w:t>
            </w:r>
            <w:r w:rsidR="00C375B2">
              <w:rPr>
                <w:webHidden/>
              </w:rPr>
              <w:tab/>
            </w:r>
            <w:r w:rsidR="00C375B2">
              <w:rPr>
                <w:webHidden/>
              </w:rPr>
              <w:tab/>
            </w:r>
            <w:r w:rsidR="00C375B2">
              <w:rPr>
                <w:webHidden/>
              </w:rPr>
              <w:tab/>
            </w:r>
            <w:r>
              <w:rPr>
                <w:webHidden/>
              </w:rPr>
              <w:fldChar w:fldCharType="begin"/>
            </w:r>
            <w:r w:rsidR="00C375B2">
              <w:rPr>
                <w:webHidden/>
              </w:rPr>
              <w:instrText xml:space="preserve"> PAGEREF _Toc326074039 \h </w:instrText>
            </w:r>
            <w:r>
              <w:rPr>
                <w:webHidden/>
              </w:rPr>
            </w:r>
            <w:r>
              <w:rPr>
                <w:webHidden/>
              </w:rPr>
              <w:fldChar w:fldCharType="separate"/>
            </w:r>
            <w:r w:rsidR="00C375B2">
              <w:rPr>
                <w:webHidden/>
              </w:rPr>
              <w:t>54</w:t>
            </w:r>
            <w:r>
              <w:rPr>
                <w:webHidden/>
              </w:rPr>
              <w:fldChar w:fldCharType="end"/>
            </w:r>
          </w:hyperlink>
        </w:p>
        <w:p w:rsidR="00C375B2" w:rsidRDefault="00C61D83">
          <w:pPr>
            <w:pStyle w:val="TOC2"/>
            <w:rPr>
              <w:rFonts w:asciiTheme="minorHAnsi" w:hAnsiTheme="minorHAnsi" w:cstheme="minorBidi"/>
              <w:sz w:val="22"/>
              <w:szCs w:val="22"/>
            </w:rPr>
          </w:pPr>
          <w:hyperlink w:anchor="_Toc326074040" w:history="1">
            <w:r w:rsidR="00C375B2" w:rsidRPr="00FD7289">
              <w:rPr>
                <w:rStyle w:val="Hyperlink"/>
              </w:rPr>
              <w:t>7.3</w:t>
            </w:r>
            <w:r w:rsidR="00C375B2">
              <w:rPr>
                <w:rFonts w:asciiTheme="minorHAnsi" w:hAnsiTheme="minorHAnsi" w:cstheme="minorBidi"/>
                <w:sz w:val="22"/>
                <w:szCs w:val="22"/>
              </w:rPr>
              <w:tab/>
            </w:r>
            <w:r w:rsidR="00C375B2" w:rsidRPr="00FD7289">
              <w:rPr>
                <w:rStyle w:val="Hyperlink"/>
              </w:rPr>
              <w:t>Comparison with Previous Ex Ante Estimates</w:t>
            </w:r>
            <w:r w:rsidR="00C375B2">
              <w:rPr>
                <w:webHidden/>
              </w:rPr>
              <w:tab/>
            </w:r>
            <w:r>
              <w:rPr>
                <w:webHidden/>
              </w:rPr>
              <w:fldChar w:fldCharType="begin"/>
            </w:r>
            <w:r w:rsidR="00C375B2">
              <w:rPr>
                <w:webHidden/>
              </w:rPr>
              <w:instrText xml:space="preserve"> PAGEREF _Toc326074040 \h </w:instrText>
            </w:r>
            <w:r>
              <w:rPr>
                <w:webHidden/>
              </w:rPr>
            </w:r>
            <w:r>
              <w:rPr>
                <w:webHidden/>
              </w:rPr>
              <w:fldChar w:fldCharType="separate"/>
            </w:r>
            <w:r w:rsidR="00C375B2">
              <w:rPr>
                <w:webHidden/>
              </w:rPr>
              <w:t>58</w:t>
            </w:r>
            <w:r>
              <w:rPr>
                <w:webHidden/>
              </w:rPr>
              <w:fldChar w:fldCharType="end"/>
            </w:r>
          </w:hyperlink>
        </w:p>
        <w:p w:rsidR="00C375B2" w:rsidRDefault="00C61D83">
          <w:pPr>
            <w:pStyle w:val="TOC1"/>
            <w:rPr>
              <w:rFonts w:asciiTheme="minorHAnsi" w:hAnsiTheme="minorHAnsi" w:cstheme="minorBidi"/>
              <w:sz w:val="22"/>
              <w:szCs w:val="22"/>
            </w:rPr>
          </w:pPr>
          <w:hyperlink w:anchor="_Toc326074041" w:history="1">
            <w:r w:rsidR="00C375B2" w:rsidRPr="00FD7289">
              <w:rPr>
                <w:rStyle w:val="Hyperlink"/>
              </w:rPr>
              <w:t>8</w:t>
            </w:r>
            <w:r w:rsidR="00C375B2">
              <w:rPr>
                <w:rFonts w:asciiTheme="minorHAnsi" w:hAnsiTheme="minorHAnsi" w:cstheme="minorBidi"/>
                <w:sz w:val="22"/>
                <w:szCs w:val="22"/>
              </w:rPr>
              <w:tab/>
            </w:r>
            <w:r w:rsidR="00C375B2" w:rsidRPr="00FD7289">
              <w:rPr>
                <w:rStyle w:val="Hyperlink"/>
              </w:rPr>
              <w:t>Ex Ante Load Impact Estimates for SCE’s DRRC and CBP Programs</w:t>
            </w:r>
            <w:r w:rsidR="00C375B2">
              <w:rPr>
                <w:webHidden/>
              </w:rPr>
              <w:tab/>
            </w:r>
            <w:r>
              <w:rPr>
                <w:webHidden/>
              </w:rPr>
              <w:fldChar w:fldCharType="begin"/>
            </w:r>
            <w:r w:rsidR="00C375B2">
              <w:rPr>
                <w:webHidden/>
              </w:rPr>
              <w:instrText xml:space="preserve"> PAGEREF _Toc326074041 \h </w:instrText>
            </w:r>
            <w:r>
              <w:rPr>
                <w:webHidden/>
              </w:rPr>
            </w:r>
            <w:r>
              <w:rPr>
                <w:webHidden/>
              </w:rPr>
              <w:fldChar w:fldCharType="separate"/>
            </w:r>
            <w:r w:rsidR="00C375B2">
              <w:rPr>
                <w:webHidden/>
              </w:rPr>
              <w:t>60</w:t>
            </w:r>
            <w:r>
              <w:rPr>
                <w:webHidden/>
              </w:rPr>
              <w:fldChar w:fldCharType="end"/>
            </w:r>
          </w:hyperlink>
        </w:p>
        <w:p w:rsidR="00C375B2" w:rsidRDefault="00C61D83">
          <w:pPr>
            <w:pStyle w:val="TOC2"/>
            <w:rPr>
              <w:rFonts w:asciiTheme="minorHAnsi" w:hAnsiTheme="minorHAnsi" w:cstheme="minorBidi"/>
              <w:sz w:val="22"/>
              <w:szCs w:val="22"/>
            </w:rPr>
          </w:pPr>
          <w:hyperlink w:anchor="_Toc326074042" w:history="1">
            <w:r w:rsidR="00C375B2" w:rsidRPr="00FD7289">
              <w:rPr>
                <w:rStyle w:val="Hyperlink"/>
              </w:rPr>
              <w:t>8.1</w:t>
            </w:r>
            <w:r w:rsidR="00C375B2">
              <w:rPr>
                <w:rFonts w:asciiTheme="minorHAnsi" w:hAnsiTheme="minorHAnsi" w:cstheme="minorBidi"/>
                <w:sz w:val="22"/>
                <w:szCs w:val="22"/>
              </w:rPr>
              <w:tab/>
            </w:r>
            <w:r w:rsidR="00C375B2" w:rsidRPr="00FD7289">
              <w:rPr>
                <w:rStyle w:val="Hyperlink"/>
              </w:rPr>
              <w:t>Ex Ante Load Impact Estimates for Demand Response Resource Contracts</w:t>
            </w:r>
            <w:r w:rsidR="00C375B2">
              <w:rPr>
                <w:webHidden/>
              </w:rPr>
              <w:tab/>
            </w:r>
            <w:r>
              <w:rPr>
                <w:webHidden/>
              </w:rPr>
              <w:fldChar w:fldCharType="begin"/>
            </w:r>
            <w:r w:rsidR="00C375B2">
              <w:rPr>
                <w:webHidden/>
              </w:rPr>
              <w:instrText xml:space="preserve"> PAGEREF _Toc326074042 \h </w:instrText>
            </w:r>
            <w:r>
              <w:rPr>
                <w:webHidden/>
              </w:rPr>
            </w:r>
            <w:r>
              <w:rPr>
                <w:webHidden/>
              </w:rPr>
              <w:fldChar w:fldCharType="separate"/>
            </w:r>
            <w:r w:rsidR="00C375B2">
              <w:rPr>
                <w:webHidden/>
              </w:rPr>
              <w:t>60</w:t>
            </w:r>
            <w:r>
              <w:rPr>
                <w:webHidden/>
              </w:rPr>
              <w:fldChar w:fldCharType="end"/>
            </w:r>
          </w:hyperlink>
        </w:p>
        <w:p w:rsidR="00C375B2" w:rsidRDefault="00C61D83">
          <w:pPr>
            <w:pStyle w:val="TOC2"/>
            <w:rPr>
              <w:rFonts w:asciiTheme="minorHAnsi" w:hAnsiTheme="minorHAnsi" w:cstheme="minorBidi"/>
              <w:sz w:val="22"/>
              <w:szCs w:val="22"/>
            </w:rPr>
          </w:pPr>
          <w:hyperlink w:anchor="_Toc326074043" w:history="1">
            <w:r w:rsidR="00C375B2" w:rsidRPr="00FD7289">
              <w:rPr>
                <w:rStyle w:val="Hyperlink"/>
              </w:rPr>
              <w:t>8.2</w:t>
            </w:r>
            <w:r w:rsidR="00C375B2">
              <w:rPr>
                <w:rFonts w:asciiTheme="minorHAnsi" w:hAnsiTheme="minorHAnsi" w:cstheme="minorBidi"/>
                <w:sz w:val="22"/>
                <w:szCs w:val="22"/>
              </w:rPr>
              <w:tab/>
            </w:r>
            <w:r w:rsidR="00C375B2" w:rsidRPr="00FD7289">
              <w:rPr>
                <w:rStyle w:val="Hyperlink"/>
              </w:rPr>
              <w:t>Ex Ante Load Impact Estimates for the Capacity Bidding Program</w:t>
            </w:r>
            <w:r w:rsidR="00C375B2">
              <w:rPr>
                <w:webHidden/>
              </w:rPr>
              <w:tab/>
            </w:r>
            <w:r w:rsidR="00C375B2">
              <w:rPr>
                <w:webHidden/>
              </w:rPr>
              <w:tab/>
            </w:r>
            <w:r w:rsidR="00C375B2">
              <w:rPr>
                <w:webHidden/>
              </w:rPr>
              <w:tab/>
            </w:r>
            <w:r>
              <w:rPr>
                <w:webHidden/>
              </w:rPr>
              <w:fldChar w:fldCharType="begin"/>
            </w:r>
            <w:r w:rsidR="00C375B2">
              <w:rPr>
                <w:webHidden/>
              </w:rPr>
              <w:instrText xml:space="preserve"> PAGEREF _Toc326074043 \h </w:instrText>
            </w:r>
            <w:r>
              <w:rPr>
                <w:webHidden/>
              </w:rPr>
            </w:r>
            <w:r>
              <w:rPr>
                <w:webHidden/>
              </w:rPr>
              <w:fldChar w:fldCharType="separate"/>
            </w:r>
            <w:r w:rsidR="00C375B2">
              <w:rPr>
                <w:webHidden/>
              </w:rPr>
              <w:t>62</w:t>
            </w:r>
            <w:r>
              <w:rPr>
                <w:webHidden/>
              </w:rPr>
              <w:fldChar w:fldCharType="end"/>
            </w:r>
          </w:hyperlink>
        </w:p>
        <w:p w:rsidR="00C375B2" w:rsidRDefault="00C61D83">
          <w:pPr>
            <w:pStyle w:val="TOC2"/>
            <w:rPr>
              <w:rFonts w:asciiTheme="minorHAnsi" w:hAnsiTheme="minorHAnsi" w:cstheme="minorBidi"/>
              <w:sz w:val="22"/>
              <w:szCs w:val="22"/>
            </w:rPr>
          </w:pPr>
          <w:hyperlink w:anchor="_Toc326074044" w:history="1">
            <w:r w:rsidR="00C375B2" w:rsidRPr="00FD7289">
              <w:rPr>
                <w:rStyle w:val="Hyperlink"/>
              </w:rPr>
              <w:t>8.3</w:t>
            </w:r>
            <w:r w:rsidR="00C375B2">
              <w:rPr>
                <w:rFonts w:asciiTheme="minorHAnsi" w:hAnsiTheme="minorHAnsi" w:cstheme="minorBidi"/>
                <w:sz w:val="22"/>
                <w:szCs w:val="22"/>
              </w:rPr>
              <w:tab/>
            </w:r>
            <w:r w:rsidR="00C375B2" w:rsidRPr="00FD7289">
              <w:rPr>
                <w:rStyle w:val="Hyperlink"/>
              </w:rPr>
              <w:t>Comparison with Previous Ex Ante Estimates</w:t>
            </w:r>
            <w:r w:rsidR="00C375B2">
              <w:rPr>
                <w:webHidden/>
              </w:rPr>
              <w:tab/>
            </w:r>
            <w:r>
              <w:rPr>
                <w:webHidden/>
              </w:rPr>
              <w:fldChar w:fldCharType="begin"/>
            </w:r>
            <w:r w:rsidR="00C375B2">
              <w:rPr>
                <w:webHidden/>
              </w:rPr>
              <w:instrText xml:space="preserve"> PAGEREF _Toc326074044 \h </w:instrText>
            </w:r>
            <w:r>
              <w:rPr>
                <w:webHidden/>
              </w:rPr>
            </w:r>
            <w:r>
              <w:rPr>
                <w:webHidden/>
              </w:rPr>
              <w:fldChar w:fldCharType="separate"/>
            </w:r>
            <w:r w:rsidR="00C375B2">
              <w:rPr>
                <w:webHidden/>
              </w:rPr>
              <w:t>65</w:t>
            </w:r>
            <w:r>
              <w:rPr>
                <w:webHidden/>
              </w:rPr>
              <w:fldChar w:fldCharType="end"/>
            </w:r>
          </w:hyperlink>
        </w:p>
        <w:p w:rsidR="00C375B2" w:rsidRDefault="00C61D83">
          <w:pPr>
            <w:pStyle w:val="TOC1"/>
            <w:rPr>
              <w:rFonts w:asciiTheme="minorHAnsi" w:hAnsiTheme="minorHAnsi" w:cstheme="minorBidi"/>
              <w:sz w:val="22"/>
              <w:szCs w:val="22"/>
            </w:rPr>
          </w:pPr>
          <w:hyperlink w:anchor="_Toc326074045" w:history="1">
            <w:r w:rsidR="00C375B2" w:rsidRPr="00FD7289">
              <w:rPr>
                <w:rStyle w:val="Hyperlink"/>
              </w:rPr>
              <w:t>9</w:t>
            </w:r>
            <w:r w:rsidR="00C375B2">
              <w:rPr>
                <w:rFonts w:asciiTheme="minorHAnsi" w:hAnsiTheme="minorHAnsi" w:cstheme="minorBidi"/>
                <w:sz w:val="22"/>
                <w:szCs w:val="22"/>
              </w:rPr>
              <w:tab/>
            </w:r>
            <w:r w:rsidR="00C375B2" w:rsidRPr="00FD7289">
              <w:rPr>
                <w:rStyle w:val="Hyperlink"/>
              </w:rPr>
              <w:t>Ex Ante Load Impact Estimates for SDG&amp;E’s CBP Program</w:t>
            </w:r>
            <w:r w:rsidR="00C375B2">
              <w:rPr>
                <w:webHidden/>
              </w:rPr>
              <w:tab/>
            </w:r>
            <w:r>
              <w:rPr>
                <w:webHidden/>
              </w:rPr>
              <w:fldChar w:fldCharType="begin"/>
            </w:r>
            <w:r w:rsidR="00C375B2">
              <w:rPr>
                <w:webHidden/>
              </w:rPr>
              <w:instrText xml:space="preserve"> PAGEREF _Toc326074045 \h </w:instrText>
            </w:r>
            <w:r>
              <w:rPr>
                <w:webHidden/>
              </w:rPr>
            </w:r>
            <w:r>
              <w:rPr>
                <w:webHidden/>
              </w:rPr>
              <w:fldChar w:fldCharType="separate"/>
            </w:r>
            <w:r w:rsidR="00C375B2">
              <w:rPr>
                <w:webHidden/>
              </w:rPr>
              <w:t>66</w:t>
            </w:r>
            <w:r>
              <w:rPr>
                <w:webHidden/>
              </w:rPr>
              <w:fldChar w:fldCharType="end"/>
            </w:r>
          </w:hyperlink>
        </w:p>
        <w:p w:rsidR="00C375B2" w:rsidRDefault="00C61D83">
          <w:pPr>
            <w:pStyle w:val="TOC2"/>
            <w:rPr>
              <w:rFonts w:asciiTheme="minorHAnsi" w:hAnsiTheme="minorHAnsi" w:cstheme="minorBidi"/>
              <w:sz w:val="22"/>
              <w:szCs w:val="22"/>
            </w:rPr>
          </w:pPr>
          <w:hyperlink w:anchor="_Toc326074046" w:history="1">
            <w:r w:rsidR="00C375B2" w:rsidRPr="00FD7289">
              <w:rPr>
                <w:rStyle w:val="Hyperlink"/>
              </w:rPr>
              <w:t>9.1</w:t>
            </w:r>
            <w:r w:rsidR="00C375B2">
              <w:rPr>
                <w:rFonts w:asciiTheme="minorHAnsi" w:hAnsiTheme="minorHAnsi" w:cstheme="minorBidi"/>
                <w:sz w:val="22"/>
                <w:szCs w:val="22"/>
              </w:rPr>
              <w:tab/>
            </w:r>
            <w:r w:rsidR="00C375B2" w:rsidRPr="00FD7289">
              <w:rPr>
                <w:rStyle w:val="Hyperlink"/>
              </w:rPr>
              <w:t>Ex Ante Load Impact Estimates for the Capacity Bidding Program</w:t>
            </w:r>
            <w:r w:rsidR="00C375B2">
              <w:rPr>
                <w:webHidden/>
              </w:rPr>
              <w:tab/>
            </w:r>
            <w:r w:rsidR="00C375B2">
              <w:rPr>
                <w:webHidden/>
              </w:rPr>
              <w:tab/>
            </w:r>
            <w:r w:rsidR="00C375B2">
              <w:rPr>
                <w:webHidden/>
              </w:rPr>
              <w:tab/>
            </w:r>
            <w:r>
              <w:rPr>
                <w:webHidden/>
              </w:rPr>
              <w:fldChar w:fldCharType="begin"/>
            </w:r>
            <w:r w:rsidR="00C375B2">
              <w:rPr>
                <w:webHidden/>
              </w:rPr>
              <w:instrText xml:space="preserve"> PAGEREF _Toc326074046 \h </w:instrText>
            </w:r>
            <w:r>
              <w:rPr>
                <w:webHidden/>
              </w:rPr>
            </w:r>
            <w:r>
              <w:rPr>
                <w:webHidden/>
              </w:rPr>
              <w:fldChar w:fldCharType="separate"/>
            </w:r>
            <w:r w:rsidR="00C375B2">
              <w:rPr>
                <w:webHidden/>
              </w:rPr>
              <w:t>66</w:t>
            </w:r>
            <w:r>
              <w:rPr>
                <w:webHidden/>
              </w:rPr>
              <w:fldChar w:fldCharType="end"/>
            </w:r>
          </w:hyperlink>
        </w:p>
        <w:p w:rsidR="00C375B2" w:rsidRDefault="00C61D83">
          <w:pPr>
            <w:pStyle w:val="TOC2"/>
            <w:rPr>
              <w:rFonts w:asciiTheme="minorHAnsi" w:hAnsiTheme="minorHAnsi" w:cstheme="minorBidi"/>
              <w:sz w:val="22"/>
              <w:szCs w:val="22"/>
            </w:rPr>
          </w:pPr>
          <w:hyperlink w:anchor="_Toc326074047" w:history="1">
            <w:r w:rsidR="00C375B2" w:rsidRPr="00FD7289">
              <w:rPr>
                <w:rStyle w:val="Hyperlink"/>
              </w:rPr>
              <w:t>9.2</w:t>
            </w:r>
            <w:r w:rsidR="00C375B2">
              <w:rPr>
                <w:rFonts w:asciiTheme="minorHAnsi" w:hAnsiTheme="minorHAnsi" w:cstheme="minorBidi"/>
                <w:sz w:val="22"/>
                <w:szCs w:val="22"/>
              </w:rPr>
              <w:tab/>
            </w:r>
            <w:r w:rsidR="00C375B2" w:rsidRPr="00FD7289">
              <w:rPr>
                <w:rStyle w:val="Hyperlink"/>
              </w:rPr>
              <w:t>Comparison with Previous Ex Ante Estimates</w:t>
            </w:r>
            <w:r w:rsidR="00C375B2">
              <w:rPr>
                <w:webHidden/>
              </w:rPr>
              <w:tab/>
            </w:r>
            <w:r>
              <w:rPr>
                <w:webHidden/>
              </w:rPr>
              <w:fldChar w:fldCharType="begin"/>
            </w:r>
            <w:r w:rsidR="00C375B2">
              <w:rPr>
                <w:webHidden/>
              </w:rPr>
              <w:instrText xml:space="preserve"> PAGEREF _Toc326074047 \h </w:instrText>
            </w:r>
            <w:r>
              <w:rPr>
                <w:webHidden/>
              </w:rPr>
            </w:r>
            <w:r>
              <w:rPr>
                <w:webHidden/>
              </w:rPr>
              <w:fldChar w:fldCharType="separate"/>
            </w:r>
            <w:r w:rsidR="00C375B2">
              <w:rPr>
                <w:webHidden/>
              </w:rPr>
              <w:t>68</w:t>
            </w:r>
            <w:r>
              <w:rPr>
                <w:webHidden/>
              </w:rPr>
              <w:fldChar w:fldCharType="end"/>
            </w:r>
          </w:hyperlink>
        </w:p>
        <w:p w:rsidR="00C375B2" w:rsidRDefault="00C61D83">
          <w:pPr>
            <w:pStyle w:val="TOC1"/>
            <w:rPr>
              <w:rFonts w:asciiTheme="minorHAnsi" w:hAnsiTheme="minorHAnsi" w:cstheme="minorBidi"/>
              <w:sz w:val="22"/>
              <w:szCs w:val="22"/>
            </w:rPr>
          </w:pPr>
          <w:hyperlink w:anchor="_Toc326074048" w:history="1">
            <w:r w:rsidR="00C375B2" w:rsidRPr="00FD7289">
              <w:rPr>
                <w:rStyle w:val="Hyperlink"/>
              </w:rPr>
              <w:t>10</w:t>
            </w:r>
            <w:r w:rsidR="00C375B2">
              <w:rPr>
                <w:rStyle w:val="Hyperlink"/>
              </w:rPr>
              <w:t xml:space="preserve">  </w:t>
            </w:r>
            <w:r w:rsidR="00C375B2" w:rsidRPr="00FD7289">
              <w:rPr>
                <w:rStyle w:val="Hyperlink"/>
              </w:rPr>
              <w:t>Recommendations</w:t>
            </w:r>
            <w:r w:rsidR="00C375B2">
              <w:rPr>
                <w:webHidden/>
              </w:rPr>
              <w:tab/>
            </w:r>
            <w:r>
              <w:rPr>
                <w:webHidden/>
              </w:rPr>
              <w:fldChar w:fldCharType="begin"/>
            </w:r>
            <w:r w:rsidR="00C375B2">
              <w:rPr>
                <w:webHidden/>
              </w:rPr>
              <w:instrText xml:space="preserve"> PAGEREF _Toc326074048 \h </w:instrText>
            </w:r>
            <w:r>
              <w:rPr>
                <w:webHidden/>
              </w:rPr>
            </w:r>
            <w:r>
              <w:rPr>
                <w:webHidden/>
              </w:rPr>
              <w:fldChar w:fldCharType="separate"/>
            </w:r>
            <w:r w:rsidR="00C375B2">
              <w:rPr>
                <w:webHidden/>
              </w:rPr>
              <w:t>70</w:t>
            </w:r>
            <w:r>
              <w:rPr>
                <w:webHidden/>
              </w:rPr>
              <w:fldChar w:fldCharType="end"/>
            </w:r>
          </w:hyperlink>
        </w:p>
        <w:p w:rsidR="00C375B2" w:rsidRDefault="00C61D83">
          <w:pPr>
            <w:pStyle w:val="TOC1"/>
            <w:tabs>
              <w:tab w:val="left" w:pos="1540"/>
            </w:tabs>
            <w:rPr>
              <w:rFonts w:asciiTheme="minorHAnsi" w:hAnsiTheme="minorHAnsi" w:cstheme="minorBidi"/>
              <w:sz w:val="22"/>
              <w:szCs w:val="22"/>
            </w:rPr>
          </w:pPr>
          <w:hyperlink w:anchor="_Toc326074049" w:history="1">
            <w:r w:rsidR="00C375B2" w:rsidRPr="00FD7289">
              <w:rPr>
                <w:rStyle w:val="Hyperlink"/>
              </w:rPr>
              <w:t>Appendix A.</w:t>
            </w:r>
            <w:r w:rsidR="00C375B2">
              <w:rPr>
                <w:rFonts w:asciiTheme="minorHAnsi" w:hAnsiTheme="minorHAnsi" w:cstheme="minorBidi"/>
                <w:sz w:val="22"/>
                <w:szCs w:val="22"/>
              </w:rPr>
              <w:tab/>
            </w:r>
            <w:r w:rsidR="00C375B2" w:rsidRPr="00FD7289">
              <w:rPr>
                <w:rStyle w:val="Hyperlink"/>
              </w:rPr>
              <w:t>Detail on Model Selection</w:t>
            </w:r>
            <w:r w:rsidR="00C375B2">
              <w:rPr>
                <w:webHidden/>
              </w:rPr>
              <w:tab/>
            </w:r>
            <w:r>
              <w:rPr>
                <w:webHidden/>
              </w:rPr>
              <w:fldChar w:fldCharType="begin"/>
            </w:r>
            <w:r w:rsidR="00C375B2">
              <w:rPr>
                <w:webHidden/>
              </w:rPr>
              <w:instrText xml:space="preserve"> PAGEREF _Toc326074049 \h </w:instrText>
            </w:r>
            <w:r>
              <w:rPr>
                <w:webHidden/>
              </w:rPr>
            </w:r>
            <w:r>
              <w:rPr>
                <w:webHidden/>
              </w:rPr>
              <w:fldChar w:fldCharType="separate"/>
            </w:r>
            <w:r w:rsidR="00C375B2">
              <w:rPr>
                <w:webHidden/>
              </w:rPr>
              <w:t>71</w:t>
            </w:r>
            <w:r>
              <w:rPr>
                <w:webHidden/>
              </w:rPr>
              <w:fldChar w:fldCharType="end"/>
            </w:r>
          </w:hyperlink>
        </w:p>
        <w:p w:rsidR="00C375B2" w:rsidRDefault="00C61D83">
          <w:pPr>
            <w:pStyle w:val="TOC1"/>
            <w:tabs>
              <w:tab w:val="left" w:pos="1540"/>
            </w:tabs>
            <w:rPr>
              <w:rFonts w:asciiTheme="minorHAnsi" w:hAnsiTheme="minorHAnsi" w:cstheme="minorBidi"/>
              <w:sz w:val="22"/>
              <w:szCs w:val="22"/>
            </w:rPr>
          </w:pPr>
          <w:hyperlink w:anchor="_Toc326074050" w:history="1">
            <w:r w:rsidR="00C375B2" w:rsidRPr="00FD7289">
              <w:rPr>
                <w:rStyle w:val="Hyperlink"/>
              </w:rPr>
              <w:t>Appendix B.</w:t>
            </w:r>
            <w:r w:rsidR="00C375B2">
              <w:rPr>
                <w:rFonts w:asciiTheme="minorHAnsi" w:hAnsiTheme="minorHAnsi" w:cstheme="minorBidi"/>
                <w:sz w:val="22"/>
                <w:szCs w:val="22"/>
              </w:rPr>
              <w:tab/>
            </w:r>
            <w:r w:rsidR="00C375B2" w:rsidRPr="00FD7289">
              <w:rPr>
                <w:rStyle w:val="Hyperlink"/>
              </w:rPr>
              <w:t>Proxy Event Day – Actual Event Day Comparison</w:t>
            </w:r>
            <w:r w:rsidR="00C375B2">
              <w:rPr>
                <w:webHidden/>
              </w:rPr>
              <w:tab/>
            </w:r>
            <w:r>
              <w:rPr>
                <w:webHidden/>
              </w:rPr>
              <w:fldChar w:fldCharType="begin"/>
            </w:r>
            <w:r w:rsidR="00C375B2">
              <w:rPr>
                <w:webHidden/>
              </w:rPr>
              <w:instrText xml:space="preserve"> PAGEREF _Toc326074050 \h </w:instrText>
            </w:r>
            <w:r>
              <w:rPr>
                <w:webHidden/>
              </w:rPr>
            </w:r>
            <w:r>
              <w:rPr>
                <w:webHidden/>
              </w:rPr>
              <w:fldChar w:fldCharType="separate"/>
            </w:r>
            <w:r w:rsidR="00C375B2">
              <w:rPr>
                <w:webHidden/>
              </w:rPr>
              <w:t>78</w:t>
            </w:r>
            <w:r>
              <w:rPr>
                <w:webHidden/>
              </w:rPr>
              <w:fldChar w:fldCharType="end"/>
            </w:r>
          </w:hyperlink>
        </w:p>
        <w:p w:rsidR="00C375B2" w:rsidRDefault="00C61D83">
          <w:pPr>
            <w:pStyle w:val="TOC1"/>
            <w:tabs>
              <w:tab w:val="left" w:pos="1540"/>
            </w:tabs>
            <w:rPr>
              <w:rFonts w:asciiTheme="minorHAnsi" w:hAnsiTheme="minorHAnsi" w:cstheme="minorBidi"/>
              <w:sz w:val="22"/>
              <w:szCs w:val="22"/>
            </w:rPr>
          </w:pPr>
          <w:hyperlink w:anchor="_Toc326074051" w:history="1">
            <w:r w:rsidR="00C375B2" w:rsidRPr="00FD7289">
              <w:rPr>
                <w:rStyle w:val="Hyperlink"/>
              </w:rPr>
              <w:t>Appendix C.</w:t>
            </w:r>
            <w:r w:rsidR="00C375B2">
              <w:rPr>
                <w:rFonts w:asciiTheme="minorHAnsi" w:hAnsiTheme="minorHAnsi" w:cstheme="minorBidi"/>
                <w:sz w:val="22"/>
                <w:szCs w:val="22"/>
              </w:rPr>
              <w:tab/>
            </w:r>
            <w:r w:rsidR="00C375B2" w:rsidRPr="00FD7289">
              <w:rPr>
                <w:rStyle w:val="Hyperlink"/>
              </w:rPr>
              <w:t>Validity Assessment - Accuracy of Selected Model</w:t>
            </w:r>
            <w:r w:rsidR="00C375B2">
              <w:rPr>
                <w:webHidden/>
              </w:rPr>
              <w:tab/>
            </w:r>
            <w:r>
              <w:rPr>
                <w:webHidden/>
              </w:rPr>
              <w:fldChar w:fldCharType="begin"/>
            </w:r>
            <w:r w:rsidR="00C375B2">
              <w:rPr>
                <w:webHidden/>
              </w:rPr>
              <w:instrText xml:space="preserve"> PAGEREF _Toc326074051 \h </w:instrText>
            </w:r>
            <w:r>
              <w:rPr>
                <w:webHidden/>
              </w:rPr>
            </w:r>
            <w:r>
              <w:rPr>
                <w:webHidden/>
              </w:rPr>
              <w:fldChar w:fldCharType="separate"/>
            </w:r>
            <w:r w:rsidR="00C375B2">
              <w:rPr>
                <w:webHidden/>
              </w:rPr>
              <w:t>80</w:t>
            </w:r>
            <w:r>
              <w:rPr>
                <w:webHidden/>
              </w:rPr>
              <w:fldChar w:fldCharType="end"/>
            </w:r>
          </w:hyperlink>
        </w:p>
        <w:p w:rsidR="00C375B2" w:rsidRDefault="00C61D83">
          <w:pPr>
            <w:pStyle w:val="TOC1"/>
            <w:tabs>
              <w:tab w:val="left" w:pos="1540"/>
            </w:tabs>
            <w:rPr>
              <w:rFonts w:asciiTheme="minorHAnsi" w:hAnsiTheme="minorHAnsi" w:cstheme="minorBidi"/>
              <w:sz w:val="22"/>
              <w:szCs w:val="22"/>
            </w:rPr>
          </w:pPr>
          <w:hyperlink w:anchor="_Toc326074052" w:history="1">
            <w:r w:rsidR="00C375B2" w:rsidRPr="00FD7289">
              <w:rPr>
                <w:rStyle w:val="Hyperlink"/>
              </w:rPr>
              <w:t>Appendix D.</w:t>
            </w:r>
            <w:r w:rsidR="00C375B2">
              <w:rPr>
                <w:rFonts w:asciiTheme="minorHAnsi" w:hAnsiTheme="minorHAnsi" w:cstheme="minorBidi"/>
                <w:sz w:val="22"/>
                <w:szCs w:val="22"/>
              </w:rPr>
              <w:tab/>
            </w:r>
            <w:r w:rsidR="00C375B2" w:rsidRPr="00FD7289">
              <w:rPr>
                <w:rStyle w:val="Hyperlink"/>
              </w:rPr>
              <w:t>Enrollments and Nominations</w:t>
            </w:r>
            <w:r w:rsidR="00C375B2">
              <w:rPr>
                <w:webHidden/>
              </w:rPr>
              <w:tab/>
            </w:r>
            <w:r>
              <w:rPr>
                <w:webHidden/>
              </w:rPr>
              <w:fldChar w:fldCharType="begin"/>
            </w:r>
            <w:r w:rsidR="00C375B2">
              <w:rPr>
                <w:webHidden/>
              </w:rPr>
              <w:instrText xml:space="preserve"> PAGEREF _Toc326074052 \h </w:instrText>
            </w:r>
            <w:r>
              <w:rPr>
                <w:webHidden/>
              </w:rPr>
            </w:r>
            <w:r>
              <w:rPr>
                <w:webHidden/>
              </w:rPr>
              <w:fldChar w:fldCharType="separate"/>
            </w:r>
            <w:r w:rsidR="00C375B2">
              <w:rPr>
                <w:webHidden/>
              </w:rPr>
              <w:t>82</w:t>
            </w:r>
            <w:r>
              <w:rPr>
                <w:webHidden/>
              </w:rPr>
              <w:fldChar w:fldCharType="end"/>
            </w:r>
          </w:hyperlink>
        </w:p>
        <w:p w:rsidR="00C375B2" w:rsidRDefault="00C61D83">
          <w:pPr>
            <w:pStyle w:val="TOC1"/>
            <w:tabs>
              <w:tab w:val="left" w:pos="1540"/>
            </w:tabs>
            <w:rPr>
              <w:rFonts w:asciiTheme="minorHAnsi" w:hAnsiTheme="minorHAnsi" w:cstheme="minorBidi"/>
              <w:sz w:val="22"/>
              <w:szCs w:val="22"/>
            </w:rPr>
          </w:pPr>
          <w:hyperlink w:anchor="_Toc326074053" w:history="1">
            <w:r w:rsidR="00C375B2" w:rsidRPr="00FD7289">
              <w:rPr>
                <w:rStyle w:val="Hyperlink"/>
              </w:rPr>
              <w:t>Appendix E.</w:t>
            </w:r>
            <w:r w:rsidR="00C375B2">
              <w:rPr>
                <w:rFonts w:asciiTheme="minorHAnsi" w:hAnsiTheme="minorHAnsi" w:cstheme="minorBidi"/>
                <w:sz w:val="22"/>
                <w:szCs w:val="22"/>
              </w:rPr>
              <w:tab/>
            </w:r>
            <w:r w:rsidR="00C375B2" w:rsidRPr="00FD7289">
              <w:rPr>
                <w:rStyle w:val="Hyperlink"/>
              </w:rPr>
              <w:t>Resource Adequacy Tables</w:t>
            </w:r>
            <w:r w:rsidR="00C375B2">
              <w:rPr>
                <w:webHidden/>
              </w:rPr>
              <w:tab/>
            </w:r>
            <w:r>
              <w:rPr>
                <w:webHidden/>
              </w:rPr>
              <w:fldChar w:fldCharType="begin"/>
            </w:r>
            <w:r w:rsidR="00C375B2">
              <w:rPr>
                <w:webHidden/>
              </w:rPr>
              <w:instrText xml:space="preserve"> PAGEREF _Toc326074053 \h </w:instrText>
            </w:r>
            <w:r>
              <w:rPr>
                <w:webHidden/>
              </w:rPr>
            </w:r>
            <w:r>
              <w:rPr>
                <w:webHidden/>
              </w:rPr>
              <w:fldChar w:fldCharType="separate"/>
            </w:r>
            <w:r w:rsidR="00C375B2">
              <w:rPr>
                <w:webHidden/>
              </w:rPr>
              <w:t>83</w:t>
            </w:r>
            <w:r>
              <w:rPr>
                <w:webHidden/>
              </w:rPr>
              <w:fldChar w:fldCharType="end"/>
            </w:r>
          </w:hyperlink>
        </w:p>
        <w:p w:rsidR="00C375B2" w:rsidRDefault="00C61D83">
          <w:pPr>
            <w:pStyle w:val="TOC3"/>
            <w:rPr>
              <w:rFonts w:asciiTheme="minorHAnsi" w:hAnsiTheme="minorHAnsi" w:cstheme="minorBidi"/>
              <w:sz w:val="22"/>
              <w:szCs w:val="22"/>
            </w:rPr>
          </w:pPr>
          <w:hyperlink w:anchor="_Toc326074054" w:history="1">
            <w:r w:rsidR="00C375B2" w:rsidRPr="00FD7289">
              <w:rPr>
                <w:rStyle w:val="Hyperlink"/>
                <w:rFonts w:ascii="Arial" w:hAnsi="Arial"/>
                <w:snapToGrid w:val="0"/>
                <w:w w:val="0"/>
              </w:rPr>
              <w:t>E.1.</w:t>
            </w:r>
            <w:r w:rsidR="00C375B2">
              <w:rPr>
                <w:rFonts w:asciiTheme="minorHAnsi" w:hAnsiTheme="minorHAnsi" w:cstheme="minorBidi"/>
                <w:sz w:val="22"/>
                <w:szCs w:val="22"/>
              </w:rPr>
              <w:tab/>
            </w:r>
            <w:r w:rsidR="00C375B2" w:rsidRPr="00FD7289">
              <w:rPr>
                <w:rStyle w:val="Hyperlink"/>
              </w:rPr>
              <w:t>PG&amp;E</w:t>
            </w:r>
            <w:r w:rsidR="00C375B2">
              <w:rPr>
                <w:webHidden/>
              </w:rPr>
              <w:tab/>
            </w:r>
            <w:r>
              <w:rPr>
                <w:webHidden/>
              </w:rPr>
              <w:fldChar w:fldCharType="begin"/>
            </w:r>
            <w:r w:rsidR="00C375B2">
              <w:rPr>
                <w:webHidden/>
              </w:rPr>
              <w:instrText xml:space="preserve"> PAGEREF _Toc326074054 \h </w:instrText>
            </w:r>
            <w:r>
              <w:rPr>
                <w:webHidden/>
              </w:rPr>
            </w:r>
            <w:r>
              <w:rPr>
                <w:webHidden/>
              </w:rPr>
              <w:fldChar w:fldCharType="separate"/>
            </w:r>
            <w:r w:rsidR="00C375B2">
              <w:rPr>
                <w:webHidden/>
              </w:rPr>
              <w:t>84</w:t>
            </w:r>
            <w:r>
              <w:rPr>
                <w:webHidden/>
              </w:rPr>
              <w:fldChar w:fldCharType="end"/>
            </w:r>
          </w:hyperlink>
        </w:p>
        <w:p w:rsidR="00C375B2" w:rsidRDefault="00C61D83">
          <w:pPr>
            <w:pStyle w:val="TOC3"/>
            <w:rPr>
              <w:rFonts w:asciiTheme="minorHAnsi" w:hAnsiTheme="minorHAnsi" w:cstheme="minorBidi"/>
              <w:sz w:val="22"/>
              <w:szCs w:val="22"/>
            </w:rPr>
          </w:pPr>
          <w:hyperlink w:anchor="_Toc326074055" w:history="1">
            <w:r w:rsidR="00C375B2" w:rsidRPr="00FD7289">
              <w:rPr>
                <w:rStyle w:val="Hyperlink"/>
                <w:rFonts w:ascii="Arial" w:hAnsi="Arial"/>
                <w:snapToGrid w:val="0"/>
                <w:w w:val="0"/>
              </w:rPr>
              <w:t>E.2.</w:t>
            </w:r>
            <w:r w:rsidR="00C375B2">
              <w:rPr>
                <w:rFonts w:asciiTheme="minorHAnsi" w:hAnsiTheme="minorHAnsi" w:cstheme="minorBidi"/>
                <w:sz w:val="22"/>
                <w:szCs w:val="22"/>
              </w:rPr>
              <w:tab/>
            </w:r>
            <w:r w:rsidR="00C375B2" w:rsidRPr="00FD7289">
              <w:rPr>
                <w:rStyle w:val="Hyperlink"/>
              </w:rPr>
              <w:t>SCE</w:t>
            </w:r>
            <w:r w:rsidR="00C375B2">
              <w:rPr>
                <w:webHidden/>
              </w:rPr>
              <w:tab/>
            </w:r>
            <w:r>
              <w:rPr>
                <w:webHidden/>
              </w:rPr>
              <w:fldChar w:fldCharType="begin"/>
            </w:r>
            <w:r w:rsidR="00C375B2">
              <w:rPr>
                <w:webHidden/>
              </w:rPr>
              <w:instrText xml:space="preserve"> PAGEREF _Toc326074055 \h </w:instrText>
            </w:r>
            <w:r>
              <w:rPr>
                <w:webHidden/>
              </w:rPr>
            </w:r>
            <w:r>
              <w:rPr>
                <w:webHidden/>
              </w:rPr>
              <w:fldChar w:fldCharType="separate"/>
            </w:r>
            <w:r w:rsidR="00C375B2">
              <w:rPr>
                <w:webHidden/>
              </w:rPr>
              <w:t>86</w:t>
            </w:r>
            <w:r>
              <w:rPr>
                <w:webHidden/>
              </w:rPr>
              <w:fldChar w:fldCharType="end"/>
            </w:r>
          </w:hyperlink>
        </w:p>
        <w:p w:rsidR="00C375B2" w:rsidRDefault="00C61D83">
          <w:pPr>
            <w:pStyle w:val="TOC3"/>
            <w:rPr>
              <w:rFonts w:asciiTheme="minorHAnsi" w:hAnsiTheme="minorHAnsi" w:cstheme="minorBidi"/>
              <w:sz w:val="22"/>
              <w:szCs w:val="22"/>
            </w:rPr>
          </w:pPr>
          <w:hyperlink w:anchor="_Toc326074056" w:history="1">
            <w:r w:rsidR="00C375B2" w:rsidRPr="00FD7289">
              <w:rPr>
                <w:rStyle w:val="Hyperlink"/>
                <w:rFonts w:ascii="Arial" w:hAnsi="Arial"/>
                <w:snapToGrid w:val="0"/>
                <w:w w:val="0"/>
              </w:rPr>
              <w:t>E.3.</w:t>
            </w:r>
            <w:r w:rsidR="00C375B2">
              <w:rPr>
                <w:rFonts w:asciiTheme="minorHAnsi" w:hAnsiTheme="minorHAnsi" w:cstheme="minorBidi"/>
                <w:sz w:val="22"/>
                <w:szCs w:val="22"/>
              </w:rPr>
              <w:tab/>
            </w:r>
            <w:r w:rsidR="00C375B2" w:rsidRPr="00FD7289">
              <w:rPr>
                <w:rStyle w:val="Hyperlink"/>
              </w:rPr>
              <w:t>SDG&amp;E</w:t>
            </w:r>
            <w:r w:rsidR="00C375B2">
              <w:rPr>
                <w:webHidden/>
              </w:rPr>
              <w:tab/>
            </w:r>
            <w:r>
              <w:rPr>
                <w:webHidden/>
              </w:rPr>
              <w:fldChar w:fldCharType="begin"/>
            </w:r>
            <w:r w:rsidR="00C375B2">
              <w:rPr>
                <w:webHidden/>
              </w:rPr>
              <w:instrText xml:space="preserve"> PAGEREF _Toc326074056 \h </w:instrText>
            </w:r>
            <w:r>
              <w:rPr>
                <w:webHidden/>
              </w:rPr>
            </w:r>
            <w:r>
              <w:rPr>
                <w:webHidden/>
              </w:rPr>
              <w:fldChar w:fldCharType="separate"/>
            </w:r>
            <w:r w:rsidR="00C375B2">
              <w:rPr>
                <w:webHidden/>
              </w:rPr>
              <w:t>88</w:t>
            </w:r>
            <w:r>
              <w:rPr>
                <w:webHidden/>
              </w:rPr>
              <w:fldChar w:fldCharType="end"/>
            </w:r>
          </w:hyperlink>
        </w:p>
        <w:p w:rsidR="005343AA" w:rsidRPr="00050374" w:rsidRDefault="00C61D83" w:rsidP="005343AA">
          <w:r w:rsidRPr="001D5412">
            <w:rPr>
              <w:rFonts w:ascii="Arial" w:hAnsi="Arial"/>
              <w:sz w:val="24"/>
            </w:rPr>
            <w:fldChar w:fldCharType="end"/>
          </w:r>
        </w:p>
      </w:sdtContent>
    </w:sdt>
    <w:p w:rsidR="005343AA" w:rsidRPr="00050374" w:rsidRDefault="005343AA" w:rsidP="005343AA">
      <w:pPr>
        <w:pStyle w:val="PreparedForCompany"/>
      </w:pPr>
      <w:bookmarkStart w:id="1" w:name="_Toc268073344"/>
    </w:p>
    <w:p w:rsidR="005343AA" w:rsidRPr="00050374" w:rsidRDefault="005343AA" w:rsidP="005343AA">
      <w:pPr>
        <w:spacing w:before="240"/>
        <w:rPr>
          <w:b/>
          <w:color w:val="433B67"/>
          <w:sz w:val="28"/>
          <w:szCs w:val="28"/>
        </w:rPr>
        <w:sectPr w:rsidR="005343AA" w:rsidRPr="00050374" w:rsidSect="00011137">
          <w:headerReference w:type="default" r:id="rId13"/>
          <w:footerReference w:type="default" r:id="rId14"/>
          <w:headerReference w:type="first" r:id="rId15"/>
          <w:footerReference w:type="first" r:id="rId16"/>
          <w:pgSz w:w="12240" w:h="15840"/>
          <w:pgMar w:top="1440" w:right="1800" w:bottom="1440" w:left="1800" w:header="720" w:footer="720" w:gutter="0"/>
          <w:pgNumType w:fmt="lowerRoman" w:start="1"/>
          <w:cols w:space="720"/>
          <w:docGrid w:linePitch="360"/>
        </w:sectPr>
      </w:pPr>
    </w:p>
    <w:p w:rsidR="009555F5" w:rsidRDefault="00567FEB">
      <w:pPr>
        <w:pStyle w:val="Heading1"/>
      </w:pPr>
      <w:bookmarkStart w:id="2" w:name="_Toc326073994"/>
      <w:bookmarkEnd w:id="1"/>
      <w:r w:rsidRPr="00A52143">
        <w:lastRenderedPageBreak/>
        <w:t>Executive Summary</w:t>
      </w:r>
      <w:bookmarkEnd w:id="2"/>
    </w:p>
    <w:p w:rsidR="00567FEB" w:rsidRDefault="00567FEB" w:rsidP="00567FEB">
      <w:pPr>
        <w:pStyle w:val="BodyParagraph"/>
      </w:pPr>
      <w:r w:rsidRPr="00050374">
        <w:t xml:space="preserve">This report documents the </w:t>
      </w:r>
      <w:r>
        <w:t>ex post load impact evaluation for program year</w:t>
      </w:r>
      <w:r w:rsidRPr="00050374">
        <w:t xml:space="preserve"> 2011 </w:t>
      </w:r>
      <w:r>
        <w:t xml:space="preserve">for </w:t>
      </w:r>
      <w:r w:rsidR="00147655">
        <w:t xml:space="preserve">the </w:t>
      </w:r>
      <w:r w:rsidRPr="00050374">
        <w:t>aggregator demand response (DR) programs operated by the three California investor-owned utilities (IOUs)</w:t>
      </w:r>
      <w:r w:rsidR="00F95446">
        <w:t>:</w:t>
      </w:r>
      <w:r w:rsidRPr="00050374">
        <w:t xml:space="preserve"> Pacific Gas and Electric (PG&amp;E), Southern California Edison (SCE) and San Diego Gas and Electric (SDG&amp;E). </w:t>
      </w:r>
      <w:r>
        <w:t xml:space="preserve"> Specifically, the evaluation </w:t>
      </w:r>
      <w:r w:rsidRPr="00050374">
        <w:t xml:space="preserve">covers the statewide Capacity Bidding Program (CBP), which is operated by all three IOUs, PG&amp;E’s Aggregator Managed Portfolio (AMP) and SCE’s Demand Response Resource Contracts (DRRC). </w:t>
      </w:r>
      <w:r>
        <w:t xml:space="preserve"> Collectively, these programs are referred to as aggregator programs.  </w:t>
      </w:r>
    </w:p>
    <w:p w:rsidR="00567FEB" w:rsidRDefault="00567FEB" w:rsidP="00567FEB">
      <w:pPr>
        <w:pStyle w:val="BodyParagraph"/>
      </w:pPr>
      <w:r>
        <w:t xml:space="preserve">This volume </w:t>
      </w:r>
      <w:r w:rsidR="007B31BC">
        <w:t xml:space="preserve">documents the 2011 </w:t>
      </w:r>
      <w:r>
        <w:t xml:space="preserve">ex post </w:t>
      </w:r>
      <w:r w:rsidR="007B31BC">
        <w:t>evaluation</w:t>
      </w:r>
      <w:r>
        <w:t xml:space="preserve"> </w:t>
      </w:r>
      <w:r w:rsidR="000D3242">
        <w:t>and the estimated ex ante impacts for 2012 to 2022.  The results are reported for</w:t>
      </w:r>
      <w:r>
        <w:t xml:space="preserve"> each</w:t>
      </w:r>
      <w:r w:rsidR="007B31BC">
        <w:t xml:space="preserve"> aggregator</w:t>
      </w:r>
      <w:r>
        <w:t xml:space="preserve"> program and utility.</w:t>
      </w:r>
      <w:r w:rsidR="007B31BC">
        <w:t xml:space="preserve"> </w:t>
      </w:r>
      <w:r>
        <w:t xml:space="preserve"> </w:t>
      </w:r>
      <w:r w:rsidR="000D3242">
        <w:t xml:space="preserve"> Volume II provides an assessment of settlement baseline rules.  In specific, it assesses whether specific changes to settlement baseline rules help improve the accuracy of the settlements.  </w:t>
      </w:r>
      <w:r w:rsidR="000D3242" w:rsidRPr="00050374">
        <w:t>The analysis</w:t>
      </w:r>
      <w:r w:rsidR="000D3242">
        <w:t xml:space="preserve"> in Volume II is intended to comply with the CPUC decision D.</w:t>
      </w:r>
      <w:r w:rsidR="000D3242" w:rsidRPr="00265789">
        <w:t>12</w:t>
      </w:r>
      <w:r w:rsidR="000D3242">
        <w:t>-</w:t>
      </w:r>
      <w:r w:rsidR="000D3242" w:rsidRPr="00265789">
        <w:t>04</w:t>
      </w:r>
      <w:r w:rsidR="000D3242">
        <w:t>-</w:t>
      </w:r>
      <w:r w:rsidR="000D3242" w:rsidRPr="00265789">
        <w:t>045</w:t>
      </w:r>
      <w:r w:rsidR="000D3242">
        <w:t xml:space="preserve">. </w:t>
      </w:r>
    </w:p>
    <w:p w:rsidR="009555F5" w:rsidRPr="00BA25E2" w:rsidRDefault="00567FEB" w:rsidP="00BA25E2">
      <w:pPr>
        <w:pStyle w:val="Heading2"/>
      </w:pPr>
      <w:bookmarkStart w:id="3" w:name="_Toc326073995"/>
      <w:r w:rsidRPr="00BA25E2">
        <w:t>Capacity Bidding Program</w:t>
      </w:r>
      <w:bookmarkEnd w:id="3"/>
    </w:p>
    <w:p w:rsidR="00567FEB" w:rsidRDefault="00567FEB" w:rsidP="00567FEB">
      <w:pPr>
        <w:pStyle w:val="BodyParagraph"/>
      </w:pPr>
      <w:r>
        <w:t xml:space="preserve">The statewide CBP program offers participants (customers or aggregators) monthly capacity payments based on the amount of load reduction </w:t>
      </w:r>
      <w:r w:rsidR="00A86068">
        <w:t xml:space="preserve">they </w:t>
      </w:r>
      <w:r w:rsidR="00F95446">
        <w:t>nominate</w:t>
      </w:r>
      <w:r>
        <w:t xml:space="preserve"> and ma</w:t>
      </w:r>
      <w:r w:rsidR="00F95446">
        <w:t>k</w:t>
      </w:r>
      <w:r>
        <w:t>e available each month</w:t>
      </w:r>
      <w:r w:rsidR="00A86068">
        <w:t>;</w:t>
      </w:r>
      <w:r>
        <w:t xml:space="preserve"> plus additional energy payments (for bundled customers only) based on the kWh reduction when a CBP event is called.  </w:t>
      </w:r>
      <w:r w:rsidR="000F2EB5">
        <w:t>Nearly</w:t>
      </w:r>
      <w:r w:rsidR="00734048">
        <w:t xml:space="preserve"> </w:t>
      </w:r>
      <w:r>
        <w:t>all customers enrolled in CBP participate through aggregators.</w:t>
      </w:r>
      <w:r w:rsidR="00200AE7">
        <w:t xml:space="preserve"> </w:t>
      </w:r>
      <w:r>
        <w:t xml:space="preserve"> The program allows aggregators to adjust their nomination each month and to select </w:t>
      </w:r>
      <w:r w:rsidR="00B721C2">
        <w:t>in which program</w:t>
      </w:r>
      <w:r>
        <w:t xml:space="preserve"> option</w:t>
      </w:r>
      <w:r w:rsidR="00B721C2">
        <w:t>s</w:t>
      </w:r>
      <w:r>
        <w:t xml:space="preserve"> </w:t>
      </w:r>
      <w:r w:rsidR="00B721C2">
        <w:t>they</w:t>
      </w:r>
      <w:r w:rsidR="00BF409D">
        <w:t xml:space="preserve"> nominate </w:t>
      </w:r>
      <w:r w:rsidR="00B721C2">
        <w:t xml:space="preserve">individual </w:t>
      </w:r>
      <w:r w:rsidR="00BF409D">
        <w:t>cus</w:t>
      </w:r>
      <w:r>
        <w:t xml:space="preserve">tomers. </w:t>
      </w:r>
      <w:r w:rsidR="00147655">
        <w:t xml:space="preserve"> </w:t>
      </w:r>
      <w:r>
        <w:t xml:space="preserve">The program options include both </w:t>
      </w:r>
      <w:proofErr w:type="gramStart"/>
      <w:r w:rsidR="00F95446">
        <w:t>day-</w:t>
      </w:r>
      <w:proofErr w:type="gramEnd"/>
      <w:r w:rsidR="00F95446">
        <w:t>of</w:t>
      </w:r>
      <w:r>
        <w:t xml:space="preserve"> and </w:t>
      </w:r>
      <w:r w:rsidR="00F95446">
        <w:t>day-ahead</w:t>
      </w:r>
      <w:r>
        <w:t xml:space="preserve"> advance notification of events for one of the following event duration windows: 1 to 4 hours, 2 to 6 hours or 4 to 8 hours.</w:t>
      </w:r>
      <w:r w:rsidR="00B721C2">
        <w:t xml:space="preserve">  All customers nominated by an aggregator into a program option constitute a settlement portfolio.</w:t>
      </w:r>
      <w:r>
        <w:t xml:space="preserve">  Currently, </w:t>
      </w:r>
      <w:r w:rsidR="00B721C2">
        <w:t>aggregators</w:t>
      </w:r>
      <w:r>
        <w:t xml:space="preserve"> have </w:t>
      </w:r>
      <w:r w:rsidR="00B721C2">
        <w:t xml:space="preserve">not nominated any customer accounts to </w:t>
      </w:r>
      <w:r>
        <w:t>the 4 to 8 hour</w:t>
      </w:r>
      <w:r w:rsidR="00D649A8">
        <w:t xml:space="preserve"> </w:t>
      </w:r>
      <w:r>
        <w:t xml:space="preserve">option.  </w:t>
      </w:r>
    </w:p>
    <w:p w:rsidR="00567FEB" w:rsidRDefault="00567FEB" w:rsidP="00567FEB">
      <w:pPr>
        <w:pStyle w:val="BodyParagraph"/>
      </w:pPr>
      <w:r>
        <w:t xml:space="preserve">Table </w:t>
      </w:r>
      <w:r w:rsidR="00A52143">
        <w:t>1</w:t>
      </w:r>
      <w:r>
        <w:t xml:space="preserve">-1 summarizes the average event day demand response for each utility and CBP product for 2011.  Although the table contains estimates for each utility, </w:t>
      </w:r>
      <w:r w:rsidR="00F95446">
        <w:t xml:space="preserve">direct </w:t>
      </w:r>
      <w:r>
        <w:t xml:space="preserve">cross-utility comparisons are not appropriate due to underlying differences in the number and timing of event days, the industry mix that is participating in each jurisdiction and other factors such as partial dispatch of resources.  Due </w:t>
      </w:r>
      <w:r w:rsidR="00F95446">
        <w:t xml:space="preserve">to </w:t>
      </w:r>
      <w:r>
        <w:t>the coole</w:t>
      </w:r>
      <w:r w:rsidR="00BF409D">
        <w:t>r</w:t>
      </w:r>
      <w:r w:rsidR="00F95446">
        <w:t xml:space="preserve">-than-average </w:t>
      </w:r>
      <w:r w:rsidR="00BF409D">
        <w:t>temperatures</w:t>
      </w:r>
      <w:r w:rsidR="00F95446">
        <w:t xml:space="preserve"> in 2011</w:t>
      </w:r>
      <w:r w:rsidR="00BF409D">
        <w:t>, aggregator</w:t>
      </w:r>
      <w:r>
        <w:t xml:space="preserve"> resources were rarely dispatched in full, if at all.  For </w:t>
      </w:r>
      <w:r w:rsidR="00F95446">
        <w:t>similar</w:t>
      </w:r>
      <w:r>
        <w:t xml:space="preserve"> reasons, we have not added up the aggregate load reduction across utilities or product lines because the events underlying the averages were often called on different days and over different time periods.  Ex ante estimates are additive across utilities because they are, by design, based on the same underlying event day conditions, but it is not appropriate to add up ex post</w:t>
      </w:r>
      <w:r w:rsidR="00D921E2">
        <w:t> </w:t>
      </w:r>
      <w:r>
        <w:t xml:space="preserve">estimates.  </w:t>
      </w:r>
    </w:p>
    <w:p w:rsidR="00567FEB" w:rsidRDefault="00567FEB" w:rsidP="00567FEB">
      <w:pPr>
        <w:pStyle w:val="BodyParagraph"/>
        <w:rPr>
          <w:b/>
        </w:rPr>
      </w:pPr>
      <w:r>
        <w:t xml:space="preserve">SCE called the </w:t>
      </w:r>
      <w:r w:rsidR="00F95446">
        <w:t>day-ahead</w:t>
      </w:r>
      <w:r>
        <w:t xml:space="preserve">, 1-4 hour resource many more times (17 events) than did either PG&amp;E (7 events) or SDG&amp;E (5 events).  However, the aggregate (3.8 MW) and percentage (24.8%) reduction across SCE’s numerous events is significantly lower than for either of the other </w:t>
      </w:r>
      <w:r w:rsidR="00734048">
        <w:t>utilities</w:t>
      </w:r>
      <w:r w:rsidR="00F12FC0">
        <w:t xml:space="preserve"> because the resource was partially dispatched for most events</w:t>
      </w:r>
      <w:r>
        <w:t>.  PG&amp;E had an average load reduction of 13.</w:t>
      </w:r>
      <w:r w:rsidR="00FC0D08">
        <w:t>6</w:t>
      </w:r>
      <w:r>
        <w:t xml:space="preserve"> MW</w:t>
      </w:r>
      <w:r w:rsidR="001136EF">
        <w:t xml:space="preserve">, or </w:t>
      </w:r>
      <w:r w:rsidR="00020540">
        <w:t>28</w:t>
      </w:r>
      <w:r w:rsidR="001136EF">
        <w:t>.</w:t>
      </w:r>
      <w:r w:rsidR="00020540">
        <w:t>7</w:t>
      </w:r>
      <w:r w:rsidR="001136EF">
        <w:t>%,</w:t>
      </w:r>
      <w:r>
        <w:t xml:space="preserve"> across seven events.  </w:t>
      </w:r>
      <w:r w:rsidR="002736F2" w:rsidRPr="00050374">
        <w:t>On average,</w:t>
      </w:r>
      <w:r w:rsidR="00B721C2">
        <w:t xml:space="preserve"> </w:t>
      </w:r>
      <w:r w:rsidR="001136EF">
        <w:t>SD</w:t>
      </w:r>
      <w:r w:rsidR="00B721C2">
        <w:t>G&amp;E</w:t>
      </w:r>
      <w:r w:rsidR="002736F2" w:rsidRPr="00050374">
        <w:t xml:space="preserve"> accounts with day-ahead notification reduced demand by</w:t>
      </w:r>
      <w:r w:rsidR="001136EF">
        <w:t xml:space="preserve"> 11.3 MW, or 43.9%</w:t>
      </w:r>
      <w:r w:rsidR="002736F2" w:rsidRPr="00050374">
        <w:t xml:space="preserve">. </w:t>
      </w:r>
    </w:p>
    <w:p w:rsidR="008B31AA" w:rsidRDefault="00567FEB" w:rsidP="00BA25E2">
      <w:pPr>
        <w:pStyle w:val="TableFigureCaption"/>
      </w:pPr>
      <w:r w:rsidRPr="00BA25E2">
        <w:lastRenderedPageBreak/>
        <w:t>Table</w:t>
      </w:r>
      <w:r w:rsidRPr="006271D9">
        <w:t xml:space="preserve"> </w:t>
      </w:r>
      <w:r w:rsidR="00A52143">
        <w:t>1</w:t>
      </w:r>
      <w:r w:rsidRPr="006271D9">
        <w:t>-1</w:t>
      </w:r>
      <w:r w:rsidR="00901955">
        <w:t>:</w:t>
      </w:r>
    </w:p>
    <w:p w:rsidR="009D210C" w:rsidRDefault="00BE43DE" w:rsidP="00BA25E2">
      <w:pPr>
        <w:pStyle w:val="TableFigureCaption"/>
      </w:pPr>
      <w:r w:rsidRPr="006271D9">
        <w:t xml:space="preserve">2011 </w:t>
      </w:r>
      <w:r w:rsidR="00567FEB" w:rsidRPr="006271D9">
        <w:t>Ex Post Load Impacts for Statewide Capacity Bidding Program</w:t>
      </w:r>
      <w:r w:rsidR="00011DE1">
        <w:t xml:space="preserve"> </w:t>
      </w:r>
      <w:r w:rsidR="00011DE1">
        <w:br/>
      </w:r>
      <w:r w:rsidRPr="006271D9">
        <w:t>Average Event by Utility and CBP Product</w:t>
      </w:r>
    </w:p>
    <w:tbl>
      <w:tblPr>
        <w:tblW w:w="8640" w:type="dxa"/>
        <w:tblInd w:w="97" w:type="dxa"/>
        <w:tblLook w:val="04A0"/>
      </w:tblPr>
      <w:tblGrid>
        <w:gridCol w:w="1820"/>
        <w:gridCol w:w="2980"/>
        <w:gridCol w:w="1280"/>
        <w:gridCol w:w="1280"/>
        <w:gridCol w:w="1280"/>
      </w:tblGrid>
      <w:tr w:rsidR="00221DD4" w:rsidRPr="00221DD4" w:rsidTr="00221DD4">
        <w:trPr>
          <w:trHeight w:val="360"/>
        </w:trPr>
        <w:tc>
          <w:tcPr>
            <w:tcW w:w="1820" w:type="dxa"/>
            <w:tcBorders>
              <w:top w:val="single" w:sz="4" w:space="0" w:color="auto"/>
              <w:left w:val="single" w:sz="4" w:space="0" w:color="auto"/>
              <w:bottom w:val="single" w:sz="4" w:space="0" w:color="auto"/>
              <w:right w:val="single" w:sz="4" w:space="0" w:color="FFFFFF"/>
            </w:tcBorders>
            <w:shd w:val="clear" w:color="000000" w:fill="365F91"/>
            <w:vAlign w:val="center"/>
            <w:hideMark/>
          </w:tcPr>
          <w:p w:rsidR="009555F5" w:rsidRDefault="00345F96">
            <w:pPr>
              <w:pStyle w:val="TableHeader"/>
              <w:rPr>
                <w:rFonts w:eastAsia="Times New Roman"/>
                <w:b w:val="0"/>
              </w:rPr>
            </w:pPr>
            <w:r w:rsidRPr="00345F96">
              <w:rPr>
                <w:rFonts w:eastAsia="Times New Roman"/>
              </w:rPr>
              <w:t>CBP Product</w:t>
            </w:r>
          </w:p>
        </w:tc>
        <w:tc>
          <w:tcPr>
            <w:tcW w:w="2980" w:type="dxa"/>
            <w:tcBorders>
              <w:top w:val="single" w:sz="4" w:space="0" w:color="auto"/>
              <w:left w:val="nil"/>
              <w:bottom w:val="single" w:sz="4" w:space="0" w:color="auto"/>
              <w:right w:val="single" w:sz="4" w:space="0" w:color="FFFFFF"/>
            </w:tcBorders>
            <w:shd w:val="clear" w:color="000000" w:fill="365F91"/>
            <w:vAlign w:val="center"/>
            <w:hideMark/>
          </w:tcPr>
          <w:p w:rsidR="009555F5" w:rsidRDefault="00345F96">
            <w:pPr>
              <w:pStyle w:val="TableHeader"/>
              <w:rPr>
                <w:rFonts w:eastAsia="Times New Roman"/>
                <w:b w:val="0"/>
              </w:rPr>
            </w:pPr>
            <w:r w:rsidRPr="00345F96">
              <w:rPr>
                <w:rFonts w:eastAsia="Times New Roman"/>
              </w:rPr>
              <w:t>Measure (Average Event)</w:t>
            </w:r>
          </w:p>
        </w:tc>
        <w:tc>
          <w:tcPr>
            <w:tcW w:w="1280" w:type="dxa"/>
            <w:tcBorders>
              <w:top w:val="single" w:sz="4" w:space="0" w:color="auto"/>
              <w:left w:val="nil"/>
              <w:bottom w:val="single" w:sz="4" w:space="0" w:color="auto"/>
              <w:right w:val="single" w:sz="4" w:space="0" w:color="FFFFFF"/>
            </w:tcBorders>
            <w:shd w:val="clear" w:color="000000" w:fill="365F91"/>
            <w:vAlign w:val="center"/>
            <w:hideMark/>
          </w:tcPr>
          <w:p w:rsidR="009555F5" w:rsidRDefault="00345F96">
            <w:pPr>
              <w:pStyle w:val="TableHeader"/>
              <w:rPr>
                <w:rFonts w:eastAsia="Times New Roman"/>
                <w:b w:val="0"/>
              </w:rPr>
            </w:pPr>
            <w:r w:rsidRPr="00345F96">
              <w:rPr>
                <w:rFonts w:eastAsia="Times New Roman"/>
              </w:rPr>
              <w:t>PG&amp;E</w:t>
            </w:r>
          </w:p>
        </w:tc>
        <w:tc>
          <w:tcPr>
            <w:tcW w:w="1280" w:type="dxa"/>
            <w:tcBorders>
              <w:top w:val="single" w:sz="4" w:space="0" w:color="auto"/>
              <w:left w:val="nil"/>
              <w:bottom w:val="single" w:sz="4" w:space="0" w:color="auto"/>
              <w:right w:val="single" w:sz="4" w:space="0" w:color="FFFFFF"/>
            </w:tcBorders>
            <w:shd w:val="clear" w:color="000000" w:fill="365F91"/>
            <w:vAlign w:val="center"/>
            <w:hideMark/>
          </w:tcPr>
          <w:p w:rsidR="009555F5" w:rsidRDefault="00345F96">
            <w:pPr>
              <w:pStyle w:val="TableHeader"/>
              <w:rPr>
                <w:rFonts w:eastAsia="Times New Roman"/>
                <w:b w:val="0"/>
              </w:rPr>
            </w:pPr>
            <w:r w:rsidRPr="00345F96">
              <w:rPr>
                <w:rFonts w:eastAsia="Times New Roman"/>
              </w:rPr>
              <w:t>SCE</w:t>
            </w:r>
          </w:p>
        </w:tc>
        <w:tc>
          <w:tcPr>
            <w:tcW w:w="1280" w:type="dxa"/>
            <w:tcBorders>
              <w:top w:val="single" w:sz="4" w:space="0" w:color="auto"/>
              <w:left w:val="nil"/>
              <w:bottom w:val="single" w:sz="4" w:space="0" w:color="auto"/>
              <w:right w:val="single" w:sz="4" w:space="0" w:color="auto"/>
            </w:tcBorders>
            <w:shd w:val="clear" w:color="000000" w:fill="365F91"/>
            <w:vAlign w:val="center"/>
            <w:hideMark/>
          </w:tcPr>
          <w:p w:rsidR="009555F5" w:rsidRDefault="00345F96">
            <w:pPr>
              <w:pStyle w:val="TableHeader"/>
              <w:rPr>
                <w:rFonts w:eastAsia="Times New Roman"/>
                <w:b w:val="0"/>
              </w:rPr>
            </w:pPr>
            <w:r w:rsidRPr="00345F96">
              <w:rPr>
                <w:rFonts w:eastAsia="Times New Roman"/>
              </w:rPr>
              <w:t>SDG&amp;E</w:t>
            </w:r>
          </w:p>
        </w:tc>
      </w:tr>
      <w:tr w:rsidR="00FC0D08" w:rsidRPr="00221DD4" w:rsidTr="00221DD4">
        <w:trPr>
          <w:trHeight w:val="360"/>
        </w:trPr>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Day-ahead 1-4 hr.</w:t>
            </w: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 xml:space="preserve"> Events</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7</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17</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 xml:space="preserve"> Nominated Accounts</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150</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89</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48</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Nominated MW</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19.1</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3.7</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7.6</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Aggregate Load Impact (MW)</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13.6</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3.8</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11.3</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 Load Reduction</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28.7%</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24.8%</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43.9%</w:t>
            </w:r>
          </w:p>
        </w:tc>
      </w:tr>
      <w:tr w:rsidR="00FC0D08" w:rsidRPr="00221DD4" w:rsidTr="00221DD4">
        <w:trPr>
          <w:trHeight w:val="360"/>
        </w:trPr>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Day-ahead 2-6 hr.</w:t>
            </w: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 xml:space="preserve"> Events</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N/A</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10</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N/A</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 xml:space="preserve"> Nominated Accounts</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N/A</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N/A</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Nominated MW</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N/A</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0.1</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N/A</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Aggregate Load Impact (MW)</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N/A</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N/A</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 Load Reduction</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N/A</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0.0%</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N/A</w:t>
            </w:r>
          </w:p>
        </w:tc>
      </w:tr>
      <w:tr w:rsidR="00FC0D08" w:rsidRPr="00221DD4" w:rsidTr="00221DD4">
        <w:trPr>
          <w:trHeight w:val="360"/>
        </w:trPr>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Day-of 1-4 hr.</w:t>
            </w: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 xml:space="preserve"> Events</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2</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3</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 xml:space="preserve"> Nominated Accounts</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139</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215</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245</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Nominated MW</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15.1</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7.1</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8.5</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Aggregate Load Impact (MW)</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12.8</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6.8</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6.9</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 Load Reduction</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22.4%</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16.7%</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16.4%</w:t>
            </w:r>
          </w:p>
        </w:tc>
      </w:tr>
      <w:tr w:rsidR="00FC0D08" w:rsidRPr="00221DD4" w:rsidTr="00221DD4">
        <w:trPr>
          <w:trHeight w:val="360"/>
        </w:trPr>
        <w:tc>
          <w:tcPr>
            <w:tcW w:w="1820" w:type="dxa"/>
            <w:vMerge w:val="restart"/>
            <w:tcBorders>
              <w:top w:val="nil"/>
              <w:left w:val="single" w:sz="4" w:space="0" w:color="auto"/>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Day-of 2-6 hr.</w:t>
            </w: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 xml:space="preserve"> Events</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1</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 xml:space="preserve"> Nominated Accounts</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80</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197</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73</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Nominated MW</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4.0</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7.7</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2.6</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Aggregate Load Impact (MW)</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4.6</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12.1</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4.1</w:t>
            </w:r>
          </w:p>
        </w:tc>
      </w:tr>
      <w:tr w:rsidR="00FC0D08" w:rsidRPr="00221DD4" w:rsidTr="00221DD4">
        <w:trPr>
          <w:trHeight w:val="360"/>
        </w:trPr>
        <w:tc>
          <w:tcPr>
            <w:tcW w:w="1820" w:type="dxa"/>
            <w:vMerge/>
            <w:tcBorders>
              <w:top w:val="nil"/>
              <w:left w:val="single" w:sz="4" w:space="0" w:color="auto"/>
              <w:bottom w:val="single" w:sz="4" w:space="0" w:color="auto"/>
              <w:right w:val="single" w:sz="4" w:space="0" w:color="auto"/>
            </w:tcBorders>
            <w:vAlign w:val="center"/>
            <w:hideMark/>
          </w:tcPr>
          <w:p w:rsidR="00FC0D08" w:rsidRPr="00221DD4" w:rsidRDefault="00FC0D08" w:rsidP="00221DD4">
            <w:pPr>
              <w:spacing w:after="0" w:line="240" w:lineRule="auto"/>
              <w:rPr>
                <w:rFonts w:ascii="Arial" w:eastAsia="Times New Roman" w:hAnsi="Arial" w:cs="Arial"/>
                <w:color w:val="000000"/>
                <w:sz w:val="18"/>
                <w:szCs w:val="18"/>
              </w:rPr>
            </w:pPr>
          </w:p>
        </w:tc>
        <w:tc>
          <w:tcPr>
            <w:tcW w:w="29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 Load Reduction</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hAnsi="Arial" w:cs="Arial"/>
                <w:color w:val="000000"/>
                <w:sz w:val="18"/>
                <w:szCs w:val="18"/>
              </w:rPr>
              <w:t>20.2%</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21.0%</w:t>
            </w:r>
          </w:p>
        </w:tc>
        <w:tc>
          <w:tcPr>
            <w:tcW w:w="1280" w:type="dxa"/>
            <w:tcBorders>
              <w:top w:val="nil"/>
              <w:left w:val="nil"/>
              <w:bottom w:val="single" w:sz="4" w:space="0" w:color="auto"/>
              <w:right w:val="single" w:sz="4" w:space="0" w:color="auto"/>
            </w:tcBorders>
            <w:shd w:val="clear" w:color="auto" w:fill="auto"/>
            <w:vAlign w:val="center"/>
            <w:hideMark/>
          </w:tcPr>
          <w:p w:rsidR="00FC0D08" w:rsidRPr="00221DD4" w:rsidRDefault="00FC0D08" w:rsidP="00221DD4">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19.7%</w:t>
            </w:r>
          </w:p>
        </w:tc>
      </w:tr>
    </w:tbl>
    <w:p w:rsidR="00567FEB" w:rsidRPr="00F95446" w:rsidRDefault="00567FEB" w:rsidP="00F95446">
      <w:pPr>
        <w:pStyle w:val="BodyParaAfterTableFigure"/>
      </w:pPr>
      <w:r w:rsidRPr="00F95446">
        <w:t xml:space="preserve">SCE is the only utility that has any participants in the </w:t>
      </w:r>
      <w:r w:rsidR="00F95446" w:rsidRPr="00F95446">
        <w:t>day-ahead</w:t>
      </w:r>
      <w:r w:rsidRPr="00F95446">
        <w:t xml:space="preserve">, 2-6 hour resource.  However, there were only </w:t>
      </w:r>
      <w:r w:rsidR="00A86068">
        <w:t>2</w:t>
      </w:r>
      <w:r w:rsidR="00A86068" w:rsidRPr="00F95446">
        <w:t xml:space="preserve"> </w:t>
      </w:r>
      <w:r w:rsidRPr="00F95446">
        <w:t xml:space="preserve">participating accounts and average aggregate demand reduction across 10 events was not statistically significantly different from 0.  </w:t>
      </w:r>
    </w:p>
    <w:p w:rsidR="00595F52" w:rsidRDefault="00F95446" w:rsidP="00567FEB">
      <w:pPr>
        <w:pStyle w:val="BodyParagraph"/>
      </w:pPr>
      <w:r>
        <w:t>Day-of</w:t>
      </w:r>
      <w:r w:rsidR="00567FEB">
        <w:t xml:space="preserve"> events were called less frequently by PG&amp;E and SCE.  The average aggregate reduction across </w:t>
      </w:r>
      <w:r>
        <w:t xml:space="preserve">PG&amp;E’s </w:t>
      </w:r>
      <w:r w:rsidR="00403E66">
        <w:t xml:space="preserve">2 </w:t>
      </w:r>
      <w:r>
        <w:t>day-of</w:t>
      </w:r>
      <w:r w:rsidR="00567FEB">
        <w:t>, 1-4 hour events equaled 12.</w:t>
      </w:r>
      <w:r w:rsidR="00221DD4">
        <w:t>8</w:t>
      </w:r>
      <w:r w:rsidR="00567FEB">
        <w:t xml:space="preserve"> MW and the average for SCE’s </w:t>
      </w:r>
      <w:r w:rsidR="00403E66">
        <w:t xml:space="preserve">3 </w:t>
      </w:r>
      <w:r>
        <w:t xml:space="preserve">day-of, 1-4 hour </w:t>
      </w:r>
      <w:r w:rsidR="00567FEB">
        <w:t>events was 6.8 MW.  SDG&amp;E obtained an average reduction of 6.9 MW across seven</w:t>
      </w:r>
      <w:r>
        <w:t xml:space="preserve"> such</w:t>
      </w:r>
      <w:r w:rsidR="00567FEB">
        <w:t xml:space="preserve"> events.  For the </w:t>
      </w:r>
      <w:r>
        <w:t>day-of</w:t>
      </w:r>
      <w:r w:rsidR="00567FEB">
        <w:t>, 2-6 hour product, PG&amp;E saw a load reduction of 4.</w:t>
      </w:r>
      <w:r w:rsidR="00FC0D08">
        <w:t>6</w:t>
      </w:r>
      <w:r w:rsidR="00567FEB">
        <w:t xml:space="preserve"> MW on the </w:t>
      </w:r>
      <w:r w:rsidR="00403E66">
        <w:t xml:space="preserve">single </w:t>
      </w:r>
      <w:r w:rsidR="00567FEB">
        <w:t>event that was called</w:t>
      </w:r>
      <w:r w:rsidR="00A86068">
        <w:t>;</w:t>
      </w:r>
      <w:r w:rsidR="00567FEB">
        <w:t xml:space="preserve"> SCE saw an average response of 12.1 MW across </w:t>
      </w:r>
      <w:r w:rsidR="00A86068">
        <w:t xml:space="preserve">2 </w:t>
      </w:r>
      <w:r w:rsidR="00567FEB">
        <w:t>events</w:t>
      </w:r>
      <w:r w:rsidR="00A86068">
        <w:t>;</w:t>
      </w:r>
      <w:r w:rsidR="00567FEB">
        <w:t xml:space="preserve"> and SDG&amp;E obtained an average response of 4.1 MW across </w:t>
      </w:r>
      <w:r w:rsidR="00A86068">
        <w:t xml:space="preserve">7 </w:t>
      </w:r>
      <w:r w:rsidR="00567FEB">
        <w:t>events.</w:t>
      </w:r>
    </w:p>
    <w:p w:rsidR="007A5652" w:rsidRDefault="00AE5FF9" w:rsidP="00422C33">
      <w:pPr>
        <w:pStyle w:val="BodyParagraph"/>
      </w:pPr>
      <w:r>
        <w:t xml:space="preserve">Table 1-2 presents estimates of ex ante load impacts for statewide CBP resources in 2012. </w:t>
      </w:r>
      <w:r w:rsidR="00422C33">
        <w:t xml:space="preserve"> </w:t>
      </w:r>
      <w:r w:rsidR="005700C8">
        <w:t>Ex ante load impacts reflect the estimated</w:t>
      </w:r>
      <w:r w:rsidR="00E83B9C">
        <w:t xml:space="preserve"> full</w:t>
      </w:r>
      <w:r w:rsidR="005700C8">
        <w:t xml:space="preserve"> load reduction capability of resource under a standard set of 1-in-2 and 1-in-10 weather conditions. </w:t>
      </w:r>
      <w:r>
        <w:t xml:space="preserve"> </w:t>
      </w:r>
      <w:r w:rsidR="007A5652">
        <w:t>Ex ante</w:t>
      </w:r>
      <w:r w:rsidR="005700C8">
        <w:t xml:space="preserve"> impacts are based on historical </w:t>
      </w:r>
      <w:r w:rsidR="00E83B9C">
        <w:t xml:space="preserve">performance over </w:t>
      </w:r>
      <w:r w:rsidR="00E83B9C">
        <w:lastRenderedPageBreak/>
        <w:t>multiple years and factor in projected changes in enrollments and the participant mix.  They</w:t>
      </w:r>
      <w:r w:rsidR="007A5652">
        <w:t xml:space="preserve"> illustrate </w:t>
      </w:r>
      <w:r w:rsidR="00E83B9C">
        <w:t xml:space="preserve">the </w:t>
      </w:r>
      <w:r w:rsidR="007A5652">
        <w:t>resources available when all nominated accounts are solicited for an event—effectively</w:t>
      </w:r>
      <w:r w:rsidR="001E35DF">
        <w:t xml:space="preserve"> the</w:t>
      </w:r>
      <w:r w:rsidR="007A5652">
        <w:t xml:space="preserve"> </w:t>
      </w:r>
      <w:r w:rsidR="00E83B9C">
        <w:t xml:space="preserve">load reduction capability of the program should it be dispatched in full. </w:t>
      </w:r>
      <w:r w:rsidR="001E35DF">
        <w:t xml:space="preserve"> </w:t>
      </w:r>
      <w:r w:rsidR="007A5652">
        <w:t xml:space="preserve">Furthermore, the mix of customers will change </w:t>
      </w:r>
      <w:r w:rsidR="00B47F00">
        <w:t xml:space="preserve">over time as enrollments change. </w:t>
      </w:r>
      <w:r w:rsidR="007A5652">
        <w:t xml:space="preserve"> </w:t>
      </w:r>
      <w:r w:rsidR="00422C33">
        <w:t xml:space="preserve"> The 2012 ex ante impact estimates are very similar to ex post results because each utility generally dispatched all the resources available in each CBP product line each time a product was dispatched.  In aggregate, the 2012 ex ante impacts are 10% to 15% larger (except for PG&amp;E).  They are based on the enrollments and nominations at the end of the 2011 summer season, which are typically higher than at the start of the season, and also factor in small incremental growth.</w:t>
      </w:r>
    </w:p>
    <w:p w:rsidR="003134A2" w:rsidRDefault="003134A2" w:rsidP="003134A2">
      <w:pPr>
        <w:pStyle w:val="TableFigureCaption"/>
      </w:pPr>
      <w:r w:rsidRPr="00BA25E2">
        <w:t>Table</w:t>
      </w:r>
      <w:r w:rsidRPr="006271D9">
        <w:t xml:space="preserve"> </w:t>
      </w:r>
      <w:r>
        <w:t>1</w:t>
      </w:r>
      <w:r w:rsidR="00AE5FF9">
        <w:t>-2</w:t>
      </w:r>
      <w:r>
        <w:t>:</w:t>
      </w:r>
    </w:p>
    <w:p w:rsidR="003134A2" w:rsidRDefault="003134A2" w:rsidP="003134A2">
      <w:pPr>
        <w:pStyle w:val="TableFigureCaption"/>
      </w:pPr>
      <w:r w:rsidRPr="006271D9">
        <w:t xml:space="preserve">Ex </w:t>
      </w:r>
      <w:r>
        <w:t>Ante</w:t>
      </w:r>
      <w:r w:rsidRPr="006271D9">
        <w:t xml:space="preserve"> Load Impacts for Statewide Capacity Bidding Program</w:t>
      </w:r>
      <w:r>
        <w:t xml:space="preserve"> </w:t>
      </w:r>
      <w:r>
        <w:br/>
        <w:t>2012 August Peak Day</w:t>
      </w:r>
      <w:r w:rsidRPr="006271D9">
        <w:t xml:space="preserve"> Event </w:t>
      </w:r>
      <w:r>
        <w:t>by Utility</w:t>
      </w:r>
    </w:p>
    <w:tbl>
      <w:tblPr>
        <w:tblW w:w="6480" w:type="dxa"/>
        <w:jc w:val="center"/>
        <w:tblInd w:w="95" w:type="dxa"/>
        <w:tblLook w:val="04A0"/>
      </w:tblPr>
      <w:tblGrid>
        <w:gridCol w:w="3482"/>
        <w:gridCol w:w="1018"/>
        <w:gridCol w:w="1052"/>
        <w:gridCol w:w="928"/>
      </w:tblGrid>
      <w:tr w:rsidR="003B54A0" w:rsidRPr="003B54A0" w:rsidTr="00227071">
        <w:trPr>
          <w:trHeight w:val="264"/>
          <w:jc w:val="center"/>
        </w:trPr>
        <w:tc>
          <w:tcPr>
            <w:tcW w:w="3482" w:type="dxa"/>
            <w:vMerge w:val="restart"/>
            <w:tcBorders>
              <w:top w:val="nil"/>
              <w:left w:val="nil"/>
              <w:bottom w:val="single" w:sz="4" w:space="0" w:color="000000"/>
              <w:right w:val="single" w:sz="4" w:space="0" w:color="FFFFFF"/>
            </w:tcBorders>
            <w:shd w:val="clear" w:color="000000" w:fill="1F497D"/>
            <w:vAlign w:val="bottom"/>
            <w:hideMark/>
          </w:tcPr>
          <w:p w:rsidR="003B54A0" w:rsidRPr="003B54A0" w:rsidRDefault="003B54A0" w:rsidP="003B54A0">
            <w:pPr>
              <w:pStyle w:val="TableHeader"/>
              <w:rPr>
                <w:rFonts w:eastAsia="Times New Roman"/>
              </w:rPr>
            </w:pPr>
            <w:r w:rsidRPr="003B54A0">
              <w:rPr>
                <w:rFonts w:eastAsia="Times New Roman"/>
              </w:rPr>
              <w:t>Measure</w:t>
            </w:r>
          </w:p>
        </w:tc>
        <w:tc>
          <w:tcPr>
            <w:tcW w:w="2998" w:type="dxa"/>
            <w:gridSpan w:val="3"/>
            <w:tcBorders>
              <w:top w:val="nil"/>
              <w:left w:val="nil"/>
              <w:bottom w:val="single" w:sz="4" w:space="0" w:color="FFFFFF"/>
              <w:right w:val="nil"/>
            </w:tcBorders>
            <w:shd w:val="clear" w:color="000000" w:fill="1F497D"/>
            <w:noWrap/>
            <w:vAlign w:val="bottom"/>
            <w:hideMark/>
          </w:tcPr>
          <w:p w:rsidR="003B54A0" w:rsidRPr="003B54A0" w:rsidRDefault="003B54A0" w:rsidP="003B54A0">
            <w:pPr>
              <w:pStyle w:val="TableHeader"/>
              <w:rPr>
                <w:rFonts w:eastAsia="Times New Roman"/>
              </w:rPr>
            </w:pPr>
            <w:r w:rsidRPr="003B54A0">
              <w:rPr>
                <w:rFonts w:eastAsia="Times New Roman"/>
              </w:rPr>
              <w:t>CBP</w:t>
            </w:r>
          </w:p>
        </w:tc>
      </w:tr>
      <w:tr w:rsidR="003B54A0" w:rsidRPr="003B54A0" w:rsidTr="00227071">
        <w:trPr>
          <w:trHeight w:val="264"/>
          <w:jc w:val="center"/>
        </w:trPr>
        <w:tc>
          <w:tcPr>
            <w:tcW w:w="3482" w:type="dxa"/>
            <w:vMerge/>
            <w:tcBorders>
              <w:top w:val="nil"/>
              <w:left w:val="nil"/>
              <w:bottom w:val="single" w:sz="4" w:space="0" w:color="000000"/>
              <w:right w:val="single" w:sz="4" w:space="0" w:color="FFFFFF"/>
            </w:tcBorders>
            <w:vAlign w:val="center"/>
            <w:hideMark/>
          </w:tcPr>
          <w:p w:rsidR="003B54A0" w:rsidRPr="003B54A0" w:rsidRDefault="003B54A0" w:rsidP="003B54A0">
            <w:pPr>
              <w:pStyle w:val="TableHeader"/>
              <w:rPr>
                <w:rFonts w:eastAsia="Times New Roman"/>
              </w:rPr>
            </w:pPr>
          </w:p>
        </w:tc>
        <w:tc>
          <w:tcPr>
            <w:tcW w:w="1018" w:type="dxa"/>
            <w:tcBorders>
              <w:top w:val="nil"/>
              <w:left w:val="nil"/>
              <w:bottom w:val="nil"/>
              <w:right w:val="single" w:sz="4" w:space="0" w:color="FFFFFF"/>
            </w:tcBorders>
            <w:shd w:val="clear" w:color="000000" w:fill="1F497D"/>
            <w:noWrap/>
            <w:vAlign w:val="bottom"/>
            <w:hideMark/>
          </w:tcPr>
          <w:p w:rsidR="003B54A0" w:rsidRPr="003B54A0" w:rsidRDefault="003B54A0" w:rsidP="00380238">
            <w:pPr>
              <w:pStyle w:val="TableHeader"/>
              <w:rPr>
                <w:rFonts w:eastAsia="Times New Roman"/>
              </w:rPr>
            </w:pPr>
            <w:r w:rsidRPr="003B54A0">
              <w:rPr>
                <w:rFonts w:eastAsia="Times New Roman"/>
              </w:rPr>
              <w:t>PG&amp;E</w:t>
            </w:r>
          </w:p>
        </w:tc>
        <w:tc>
          <w:tcPr>
            <w:tcW w:w="1052" w:type="dxa"/>
            <w:tcBorders>
              <w:top w:val="nil"/>
              <w:left w:val="nil"/>
              <w:bottom w:val="nil"/>
              <w:right w:val="single" w:sz="4" w:space="0" w:color="FFFFFF"/>
            </w:tcBorders>
            <w:shd w:val="clear" w:color="000000" w:fill="1F497D"/>
            <w:noWrap/>
            <w:vAlign w:val="bottom"/>
            <w:hideMark/>
          </w:tcPr>
          <w:p w:rsidR="003B54A0" w:rsidRPr="003B54A0" w:rsidRDefault="003B54A0" w:rsidP="003B54A0">
            <w:pPr>
              <w:pStyle w:val="TableHeader"/>
              <w:rPr>
                <w:rFonts w:eastAsia="Times New Roman"/>
              </w:rPr>
            </w:pPr>
            <w:r w:rsidRPr="003B54A0">
              <w:rPr>
                <w:rFonts w:eastAsia="Times New Roman"/>
              </w:rPr>
              <w:t>SCE</w:t>
            </w:r>
          </w:p>
        </w:tc>
        <w:tc>
          <w:tcPr>
            <w:tcW w:w="928" w:type="dxa"/>
            <w:tcBorders>
              <w:top w:val="nil"/>
              <w:left w:val="nil"/>
              <w:bottom w:val="nil"/>
              <w:right w:val="nil"/>
            </w:tcBorders>
            <w:shd w:val="clear" w:color="000000" w:fill="1F497D"/>
            <w:noWrap/>
            <w:vAlign w:val="bottom"/>
            <w:hideMark/>
          </w:tcPr>
          <w:p w:rsidR="003B54A0" w:rsidRPr="003B54A0" w:rsidRDefault="003B54A0" w:rsidP="003B54A0">
            <w:pPr>
              <w:pStyle w:val="TableHeader"/>
              <w:rPr>
                <w:rFonts w:eastAsia="Times New Roman"/>
              </w:rPr>
            </w:pPr>
            <w:r w:rsidRPr="003B54A0">
              <w:rPr>
                <w:rFonts w:eastAsia="Times New Roman"/>
              </w:rPr>
              <w:t>SDG&amp;E</w:t>
            </w:r>
          </w:p>
        </w:tc>
      </w:tr>
      <w:tr w:rsidR="003B54A0" w:rsidRPr="003B54A0" w:rsidTr="00227071">
        <w:trPr>
          <w:trHeight w:val="264"/>
          <w:jc w:val="center"/>
        </w:trPr>
        <w:tc>
          <w:tcPr>
            <w:tcW w:w="3482" w:type="dxa"/>
            <w:tcBorders>
              <w:top w:val="nil"/>
              <w:left w:val="single" w:sz="4" w:space="0" w:color="auto"/>
              <w:bottom w:val="single" w:sz="4" w:space="0" w:color="auto"/>
              <w:right w:val="single" w:sz="4" w:space="0" w:color="auto"/>
            </w:tcBorders>
            <w:shd w:val="clear" w:color="auto" w:fill="auto"/>
            <w:vAlign w:val="bottom"/>
            <w:hideMark/>
          </w:tcPr>
          <w:p w:rsidR="003B54A0" w:rsidRPr="003B54A0" w:rsidRDefault="003B54A0" w:rsidP="003B54A0">
            <w:pPr>
              <w:pStyle w:val="TableText"/>
              <w:rPr>
                <w:rFonts w:eastAsia="Times New Roman"/>
              </w:rPr>
            </w:pPr>
            <w:r w:rsidRPr="003B54A0">
              <w:rPr>
                <w:rFonts w:eastAsia="Times New Roman"/>
              </w:rPr>
              <w:t>Number of Nominated Accounts</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rsidR="003B54A0" w:rsidRPr="003B54A0" w:rsidRDefault="003B54A0" w:rsidP="003B54A0">
            <w:pPr>
              <w:pStyle w:val="TableText"/>
              <w:rPr>
                <w:rFonts w:eastAsia="Times New Roman"/>
              </w:rPr>
            </w:pPr>
            <w:r w:rsidRPr="003B54A0">
              <w:rPr>
                <w:rFonts w:eastAsia="Times New Roman"/>
              </w:rPr>
              <w:t>409</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3B54A0" w:rsidRPr="00DB31CA" w:rsidRDefault="003B54A0" w:rsidP="003B54A0">
            <w:pPr>
              <w:pStyle w:val="TableText"/>
              <w:rPr>
                <w:rFonts w:eastAsia="Times New Roman"/>
              </w:rPr>
            </w:pPr>
            <w:r w:rsidRPr="00DB31CA">
              <w:rPr>
                <w:rFonts w:eastAsia="Times New Roman"/>
              </w:rPr>
              <w:t>564</w:t>
            </w:r>
          </w:p>
        </w:tc>
        <w:tc>
          <w:tcPr>
            <w:tcW w:w="928" w:type="dxa"/>
            <w:tcBorders>
              <w:top w:val="single" w:sz="4" w:space="0" w:color="auto"/>
              <w:left w:val="nil"/>
              <w:bottom w:val="single" w:sz="4" w:space="0" w:color="auto"/>
              <w:right w:val="single" w:sz="4" w:space="0" w:color="auto"/>
            </w:tcBorders>
            <w:shd w:val="clear" w:color="auto" w:fill="auto"/>
            <w:noWrap/>
            <w:vAlign w:val="bottom"/>
            <w:hideMark/>
          </w:tcPr>
          <w:p w:rsidR="003B54A0" w:rsidRPr="003B54A0" w:rsidRDefault="003B54A0" w:rsidP="003B54A0">
            <w:pPr>
              <w:pStyle w:val="TableText"/>
              <w:rPr>
                <w:rFonts w:eastAsia="Times New Roman"/>
              </w:rPr>
            </w:pPr>
            <w:r w:rsidRPr="003B54A0">
              <w:rPr>
                <w:rFonts w:eastAsia="Times New Roman"/>
              </w:rPr>
              <w:t>392</w:t>
            </w:r>
          </w:p>
        </w:tc>
      </w:tr>
      <w:tr w:rsidR="003B54A0" w:rsidRPr="003B54A0" w:rsidTr="00227071">
        <w:trPr>
          <w:trHeight w:val="264"/>
          <w:jc w:val="center"/>
        </w:trPr>
        <w:tc>
          <w:tcPr>
            <w:tcW w:w="3482" w:type="dxa"/>
            <w:tcBorders>
              <w:top w:val="nil"/>
              <w:left w:val="single" w:sz="4" w:space="0" w:color="auto"/>
              <w:bottom w:val="single" w:sz="4" w:space="0" w:color="auto"/>
              <w:right w:val="single" w:sz="4" w:space="0" w:color="auto"/>
            </w:tcBorders>
            <w:shd w:val="clear" w:color="auto" w:fill="auto"/>
            <w:vAlign w:val="bottom"/>
            <w:hideMark/>
          </w:tcPr>
          <w:p w:rsidR="003B54A0" w:rsidRPr="003B54A0" w:rsidRDefault="003B54A0" w:rsidP="003B54A0">
            <w:pPr>
              <w:pStyle w:val="TableText"/>
              <w:rPr>
                <w:rFonts w:eastAsia="Times New Roman"/>
              </w:rPr>
            </w:pPr>
            <w:r w:rsidRPr="003B54A0">
              <w:rPr>
                <w:rFonts w:eastAsia="Times New Roman"/>
              </w:rPr>
              <w:t>Aggregate Load Impact (MW)</w:t>
            </w:r>
          </w:p>
        </w:tc>
        <w:tc>
          <w:tcPr>
            <w:tcW w:w="1018" w:type="dxa"/>
            <w:tcBorders>
              <w:top w:val="nil"/>
              <w:left w:val="nil"/>
              <w:bottom w:val="single" w:sz="4" w:space="0" w:color="auto"/>
              <w:right w:val="single" w:sz="4" w:space="0" w:color="auto"/>
            </w:tcBorders>
            <w:shd w:val="clear" w:color="auto" w:fill="auto"/>
            <w:noWrap/>
            <w:vAlign w:val="bottom"/>
            <w:hideMark/>
          </w:tcPr>
          <w:p w:rsidR="003B54A0" w:rsidRPr="003B54A0" w:rsidRDefault="00DB31CA" w:rsidP="00DB31CA">
            <w:pPr>
              <w:pStyle w:val="TableText"/>
              <w:rPr>
                <w:rFonts w:eastAsia="Times New Roman"/>
              </w:rPr>
            </w:pPr>
            <w:r>
              <w:rPr>
                <w:rFonts w:eastAsia="Times New Roman"/>
              </w:rPr>
              <w:t>29.6</w:t>
            </w:r>
          </w:p>
        </w:tc>
        <w:tc>
          <w:tcPr>
            <w:tcW w:w="1052" w:type="dxa"/>
            <w:tcBorders>
              <w:top w:val="nil"/>
              <w:left w:val="nil"/>
              <w:bottom w:val="single" w:sz="4" w:space="0" w:color="auto"/>
              <w:right w:val="single" w:sz="4" w:space="0" w:color="auto"/>
            </w:tcBorders>
            <w:shd w:val="clear" w:color="auto" w:fill="auto"/>
            <w:noWrap/>
            <w:vAlign w:val="bottom"/>
            <w:hideMark/>
          </w:tcPr>
          <w:p w:rsidR="003B54A0" w:rsidRPr="00DB31CA" w:rsidRDefault="003B54A0" w:rsidP="003B54A0">
            <w:pPr>
              <w:pStyle w:val="TableText"/>
              <w:rPr>
                <w:rFonts w:eastAsia="Times New Roman"/>
              </w:rPr>
            </w:pPr>
            <w:r w:rsidRPr="00DB31CA">
              <w:rPr>
                <w:rFonts w:eastAsia="Times New Roman"/>
              </w:rPr>
              <w:t>26.2</w:t>
            </w:r>
          </w:p>
        </w:tc>
        <w:tc>
          <w:tcPr>
            <w:tcW w:w="928" w:type="dxa"/>
            <w:tcBorders>
              <w:top w:val="nil"/>
              <w:left w:val="nil"/>
              <w:bottom w:val="single" w:sz="4" w:space="0" w:color="auto"/>
              <w:right w:val="single" w:sz="4" w:space="0" w:color="auto"/>
            </w:tcBorders>
            <w:shd w:val="clear" w:color="auto" w:fill="auto"/>
            <w:noWrap/>
            <w:vAlign w:val="bottom"/>
            <w:hideMark/>
          </w:tcPr>
          <w:p w:rsidR="003B54A0" w:rsidRPr="003B54A0" w:rsidRDefault="003B54A0" w:rsidP="003B54A0">
            <w:pPr>
              <w:pStyle w:val="TableText"/>
              <w:rPr>
                <w:rFonts w:eastAsia="Times New Roman"/>
              </w:rPr>
            </w:pPr>
            <w:r w:rsidRPr="003B54A0">
              <w:rPr>
                <w:rFonts w:eastAsia="Times New Roman"/>
              </w:rPr>
              <w:t>25.0</w:t>
            </w:r>
          </w:p>
        </w:tc>
      </w:tr>
      <w:tr w:rsidR="003B54A0" w:rsidRPr="003B54A0" w:rsidTr="00227071">
        <w:trPr>
          <w:trHeight w:val="264"/>
          <w:jc w:val="center"/>
        </w:trPr>
        <w:tc>
          <w:tcPr>
            <w:tcW w:w="3482" w:type="dxa"/>
            <w:tcBorders>
              <w:top w:val="nil"/>
              <w:left w:val="single" w:sz="4" w:space="0" w:color="auto"/>
              <w:bottom w:val="single" w:sz="4" w:space="0" w:color="auto"/>
              <w:right w:val="single" w:sz="4" w:space="0" w:color="auto"/>
            </w:tcBorders>
            <w:shd w:val="clear" w:color="auto" w:fill="auto"/>
            <w:vAlign w:val="bottom"/>
            <w:hideMark/>
          </w:tcPr>
          <w:p w:rsidR="003B54A0" w:rsidRPr="003B54A0" w:rsidRDefault="003B54A0" w:rsidP="003B54A0">
            <w:pPr>
              <w:pStyle w:val="TableText"/>
              <w:rPr>
                <w:rFonts w:eastAsia="Times New Roman"/>
              </w:rPr>
            </w:pPr>
            <w:r w:rsidRPr="003B54A0">
              <w:rPr>
                <w:rFonts w:eastAsia="Times New Roman"/>
              </w:rPr>
              <w:t>Avg. Per Customer Load Impact (kW)</w:t>
            </w:r>
          </w:p>
        </w:tc>
        <w:tc>
          <w:tcPr>
            <w:tcW w:w="1018" w:type="dxa"/>
            <w:tcBorders>
              <w:top w:val="nil"/>
              <w:left w:val="nil"/>
              <w:bottom w:val="single" w:sz="4" w:space="0" w:color="auto"/>
              <w:right w:val="single" w:sz="4" w:space="0" w:color="auto"/>
            </w:tcBorders>
            <w:shd w:val="clear" w:color="auto" w:fill="auto"/>
            <w:noWrap/>
            <w:vAlign w:val="bottom"/>
            <w:hideMark/>
          </w:tcPr>
          <w:p w:rsidR="003B54A0" w:rsidRPr="003B54A0" w:rsidRDefault="00603093" w:rsidP="00DB31CA">
            <w:pPr>
              <w:pStyle w:val="TableText"/>
              <w:rPr>
                <w:rFonts w:eastAsia="Times New Roman"/>
              </w:rPr>
            </w:pPr>
            <w:r>
              <w:rPr>
                <w:rFonts w:eastAsia="Times New Roman"/>
              </w:rPr>
              <w:t>7</w:t>
            </w:r>
            <w:r w:rsidR="00DB31CA">
              <w:rPr>
                <w:rFonts w:eastAsia="Times New Roman"/>
              </w:rPr>
              <w:t>2.3</w:t>
            </w:r>
          </w:p>
        </w:tc>
        <w:tc>
          <w:tcPr>
            <w:tcW w:w="1052" w:type="dxa"/>
            <w:tcBorders>
              <w:top w:val="nil"/>
              <w:left w:val="nil"/>
              <w:bottom w:val="single" w:sz="4" w:space="0" w:color="auto"/>
              <w:right w:val="single" w:sz="4" w:space="0" w:color="auto"/>
            </w:tcBorders>
            <w:shd w:val="clear" w:color="auto" w:fill="auto"/>
            <w:noWrap/>
            <w:vAlign w:val="bottom"/>
            <w:hideMark/>
          </w:tcPr>
          <w:p w:rsidR="003B54A0" w:rsidRPr="00DB31CA" w:rsidRDefault="003B54A0" w:rsidP="003B54A0">
            <w:pPr>
              <w:pStyle w:val="TableText"/>
              <w:rPr>
                <w:rFonts w:eastAsia="Times New Roman"/>
              </w:rPr>
            </w:pPr>
            <w:r w:rsidRPr="00DB31CA">
              <w:rPr>
                <w:rFonts w:eastAsia="Times New Roman"/>
              </w:rPr>
              <w:t>46.5</w:t>
            </w:r>
          </w:p>
        </w:tc>
        <w:tc>
          <w:tcPr>
            <w:tcW w:w="928" w:type="dxa"/>
            <w:tcBorders>
              <w:top w:val="nil"/>
              <w:left w:val="nil"/>
              <w:bottom w:val="single" w:sz="4" w:space="0" w:color="auto"/>
              <w:right w:val="single" w:sz="4" w:space="0" w:color="auto"/>
            </w:tcBorders>
            <w:shd w:val="clear" w:color="auto" w:fill="auto"/>
            <w:noWrap/>
            <w:vAlign w:val="bottom"/>
            <w:hideMark/>
          </w:tcPr>
          <w:p w:rsidR="003B54A0" w:rsidRPr="003B54A0" w:rsidRDefault="003B54A0" w:rsidP="003B54A0">
            <w:pPr>
              <w:pStyle w:val="TableText"/>
              <w:rPr>
                <w:rFonts w:eastAsia="Times New Roman"/>
              </w:rPr>
            </w:pPr>
            <w:r w:rsidRPr="003B54A0">
              <w:rPr>
                <w:rFonts w:eastAsia="Times New Roman"/>
              </w:rPr>
              <w:t>63.8</w:t>
            </w:r>
          </w:p>
        </w:tc>
      </w:tr>
      <w:tr w:rsidR="003B54A0" w:rsidRPr="003B54A0" w:rsidTr="00227071">
        <w:trPr>
          <w:trHeight w:val="264"/>
          <w:jc w:val="center"/>
        </w:trPr>
        <w:tc>
          <w:tcPr>
            <w:tcW w:w="3482" w:type="dxa"/>
            <w:tcBorders>
              <w:top w:val="nil"/>
              <w:left w:val="single" w:sz="4" w:space="0" w:color="auto"/>
              <w:bottom w:val="single" w:sz="4" w:space="0" w:color="auto"/>
              <w:right w:val="single" w:sz="4" w:space="0" w:color="auto"/>
            </w:tcBorders>
            <w:shd w:val="clear" w:color="auto" w:fill="auto"/>
            <w:vAlign w:val="bottom"/>
            <w:hideMark/>
          </w:tcPr>
          <w:p w:rsidR="003B54A0" w:rsidRPr="003B54A0" w:rsidRDefault="003B54A0" w:rsidP="003B54A0">
            <w:pPr>
              <w:pStyle w:val="TableText"/>
              <w:rPr>
                <w:rFonts w:eastAsia="Times New Roman"/>
              </w:rPr>
            </w:pPr>
            <w:r w:rsidRPr="003B54A0">
              <w:rPr>
                <w:rFonts w:eastAsia="Times New Roman"/>
              </w:rPr>
              <w:t>% Load Reduction</w:t>
            </w:r>
          </w:p>
        </w:tc>
        <w:tc>
          <w:tcPr>
            <w:tcW w:w="1018" w:type="dxa"/>
            <w:tcBorders>
              <w:top w:val="nil"/>
              <w:left w:val="nil"/>
              <w:bottom w:val="single" w:sz="4" w:space="0" w:color="auto"/>
              <w:right w:val="single" w:sz="4" w:space="0" w:color="auto"/>
            </w:tcBorders>
            <w:shd w:val="clear" w:color="auto" w:fill="auto"/>
            <w:noWrap/>
            <w:vAlign w:val="bottom"/>
            <w:hideMark/>
          </w:tcPr>
          <w:p w:rsidR="003B54A0" w:rsidRPr="003B54A0" w:rsidRDefault="00DB31CA" w:rsidP="003B54A0">
            <w:pPr>
              <w:pStyle w:val="TableText"/>
              <w:rPr>
                <w:rFonts w:eastAsia="Times New Roman"/>
              </w:rPr>
            </w:pPr>
            <w:r>
              <w:rPr>
                <w:rFonts w:eastAsia="Times New Roman"/>
              </w:rPr>
              <w:t>22.3</w:t>
            </w:r>
            <w:r w:rsidR="003B54A0" w:rsidRPr="003B54A0">
              <w:rPr>
                <w:rFonts w:eastAsia="Times New Roman"/>
              </w:rPr>
              <w:t>%</w:t>
            </w:r>
          </w:p>
        </w:tc>
        <w:tc>
          <w:tcPr>
            <w:tcW w:w="1052" w:type="dxa"/>
            <w:tcBorders>
              <w:top w:val="nil"/>
              <w:left w:val="nil"/>
              <w:bottom w:val="single" w:sz="4" w:space="0" w:color="auto"/>
              <w:right w:val="single" w:sz="4" w:space="0" w:color="auto"/>
            </w:tcBorders>
            <w:shd w:val="clear" w:color="auto" w:fill="auto"/>
            <w:noWrap/>
            <w:vAlign w:val="bottom"/>
            <w:hideMark/>
          </w:tcPr>
          <w:p w:rsidR="003B54A0" w:rsidRPr="00DB31CA" w:rsidRDefault="003B54A0" w:rsidP="00DF1E00">
            <w:pPr>
              <w:pStyle w:val="TableText"/>
              <w:rPr>
                <w:rFonts w:eastAsia="Times New Roman"/>
              </w:rPr>
            </w:pPr>
            <w:r w:rsidRPr="00DB31CA">
              <w:rPr>
                <w:rFonts w:eastAsia="Times New Roman"/>
              </w:rPr>
              <w:t>19.</w:t>
            </w:r>
            <w:r w:rsidR="00DF1E00">
              <w:rPr>
                <w:rFonts w:eastAsia="Times New Roman"/>
              </w:rPr>
              <w:t>9</w:t>
            </w:r>
            <w:r w:rsidRPr="00DB31CA">
              <w:rPr>
                <w:rFonts w:eastAsia="Times New Roman"/>
              </w:rPr>
              <w:t>%</w:t>
            </w:r>
          </w:p>
        </w:tc>
        <w:tc>
          <w:tcPr>
            <w:tcW w:w="928" w:type="dxa"/>
            <w:tcBorders>
              <w:top w:val="nil"/>
              <w:left w:val="nil"/>
              <w:bottom w:val="single" w:sz="4" w:space="0" w:color="auto"/>
              <w:right w:val="single" w:sz="4" w:space="0" w:color="auto"/>
            </w:tcBorders>
            <w:shd w:val="clear" w:color="auto" w:fill="auto"/>
            <w:noWrap/>
            <w:vAlign w:val="bottom"/>
            <w:hideMark/>
          </w:tcPr>
          <w:p w:rsidR="003B54A0" w:rsidRPr="003B54A0" w:rsidRDefault="003B54A0" w:rsidP="003B54A0">
            <w:pPr>
              <w:pStyle w:val="TableText"/>
              <w:rPr>
                <w:rFonts w:eastAsia="Times New Roman"/>
              </w:rPr>
            </w:pPr>
            <w:r w:rsidRPr="003B54A0">
              <w:rPr>
                <w:rFonts w:eastAsia="Times New Roman"/>
              </w:rPr>
              <w:t>24.9%</w:t>
            </w:r>
          </w:p>
        </w:tc>
      </w:tr>
    </w:tbl>
    <w:p w:rsidR="003134A2" w:rsidRDefault="003134A2" w:rsidP="00567FEB">
      <w:pPr>
        <w:pStyle w:val="BodyParagraph"/>
      </w:pPr>
    </w:p>
    <w:p w:rsidR="009555F5" w:rsidRDefault="00567FEB" w:rsidP="008B31AA">
      <w:pPr>
        <w:pStyle w:val="Heading2"/>
      </w:pPr>
      <w:bookmarkStart w:id="4" w:name="_Toc326073996"/>
      <w:r w:rsidRPr="003B3A7D">
        <w:t xml:space="preserve">PG&amp;E’s Aggregator Managed </w:t>
      </w:r>
      <w:r w:rsidR="00147655">
        <w:t xml:space="preserve">Portfolio </w:t>
      </w:r>
      <w:r w:rsidRPr="003B3A7D">
        <w:t>Program</w:t>
      </w:r>
      <w:bookmarkEnd w:id="4"/>
    </w:p>
    <w:p w:rsidR="00567FEB" w:rsidRDefault="00567FEB" w:rsidP="00567FEB">
      <w:pPr>
        <w:pStyle w:val="BodyParagraph"/>
      </w:pPr>
      <w:r>
        <w:t xml:space="preserve">PG&amp;E’s AMP program is a price responsive DR program that allows third-party aggregators, who enter into bilateral contracts with PG&amp;E resulting from a competitive bid, to establish aggregated DR programs of their own creation.  The program operates from May through October.  An AMP event may be called between 11 AM and 7 PM, Monday through Friday, excluding holidays.  Participants can operate as either </w:t>
      </w:r>
      <w:r w:rsidR="00F95446">
        <w:t>day-ahead</w:t>
      </w:r>
      <w:r>
        <w:t xml:space="preserve"> or </w:t>
      </w:r>
      <w:r w:rsidR="00F95446">
        <w:t>day-of</w:t>
      </w:r>
      <w:r>
        <w:t xml:space="preserve"> resources.  </w:t>
      </w:r>
    </w:p>
    <w:p w:rsidR="00567FEB" w:rsidRDefault="00901955" w:rsidP="00567FEB">
      <w:pPr>
        <w:pStyle w:val="BodyParagraph"/>
      </w:pPr>
      <w:r>
        <w:t xml:space="preserve">Table </w:t>
      </w:r>
      <w:r w:rsidR="00A52143">
        <w:t>1</w:t>
      </w:r>
      <w:r w:rsidR="00AE5FF9">
        <w:t>-3</w:t>
      </w:r>
      <w:r>
        <w:t xml:space="preserve"> summarizes the event estimated event impacts for PG&amp;E’s AMP program in 2011.  </w:t>
      </w:r>
      <w:r w:rsidR="00567FEB">
        <w:t xml:space="preserve">PG&amp;E called the AMP </w:t>
      </w:r>
      <w:r w:rsidR="00F95446">
        <w:t>day-ahead</w:t>
      </w:r>
      <w:r w:rsidR="00567FEB">
        <w:t xml:space="preserve"> resource on two days, Augu</w:t>
      </w:r>
      <w:r w:rsidR="00200AE7">
        <w:t>st 25 and September 29</w:t>
      </w:r>
      <w:r w:rsidR="005E3FA6">
        <w:t>, both of which were test events</w:t>
      </w:r>
      <w:r w:rsidR="00200AE7">
        <w:t xml:space="preserve">.  </w:t>
      </w:r>
      <w:r w:rsidR="00147655">
        <w:t>The day-of</w:t>
      </w:r>
      <w:r w:rsidR="00200AE7">
        <w:t xml:space="preserve"> </w:t>
      </w:r>
      <w:r w:rsidR="00567FEB">
        <w:t>resource</w:t>
      </w:r>
      <w:r w:rsidR="00200AE7">
        <w:t xml:space="preserve"> </w:t>
      </w:r>
      <w:r w:rsidR="00147655">
        <w:t>was</w:t>
      </w:r>
      <w:r w:rsidR="00567FEB">
        <w:t xml:space="preserve"> also called on two </w:t>
      </w:r>
      <w:r w:rsidR="005E3FA6">
        <w:t xml:space="preserve">test event </w:t>
      </w:r>
      <w:r w:rsidR="00567FEB">
        <w:t>days, August 25 and September 8.</w:t>
      </w:r>
      <w:r w:rsidR="001136EF">
        <w:t xml:space="preserve"> </w:t>
      </w:r>
      <w:r w:rsidR="00567FEB">
        <w:t xml:space="preserve"> All four events were conducted between 3 PM and 5 PM. </w:t>
      </w:r>
      <w:r w:rsidR="00147655">
        <w:t xml:space="preserve"> </w:t>
      </w:r>
      <w:r w:rsidR="00567FEB">
        <w:t xml:space="preserve">The only instance when the full AMP resources were dispatched jointly was on August 25, when </w:t>
      </w:r>
      <w:r w:rsidR="00F95446">
        <w:t>day-of</w:t>
      </w:r>
      <w:r w:rsidR="00567FEB">
        <w:t xml:space="preserve"> resources delivered 1</w:t>
      </w:r>
      <w:r w:rsidR="00FC0D08">
        <w:t>41</w:t>
      </w:r>
      <w:r w:rsidR="00567FEB">
        <w:t xml:space="preserve"> MW and </w:t>
      </w:r>
      <w:r w:rsidR="00F95446">
        <w:t>day-ahead</w:t>
      </w:r>
      <w:r w:rsidR="00567FEB">
        <w:t xml:space="preserve"> resources delivered </w:t>
      </w:r>
      <w:r w:rsidR="00020540">
        <w:t>46.4</w:t>
      </w:r>
      <w:r w:rsidR="00567FEB">
        <w:t xml:space="preserve"> MW, for an aggregate load reduction of </w:t>
      </w:r>
      <w:r w:rsidR="007B31BC">
        <w:t>187</w:t>
      </w:r>
      <w:r w:rsidR="00011137">
        <w:t xml:space="preserve"> </w:t>
      </w:r>
      <w:r w:rsidR="00567FEB">
        <w:t xml:space="preserve">MW.  </w:t>
      </w:r>
      <w:r w:rsidR="00567FEB" w:rsidRPr="00050374">
        <w:t xml:space="preserve">On average, accounts with day-ahead notification reduced demand by </w:t>
      </w:r>
      <w:r w:rsidR="00020540">
        <w:t>just over</w:t>
      </w:r>
      <w:r w:rsidR="00020540" w:rsidRPr="00050374">
        <w:t xml:space="preserve"> </w:t>
      </w:r>
      <w:r w:rsidR="00567FEB" w:rsidRPr="00050374">
        <w:t>3</w:t>
      </w:r>
      <w:r w:rsidR="00FC0D08">
        <w:t>4</w:t>
      </w:r>
      <w:r w:rsidR="00567FEB" w:rsidRPr="00050374">
        <w:t xml:space="preserve">%, or </w:t>
      </w:r>
      <w:r w:rsidR="00FC0D08">
        <w:t>186</w:t>
      </w:r>
      <w:r w:rsidR="00011137" w:rsidRPr="00050374">
        <w:t xml:space="preserve"> </w:t>
      </w:r>
      <w:r w:rsidR="00567FEB" w:rsidRPr="00050374">
        <w:t>kW per account</w:t>
      </w:r>
      <w:r w:rsidR="00011137">
        <w:t xml:space="preserve"> on August 25</w:t>
      </w:r>
      <w:r w:rsidR="00567FEB" w:rsidRPr="00050374">
        <w:t xml:space="preserve">.  Accounts with </w:t>
      </w:r>
      <w:r w:rsidR="00F95446">
        <w:t>same-day notification</w:t>
      </w:r>
      <w:r w:rsidR="00567FEB">
        <w:t xml:space="preserve"> reduced demand by </w:t>
      </w:r>
      <w:r w:rsidR="00011137">
        <w:t>2</w:t>
      </w:r>
      <w:r w:rsidR="00FC0D08">
        <w:t>6</w:t>
      </w:r>
      <w:r w:rsidR="00567FEB">
        <w:t>.</w:t>
      </w:r>
      <w:r w:rsidR="00FC0D08">
        <w:t>9</w:t>
      </w:r>
      <w:r w:rsidR="00567FEB" w:rsidRPr="00050374">
        <w:t xml:space="preserve">%, or </w:t>
      </w:r>
      <w:r w:rsidR="00FC0D08" w:rsidRPr="00050374">
        <w:t>1</w:t>
      </w:r>
      <w:r w:rsidR="00FC0D08">
        <w:t>3</w:t>
      </w:r>
      <w:r w:rsidR="00020540">
        <w:t>2</w:t>
      </w:r>
      <w:r w:rsidR="00FC0D08" w:rsidRPr="00050374">
        <w:t xml:space="preserve"> </w:t>
      </w:r>
      <w:r w:rsidR="00567FEB" w:rsidRPr="00050374">
        <w:t>kW per account</w:t>
      </w:r>
      <w:r w:rsidR="00011137">
        <w:t xml:space="preserve"> that day</w:t>
      </w:r>
      <w:r w:rsidR="00567FEB" w:rsidRPr="00050374">
        <w:t xml:space="preserve">.  </w:t>
      </w:r>
    </w:p>
    <w:p w:rsidR="00C05B88" w:rsidRDefault="00C05B88">
      <w:pPr>
        <w:rPr>
          <w:rStyle w:val="Strong"/>
          <w:rFonts w:ascii="TitilliumText22L Rg" w:hAnsi="TitilliumText22L Rg"/>
          <w:bCs w:val="0"/>
          <w:sz w:val="20"/>
        </w:rPr>
      </w:pPr>
      <w:r>
        <w:rPr>
          <w:rStyle w:val="Strong"/>
          <w:b w:val="0"/>
          <w:bCs w:val="0"/>
        </w:rPr>
        <w:br w:type="page"/>
      </w:r>
    </w:p>
    <w:p w:rsidR="008B31AA" w:rsidRDefault="001136EF" w:rsidP="00011DE1">
      <w:pPr>
        <w:pStyle w:val="TableFigureCaption"/>
      </w:pPr>
      <w:r w:rsidRPr="00050374">
        <w:rPr>
          <w:rStyle w:val="Strong"/>
          <w:b/>
          <w:bCs w:val="0"/>
        </w:rPr>
        <w:lastRenderedPageBreak/>
        <w:t xml:space="preserve">Table </w:t>
      </w:r>
      <w:r w:rsidR="00A52143">
        <w:rPr>
          <w:rStyle w:val="Strong"/>
          <w:b/>
          <w:bCs w:val="0"/>
        </w:rPr>
        <w:t>1</w:t>
      </w:r>
      <w:r w:rsidRPr="00050374">
        <w:rPr>
          <w:rStyle w:val="Strong"/>
          <w:b/>
          <w:bCs w:val="0"/>
        </w:rPr>
        <w:t>-</w:t>
      </w:r>
      <w:r w:rsidR="00AE5FF9">
        <w:rPr>
          <w:rStyle w:val="Strong"/>
          <w:b/>
          <w:bCs w:val="0"/>
        </w:rPr>
        <w:t>3</w:t>
      </w:r>
      <w:r w:rsidRPr="00011DE1">
        <w:t>:</w:t>
      </w:r>
    </w:p>
    <w:p w:rsidR="002D27E9" w:rsidRPr="00011DE1" w:rsidRDefault="001136EF" w:rsidP="00011DE1">
      <w:pPr>
        <w:pStyle w:val="TableFigureCaption"/>
      </w:pPr>
      <w:r w:rsidRPr="00011DE1">
        <w:t>Estimated Ex Post Load Impacts by Event Day</w:t>
      </w:r>
      <w:r w:rsidRPr="00011DE1">
        <w:br/>
        <w:t>2011 PG&amp;E AMP Event</w:t>
      </w:r>
      <w:r w:rsidR="002D27E9" w:rsidRPr="00011DE1">
        <w:t xml:space="preserve"> </w:t>
      </w:r>
    </w:p>
    <w:tbl>
      <w:tblPr>
        <w:tblW w:w="9510" w:type="dxa"/>
        <w:jc w:val="center"/>
        <w:tblInd w:w="95" w:type="dxa"/>
        <w:tblCellMar>
          <w:left w:w="0" w:type="dxa"/>
          <w:right w:w="0" w:type="dxa"/>
        </w:tblCellMar>
        <w:tblLook w:val="04A0"/>
      </w:tblPr>
      <w:tblGrid>
        <w:gridCol w:w="800"/>
        <w:gridCol w:w="1360"/>
        <w:gridCol w:w="810"/>
        <w:gridCol w:w="960"/>
        <w:gridCol w:w="960"/>
        <w:gridCol w:w="960"/>
        <w:gridCol w:w="960"/>
        <w:gridCol w:w="960"/>
        <w:gridCol w:w="780"/>
        <w:gridCol w:w="960"/>
      </w:tblGrid>
      <w:tr w:rsidR="00BC4752" w:rsidRPr="00BC4752" w:rsidTr="00BC4752">
        <w:trPr>
          <w:trHeight w:val="828"/>
          <w:jc w:val="center"/>
        </w:trPr>
        <w:tc>
          <w:tcPr>
            <w:tcW w:w="800" w:type="dxa"/>
            <w:tcBorders>
              <w:top w:val="single" w:sz="4" w:space="0" w:color="auto"/>
              <w:left w:val="single" w:sz="4" w:space="0" w:color="auto"/>
              <w:bottom w:val="single" w:sz="4" w:space="0" w:color="auto"/>
              <w:right w:val="single" w:sz="4" w:space="0" w:color="FFFFFF"/>
            </w:tcBorders>
            <w:shd w:val="clear" w:color="000000" w:fill="376091"/>
            <w:vAlign w:val="bottom"/>
            <w:hideMark/>
          </w:tcPr>
          <w:p w:rsidR="00BC4752" w:rsidRPr="00BC4752" w:rsidRDefault="00BC4752" w:rsidP="00BC4752">
            <w:pPr>
              <w:spacing w:after="0" w:line="240" w:lineRule="auto"/>
              <w:jc w:val="center"/>
              <w:rPr>
                <w:rFonts w:ascii="Arial" w:eastAsia="Times New Roman" w:hAnsi="Arial" w:cs="Arial"/>
                <w:b/>
                <w:bCs/>
                <w:color w:val="FFFFFF"/>
                <w:sz w:val="16"/>
                <w:szCs w:val="16"/>
              </w:rPr>
            </w:pPr>
            <w:r w:rsidRPr="00BC4752">
              <w:rPr>
                <w:rFonts w:ascii="Arial" w:eastAsia="Times New Roman" w:hAnsi="Arial" w:cs="Arial"/>
                <w:b/>
                <w:bCs/>
                <w:color w:val="FFFFFF"/>
                <w:sz w:val="16"/>
                <w:szCs w:val="16"/>
              </w:rPr>
              <w:t>Program</w:t>
            </w:r>
          </w:p>
        </w:tc>
        <w:tc>
          <w:tcPr>
            <w:tcW w:w="1360" w:type="dxa"/>
            <w:tcBorders>
              <w:top w:val="single" w:sz="4" w:space="0" w:color="auto"/>
              <w:left w:val="nil"/>
              <w:bottom w:val="single" w:sz="4" w:space="0" w:color="auto"/>
              <w:right w:val="single" w:sz="4" w:space="0" w:color="FFFFFF"/>
            </w:tcBorders>
            <w:shd w:val="clear" w:color="000000" w:fill="376091"/>
            <w:vAlign w:val="bottom"/>
            <w:hideMark/>
          </w:tcPr>
          <w:p w:rsidR="00BC4752" w:rsidRPr="00BC4752" w:rsidRDefault="00BC4752" w:rsidP="00BC4752">
            <w:pPr>
              <w:spacing w:after="0" w:line="240" w:lineRule="auto"/>
              <w:jc w:val="center"/>
              <w:rPr>
                <w:rFonts w:ascii="Arial" w:eastAsia="Times New Roman" w:hAnsi="Arial" w:cs="Arial"/>
                <w:b/>
                <w:bCs/>
                <w:color w:val="FFFFFF"/>
                <w:sz w:val="16"/>
                <w:szCs w:val="16"/>
              </w:rPr>
            </w:pPr>
            <w:r w:rsidRPr="00BC4752">
              <w:rPr>
                <w:rFonts w:ascii="Arial" w:eastAsia="Times New Roman" w:hAnsi="Arial" w:cs="Arial"/>
                <w:b/>
                <w:bCs/>
                <w:color w:val="FFFFFF"/>
                <w:sz w:val="16"/>
                <w:szCs w:val="16"/>
              </w:rPr>
              <w:t>Event Date</w:t>
            </w:r>
          </w:p>
        </w:tc>
        <w:tc>
          <w:tcPr>
            <w:tcW w:w="810" w:type="dxa"/>
            <w:tcBorders>
              <w:top w:val="single" w:sz="4" w:space="0" w:color="auto"/>
              <w:left w:val="nil"/>
              <w:bottom w:val="single" w:sz="4" w:space="0" w:color="auto"/>
              <w:right w:val="single" w:sz="4" w:space="0" w:color="FFFFFF"/>
            </w:tcBorders>
            <w:shd w:val="clear" w:color="000000" w:fill="376091"/>
            <w:vAlign w:val="bottom"/>
            <w:hideMark/>
          </w:tcPr>
          <w:p w:rsidR="00BC4752" w:rsidRPr="00BC4752" w:rsidRDefault="00BC4752" w:rsidP="00BC4752">
            <w:pPr>
              <w:spacing w:after="0" w:line="240" w:lineRule="auto"/>
              <w:jc w:val="center"/>
              <w:rPr>
                <w:rFonts w:ascii="Arial" w:eastAsia="Times New Roman" w:hAnsi="Arial" w:cs="Arial"/>
                <w:b/>
                <w:bCs/>
                <w:color w:val="FFFFFF"/>
                <w:sz w:val="16"/>
                <w:szCs w:val="16"/>
              </w:rPr>
            </w:pPr>
            <w:r w:rsidRPr="00BC4752">
              <w:rPr>
                <w:rFonts w:ascii="Arial" w:eastAsia="Times New Roman" w:hAnsi="Arial" w:cs="Arial"/>
                <w:b/>
                <w:bCs/>
                <w:color w:val="FFFFFF"/>
                <w:sz w:val="16"/>
                <w:szCs w:val="16"/>
              </w:rPr>
              <w:t>Accts</w:t>
            </w:r>
          </w:p>
        </w:tc>
        <w:tc>
          <w:tcPr>
            <w:tcW w:w="960" w:type="dxa"/>
            <w:tcBorders>
              <w:top w:val="single" w:sz="4" w:space="0" w:color="auto"/>
              <w:left w:val="nil"/>
              <w:bottom w:val="single" w:sz="4" w:space="0" w:color="auto"/>
              <w:right w:val="single" w:sz="4" w:space="0" w:color="FFFFFF"/>
            </w:tcBorders>
            <w:shd w:val="clear" w:color="000000" w:fill="376091"/>
            <w:vAlign w:val="bottom"/>
            <w:hideMark/>
          </w:tcPr>
          <w:p w:rsidR="00BC4752" w:rsidRPr="00BC4752" w:rsidRDefault="00BC4752" w:rsidP="00BC4752">
            <w:pPr>
              <w:spacing w:after="0" w:line="240" w:lineRule="auto"/>
              <w:jc w:val="center"/>
              <w:rPr>
                <w:rFonts w:ascii="Arial" w:eastAsia="Times New Roman" w:hAnsi="Arial" w:cs="Arial"/>
                <w:b/>
                <w:bCs/>
                <w:color w:val="FFFFFF"/>
                <w:sz w:val="16"/>
                <w:szCs w:val="16"/>
              </w:rPr>
            </w:pPr>
            <w:r w:rsidRPr="00BC4752">
              <w:rPr>
                <w:rFonts w:ascii="Arial" w:eastAsia="Times New Roman" w:hAnsi="Arial" w:cs="Arial"/>
                <w:b/>
                <w:bCs/>
                <w:color w:val="FFFFFF"/>
                <w:sz w:val="16"/>
                <w:szCs w:val="16"/>
              </w:rPr>
              <w:t>Avg. Reference Load (kW)</w:t>
            </w:r>
          </w:p>
        </w:tc>
        <w:tc>
          <w:tcPr>
            <w:tcW w:w="960" w:type="dxa"/>
            <w:tcBorders>
              <w:top w:val="single" w:sz="4" w:space="0" w:color="auto"/>
              <w:left w:val="nil"/>
              <w:bottom w:val="single" w:sz="4" w:space="0" w:color="auto"/>
              <w:right w:val="single" w:sz="4" w:space="0" w:color="FFFFFF"/>
            </w:tcBorders>
            <w:shd w:val="clear" w:color="000000" w:fill="376091"/>
            <w:vAlign w:val="bottom"/>
            <w:hideMark/>
          </w:tcPr>
          <w:p w:rsidR="00BC4752" w:rsidRPr="00BC4752" w:rsidRDefault="00BC4752" w:rsidP="00BC4752">
            <w:pPr>
              <w:spacing w:after="0" w:line="240" w:lineRule="auto"/>
              <w:jc w:val="center"/>
              <w:rPr>
                <w:rFonts w:ascii="Arial" w:eastAsia="Times New Roman" w:hAnsi="Arial" w:cs="Arial"/>
                <w:b/>
                <w:bCs/>
                <w:color w:val="FFFFFF"/>
                <w:sz w:val="16"/>
                <w:szCs w:val="16"/>
              </w:rPr>
            </w:pPr>
            <w:r w:rsidRPr="00BC4752">
              <w:rPr>
                <w:rFonts w:ascii="Arial" w:eastAsia="Times New Roman" w:hAnsi="Arial" w:cs="Arial"/>
                <w:b/>
                <w:bCs/>
                <w:color w:val="FFFFFF"/>
                <w:sz w:val="16"/>
                <w:szCs w:val="16"/>
              </w:rPr>
              <w:t>Avg. Load Reduction (kW)</w:t>
            </w:r>
          </w:p>
        </w:tc>
        <w:tc>
          <w:tcPr>
            <w:tcW w:w="960" w:type="dxa"/>
            <w:tcBorders>
              <w:top w:val="single" w:sz="4" w:space="0" w:color="auto"/>
              <w:left w:val="nil"/>
              <w:bottom w:val="single" w:sz="4" w:space="0" w:color="auto"/>
              <w:right w:val="single" w:sz="4" w:space="0" w:color="FFFFFF"/>
            </w:tcBorders>
            <w:shd w:val="clear" w:color="000000" w:fill="376091"/>
            <w:vAlign w:val="bottom"/>
            <w:hideMark/>
          </w:tcPr>
          <w:p w:rsidR="00BC4752" w:rsidRPr="00BC4752" w:rsidRDefault="00BC4752" w:rsidP="00BC4752">
            <w:pPr>
              <w:spacing w:after="0" w:line="240" w:lineRule="auto"/>
              <w:jc w:val="center"/>
              <w:rPr>
                <w:rFonts w:ascii="Arial" w:eastAsia="Times New Roman" w:hAnsi="Arial" w:cs="Arial"/>
                <w:b/>
                <w:bCs/>
                <w:color w:val="FFFFFF"/>
                <w:sz w:val="16"/>
                <w:szCs w:val="16"/>
              </w:rPr>
            </w:pPr>
            <w:r w:rsidRPr="00BC4752">
              <w:rPr>
                <w:rFonts w:ascii="Arial" w:eastAsia="Times New Roman" w:hAnsi="Arial" w:cs="Arial"/>
                <w:b/>
                <w:bCs/>
                <w:color w:val="FFFFFF"/>
                <w:sz w:val="16"/>
                <w:szCs w:val="16"/>
              </w:rPr>
              <w:t>% Load Reduction</w:t>
            </w:r>
          </w:p>
        </w:tc>
        <w:tc>
          <w:tcPr>
            <w:tcW w:w="960" w:type="dxa"/>
            <w:tcBorders>
              <w:top w:val="single" w:sz="4" w:space="0" w:color="auto"/>
              <w:left w:val="nil"/>
              <w:bottom w:val="single" w:sz="4" w:space="0" w:color="auto"/>
              <w:right w:val="single" w:sz="4" w:space="0" w:color="FFFFFF"/>
            </w:tcBorders>
            <w:shd w:val="clear" w:color="000000" w:fill="376091"/>
            <w:vAlign w:val="bottom"/>
            <w:hideMark/>
          </w:tcPr>
          <w:p w:rsidR="00BC4752" w:rsidRPr="00BC4752" w:rsidRDefault="00BC4752" w:rsidP="00BC4752">
            <w:pPr>
              <w:spacing w:after="0" w:line="240" w:lineRule="auto"/>
              <w:jc w:val="center"/>
              <w:rPr>
                <w:rFonts w:ascii="Arial" w:eastAsia="Times New Roman" w:hAnsi="Arial" w:cs="Arial"/>
                <w:b/>
                <w:bCs/>
                <w:color w:val="FFFFFF"/>
                <w:sz w:val="16"/>
                <w:szCs w:val="16"/>
              </w:rPr>
            </w:pPr>
            <w:r w:rsidRPr="00BC4752">
              <w:rPr>
                <w:rFonts w:ascii="Arial" w:eastAsia="Times New Roman" w:hAnsi="Arial" w:cs="Arial"/>
                <w:b/>
                <w:bCs/>
                <w:color w:val="FFFFFF"/>
                <w:sz w:val="16"/>
                <w:szCs w:val="16"/>
              </w:rPr>
              <w:t>Aggregate Reference Load (MW)</w:t>
            </w:r>
          </w:p>
        </w:tc>
        <w:tc>
          <w:tcPr>
            <w:tcW w:w="960" w:type="dxa"/>
            <w:tcBorders>
              <w:top w:val="single" w:sz="4" w:space="0" w:color="auto"/>
              <w:left w:val="nil"/>
              <w:bottom w:val="single" w:sz="4" w:space="0" w:color="auto"/>
              <w:right w:val="single" w:sz="4" w:space="0" w:color="FFFFFF"/>
            </w:tcBorders>
            <w:shd w:val="clear" w:color="000000" w:fill="376091"/>
            <w:vAlign w:val="bottom"/>
            <w:hideMark/>
          </w:tcPr>
          <w:p w:rsidR="00BC4752" w:rsidRPr="00BC4752" w:rsidRDefault="00BC4752" w:rsidP="00BC4752">
            <w:pPr>
              <w:spacing w:after="0" w:line="240" w:lineRule="auto"/>
              <w:jc w:val="center"/>
              <w:rPr>
                <w:rFonts w:ascii="Arial" w:eastAsia="Times New Roman" w:hAnsi="Arial" w:cs="Arial"/>
                <w:b/>
                <w:bCs/>
                <w:color w:val="FFFFFF"/>
                <w:sz w:val="16"/>
                <w:szCs w:val="16"/>
              </w:rPr>
            </w:pPr>
            <w:r w:rsidRPr="00BC4752">
              <w:rPr>
                <w:rFonts w:ascii="Arial" w:eastAsia="Times New Roman" w:hAnsi="Arial" w:cs="Arial"/>
                <w:b/>
                <w:bCs/>
                <w:color w:val="FFFFFF"/>
                <w:sz w:val="16"/>
                <w:szCs w:val="16"/>
              </w:rPr>
              <w:t>Aggregate Load Impact (MW)</w:t>
            </w:r>
          </w:p>
        </w:tc>
        <w:tc>
          <w:tcPr>
            <w:tcW w:w="780" w:type="dxa"/>
            <w:tcBorders>
              <w:top w:val="single" w:sz="4" w:space="0" w:color="auto"/>
              <w:left w:val="nil"/>
              <w:bottom w:val="single" w:sz="4" w:space="0" w:color="auto"/>
              <w:right w:val="single" w:sz="4" w:space="0" w:color="auto"/>
            </w:tcBorders>
            <w:shd w:val="clear" w:color="000000" w:fill="376091"/>
            <w:vAlign w:val="bottom"/>
            <w:hideMark/>
          </w:tcPr>
          <w:p w:rsidR="00BC4752" w:rsidRPr="00BC4752" w:rsidRDefault="00BC4752" w:rsidP="00BC4752">
            <w:pPr>
              <w:spacing w:after="0" w:line="240" w:lineRule="auto"/>
              <w:jc w:val="center"/>
              <w:rPr>
                <w:rFonts w:ascii="Arial" w:eastAsia="Times New Roman" w:hAnsi="Arial" w:cs="Arial"/>
                <w:b/>
                <w:bCs/>
                <w:color w:val="FFFFFF"/>
                <w:sz w:val="16"/>
                <w:szCs w:val="16"/>
              </w:rPr>
            </w:pPr>
            <w:r w:rsidRPr="00BC4752">
              <w:rPr>
                <w:rFonts w:ascii="Arial" w:eastAsia="Times New Roman" w:hAnsi="Arial" w:cs="Arial"/>
                <w:b/>
                <w:bCs/>
                <w:color w:val="FFFFFF"/>
                <w:sz w:val="16"/>
                <w:szCs w:val="16"/>
              </w:rPr>
              <w:t>Avg. Temp During Event</w:t>
            </w:r>
          </w:p>
        </w:tc>
        <w:tc>
          <w:tcPr>
            <w:tcW w:w="960" w:type="dxa"/>
            <w:tcBorders>
              <w:top w:val="single" w:sz="4" w:space="0" w:color="auto"/>
              <w:left w:val="single" w:sz="4" w:space="0" w:color="FFFFFF"/>
              <w:bottom w:val="single" w:sz="4" w:space="0" w:color="auto"/>
              <w:right w:val="single" w:sz="4" w:space="0" w:color="auto"/>
            </w:tcBorders>
            <w:shd w:val="clear" w:color="000000" w:fill="376091"/>
            <w:vAlign w:val="bottom"/>
            <w:hideMark/>
          </w:tcPr>
          <w:p w:rsidR="00BC4752" w:rsidRPr="00BC4752" w:rsidRDefault="00BC4752" w:rsidP="00BC4752">
            <w:pPr>
              <w:spacing w:after="0" w:line="240" w:lineRule="auto"/>
              <w:jc w:val="center"/>
              <w:rPr>
                <w:rFonts w:ascii="Arial" w:eastAsia="Times New Roman" w:hAnsi="Arial" w:cs="Arial"/>
                <w:b/>
                <w:bCs/>
                <w:color w:val="FFFFFF"/>
                <w:sz w:val="16"/>
                <w:szCs w:val="16"/>
              </w:rPr>
            </w:pPr>
            <w:r w:rsidRPr="00BC4752">
              <w:rPr>
                <w:rFonts w:ascii="Arial" w:eastAsia="Times New Roman" w:hAnsi="Arial" w:cs="Arial"/>
                <w:b/>
                <w:bCs/>
                <w:color w:val="FFFFFF"/>
                <w:sz w:val="16"/>
                <w:szCs w:val="16"/>
              </w:rPr>
              <w:t>Nominated MW*</w:t>
            </w:r>
          </w:p>
        </w:tc>
      </w:tr>
      <w:tr w:rsidR="00BC4752" w:rsidRPr="00BC4752" w:rsidTr="00BC4752">
        <w:trPr>
          <w:trHeight w:val="399"/>
          <w:jc w:val="center"/>
        </w:trPr>
        <w:tc>
          <w:tcPr>
            <w:tcW w:w="800" w:type="dxa"/>
            <w:vMerge w:val="restart"/>
            <w:tcBorders>
              <w:top w:val="nil"/>
              <w:left w:val="single" w:sz="4" w:space="0" w:color="auto"/>
              <w:bottom w:val="single" w:sz="4" w:space="0" w:color="000000"/>
              <w:right w:val="nil"/>
            </w:tcBorders>
            <w:shd w:val="clear" w:color="auto" w:fill="auto"/>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AMP-DA 1-4 Hour</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08/25/2011</w:t>
            </w:r>
          </w:p>
        </w:tc>
        <w:tc>
          <w:tcPr>
            <w:tcW w:w="81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250</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541.4</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185.7</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34.3%</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135.4</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46.4</w:t>
            </w:r>
          </w:p>
        </w:tc>
        <w:tc>
          <w:tcPr>
            <w:tcW w:w="78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87.0</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44.0</w:t>
            </w:r>
          </w:p>
        </w:tc>
      </w:tr>
      <w:tr w:rsidR="00BC4752" w:rsidRPr="00BC4752" w:rsidTr="00BC4752">
        <w:trPr>
          <w:trHeight w:val="399"/>
          <w:jc w:val="center"/>
        </w:trPr>
        <w:tc>
          <w:tcPr>
            <w:tcW w:w="800" w:type="dxa"/>
            <w:vMerge/>
            <w:tcBorders>
              <w:top w:val="nil"/>
              <w:left w:val="single" w:sz="4" w:space="0" w:color="auto"/>
              <w:bottom w:val="single" w:sz="4" w:space="0" w:color="000000"/>
              <w:right w:val="nil"/>
            </w:tcBorders>
            <w:vAlign w:val="center"/>
            <w:hideMark/>
          </w:tcPr>
          <w:p w:rsidR="00BC4752" w:rsidRPr="00BC4752" w:rsidRDefault="00BC4752" w:rsidP="00BC4752">
            <w:pPr>
              <w:spacing w:after="0" w:line="240" w:lineRule="auto"/>
              <w:rPr>
                <w:rFonts w:ascii="Arial" w:eastAsia="Times New Roman" w:hAnsi="Arial" w:cs="Arial"/>
                <w:color w:val="000000"/>
                <w:sz w:val="16"/>
                <w:szCs w:val="16"/>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09/29/2011</w:t>
            </w:r>
          </w:p>
        </w:tc>
        <w:tc>
          <w:tcPr>
            <w:tcW w:w="81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248</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710.0</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238.4</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33.6%</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176.1</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59.1</w:t>
            </w:r>
          </w:p>
        </w:tc>
        <w:tc>
          <w:tcPr>
            <w:tcW w:w="78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85.6</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44.0</w:t>
            </w:r>
          </w:p>
        </w:tc>
      </w:tr>
      <w:tr w:rsidR="00BC4752" w:rsidRPr="00BC4752" w:rsidTr="00BC4752">
        <w:trPr>
          <w:trHeight w:val="399"/>
          <w:jc w:val="center"/>
        </w:trPr>
        <w:tc>
          <w:tcPr>
            <w:tcW w:w="800" w:type="dxa"/>
            <w:vMerge/>
            <w:tcBorders>
              <w:top w:val="nil"/>
              <w:left w:val="single" w:sz="4" w:space="0" w:color="auto"/>
              <w:bottom w:val="single" w:sz="4" w:space="0" w:color="000000"/>
              <w:right w:val="nil"/>
            </w:tcBorders>
            <w:vAlign w:val="center"/>
            <w:hideMark/>
          </w:tcPr>
          <w:p w:rsidR="00BC4752" w:rsidRPr="00BC4752" w:rsidRDefault="00BC4752" w:rsidP="00BC4752">
            <w:pPr>
              <w:spacing w:after="0" w:line="240" w:lineRule="auto"/>
              <w:rPr>
                <w:rFonts w:ascii="Arial" w:eastAsia="Times New Roman" w:hAnsi="Arial" w:cs="Arial"/>
                <w:color w:val="000000"/>
                <w:sz w:val="16"/>
                <w:szCs w:val="16"/>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Average Event</w:t>
            </w:r>
          </w:p>
        </w:tc>
        <w:tc>
          <w:tcPr>
            <w:tcW w:w="81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249</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625.4</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211.9</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33.9%</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155.7</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52.8</w:t>
            </w:r>
          </w:p>
        </w:tc>
        <w:tc>
          <w:tcPr>
            <w:tcW w:w="78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86.3</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44.0</w:t>
            </w:r>
          </w:p>
        </w:tc>
      </w:tr>
      <w:tr w:rsidR="00BC4752" w:rsidRPr="00BC4752" w:rsidTr="00BC4752">
        <w:trPr>
          <w:trHeight w:val="399"/>
          <w:jc w:val="center"/>
        </w:trPr>
        <w:tc>
          <w:tcPr>
            <w:tcW w:w="800" w:type="dxa"/>
            <w:vMerge w:val="restart"/>
            <w:tcBorders>
              <w:top w:val="nil"/>
              <w:left w:val="single" w:sz="4" w:space="0" w:color="auto"/>
              <w:bottom w:val="single" w:sz="4" w:space="0" w:color="000000"/>
              <w:right w:val="nil"/>
            </w:tcBorders>
            <w:shd w:val="clear" w:color="auto" w:fill="auto"/>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AMP-DO 1-4 Hour</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08/25/2011</w:t>
            </w:r>
          </w:p>
        </w:tc>
        <w:tc>
          <w:tcPr>
            <w:tcW w:w="81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1069</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488.8</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131.5</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26.9%</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522.6</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140.5</w:t>
            </w:r>
          </w:p>
        </w:tc>
        <w:tc>
          <w:tcPr>
            <w:tcW w:w="78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82.4</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162.6</w:t>
            </w:r>
          </w:p>
        </w:tc>
      </w:tr>
      <w:tr w:rsidR="00BC4752" w:rsidRPr="00BC4752" w:rsidTr="00BC4752">
        <w:trPr>
          <w:trHeight w:val="399"/>
          <w:jc w:val="center"/>
        </w:trPr>
        <w:tc>
          <w:tcPr>
            <w:tcW w:w="800" w:type="dxa"/>
            <w:vMerge/>
            <w:tcBorders>
              <w:top w:val="nil"/>
              <w:left w:val="single" w:sz="4" w:space="0" w:color="auto"/>
              <w:bottom w:val="single" w:sz="4" w:space="0" w:color="000000"/>
              <w:right w:val="nil"/>
            </w:tcBorders>
            <w:vAlign w:val="center"/>
            <w:hideMark/>
          </w:tcPr>
          <w:p w:rsidR="00BC4752" w:rsidRPr="00BC4752" w:rsidRDefault="00BC4752" w:rsidP="00BC4752">
            <w:pPr>
              <w:spacing w:after="0" w:line="240" w:lineRule="auto"/>
              <w:rPr>
                <w:rFonts w:ascii="Arial" w:eastAsia="Times New Roman" w:hAnsi="Arial" w:cs="Arial"/>
                <w:color w:val="000000"/>
                <w:sz w:val="16"/>
                <w:szCs w:val="16"/>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09/08/2011</w:t>
            </w:r>
          </w:p>
        </w:tc>
        <w:tc>
          <w:tcPr>
            <w:tcW w:w="81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475</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636.3</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172.3</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27.1%</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302.2</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81.8</w:t>
            </w:r>
          </w:p>
        </w:tc>
        <w:tc>
          <w:tcPr>
            <w:tcW w:w="78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86.8</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color w:val="000000"/>
                <w:sz w:val="16"/>
                <w:szCs w:val="16"/>
              </w:rPr>
            </w:pPr>
            <w:r w:rsidRPr="00BC4752">
              <w:rPr>
                <w:rFonts w:ascii="Arial" w:eastAsia="Times New Roman" w:hAnsi="Arial" w:cs="Arial"/>
                <w:color w:val="000000"/>
                <w:sz w:val="16"/>
                <w:szCs w:val="16"/>
              </w:rPr>
              <w:t>77.0</w:t>
            </w:r>
          </w:p>
        </w:tc>
      </w:tr>
      <w:tr w:rsidR="00BC4752" w:rsidRPr="00BC4752" w:rsidTr="00BC4752">
        <w:trPr>
          <w:trHeight w:val="399"/>
          <w:jc w:val="center"/>
        </w:trPr>
        <w:tc>
          <w:tcPr>
            <w:tcW w:w="800" w:type="dxa"/>
            <w:vMerge/>
            <w:tcBorders>
              <w:top w:val="nil"/>
              <w:left w:val="single" w:sz="4" w:space="0" w:color="auto"/>
              <w:bottom w:val="single" w:sz="4" w:space="0" w:color="000000"/>
              <w:right w:val="nil"/>
            </w:tcBorders>
            <w:vAlign w:val="center"/>
            <w:hideMark/>
          </w:tcPr>
          <w:p w:rsidR="00BC4752" w:rsidRPr="00BC4752" w:rsidRDefault="00BC4752" w:rsidP="00BC4752">
            <w:pPr>
              <w:spacing w:after="0" w:line="240" w:lineRule="auto"/>
              <w:rPr>
                <w:rFonts w:ascii="Arial" w:eastAsia="Times New Roman" w:hAnsi="Arial" w:cs="Arial"/>
                <w:color w:val="000000"/>
                <w:sz w:val="16"/>
                <w:szCs w:val="16"/>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Average Event</w:t>
            </w:r>
          </w:p>
        </w:tc>
        <w:tc>
          <w:tcPr>
            <w:tcW w:w="81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772</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534.2</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144.0</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27.0%</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412.4</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111.2</w:t>
            </w:r>
          </w:p>
        </w:tc>
        <w:tc>
          <w:tcPr>
            <w:tcW w:w="78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83.8</w:t>
            </w:r>
          </w:p>
        </w:tc>
        <w:tc>
          <w:tcPr>
            <w:tcW w:w="960" w:type="dxa"/>
            <w:tcBorders>
              <w:top w:val="nil"/>
              <w:left w:val="nil"/>
              <w:bottom w:val="single" w:sz="4" w:space="0" w:color="auto"/>
              <w:right w:val="single" w:sz="4" w:space="0" w:color="auto"/>
            </w:tcBorders>
            <w:shd w:val="clear" w:color="auto" w:fill="auto"/>
            <w:noWrap/>
            <w:vAlign w:val="center"/>
            <w:hideMark/>
          </w:tcPr>
          <w:p w:rsidR="00BC4752" w:rsidRPr="00BC4752" w:rsidRDefault="00BC4752" w:rsidP="00BC4752">
            <w:pPr>
              <w:spacing w:after="0" w:line="240" w:lineRule="auto"/>
              <w:jc w:val="center"/>
              <w:rPr>
                <w:rFonts w:ascii="Arial" w:eastAsia="Times New Roman" w:hAnsi="Arial" w:cs="Arial"/>
                <w:b/>
                <w:bCs/>
                <w:color w:val="000000"/>
                <w:sz w:val="16"/>
                <w:szCs w:val="16"/>
              </w:rPr>
            </w:pPr>
            <w:r w:rsidRPr="00BC4752">
              <w:rPr>
                <w:rFonts w:ascii="Arial" w:eastAsia="Times New Roman" w:hAnsi="Arial" w:cs="Arial"/>
                <w:b/>
                <w:bCs/>
                <w:color w:val="000000"/>
                <w:sz w:val="16"/>
                <w:szCs w:val="16"/>
              </w:rPr>
              <w:t>119.8</w:t>
            </w:r>
          </w:p>
        </w:tc>
      </w:tr>
    </w:tbl>
    <w:p w:rsidR="005310C6" w:rsidRDefault="00895796" w:rsidP="00515A0D">
      <w:pPr>
        <w:pStyle w:val="BodyParaAfterTableFigure"/>
      </w:pPr>
      <w:r>
        <w:t xml:space="preserve">Ex ante load impact estimates of AMP resources project that program resources will </w:t>
      </w:r>
      <w:r w:rsidR="00826397">
        <w:t>remain at</w:t>
      </w:r>
      <w:r>
        <w:t xml:space="preserve"> 198.5 MW</w:t>
      </w:r>
      <w:r w:rsidR="00826397">
        <w:t xml:space="preserve"> through 2022, as enrollment is forecast to remain unchanged</w:t>
      </w:r>
      <w:r>
        <w:t>.  Ex ante estimates of AMP resources diverge from ex post load impact estimates for several reasons.</w:t>
      </w:r>
      <w:r w:rsidRPr="007A5652">
        <w:t xml:space="preserve"> </w:t>
      </w:r>
      <w:r>
        <w:t xml:space="preserve"> </w:t>
      </w:r>
      <w:r w:rsidR="00422C33">
        <w:t>The 2011 e</w:t>
      </w:r>
      <w:r>
        <w:t xml:space="preserve">x post estimates are based on actual AMP events called </w:t>
      </w:r>
      <w:r w:rsidR="00422C33">
        <w:t>in 2011.  As noted earlier, the PG&amp;E</w:t>
      </w:r>
      <w:r>
        <w:t xml:space="preserve"> did not always solicit</w:t>
      </w:r>
      <w:r w:rsidR="00422C33">
        <w:t xml:space="preserve"> resources from every aggregator for each event, though it did dispatch resources jointly once on August 25</w:t>
      </w:r>
      <w:r w:rsidR="00422C33" w:rsidRPr="00422C33">
        <w:rPr>
          <w:vertAlign w:val="superscript"/>
        </w:rPr>
        <w:t>th</w:t>
      </w:r>
      <w:r w:rsidR="00422C33">
        <w:t xml:space="preserve"> and observed 187 MW reduction</w:t>
      </w:r>
      <w:r>
        <w:t xml:space="preserve">.  </w:t>
      </w:r>
      <w:r w:rsidR="00422C33">
        <w:t xml:space="preserve">The remaining different is due to the fact that ex-ante impacts factor in performance in 2010 and 2011 events (not just 2010) and that the ex ante projections are based on enrollments and nomination as of September 2011. </w:t>
      </w:r>
    </w:p>
    <w:p w:rsidR="005310C6" w:rsidRDefault="00567FEB">
      <w:pPr>
        <w:pStyle w:val="Heading2"/>
      </w:pPr>
      <w:bookmarkStart w:id="5" w:name="_Toc319651438"/>
      <w:bookmarkStart w:id="6" w:name="_Toc319656770"/>
      <w:bookmarkStart w:id="7" w:name="_Toc319666681"/>
      <w:bookmarkStart w:id="8" w:name="_Toc319671333"/>
      <w:bookmarkStart w:id="9" w:name="_Toc319671580"/>
      <w:bookmarkStart w:id="10" w:name="_Toc319671826"/>
      <w:bookmarkStart w:id="11" w:name="_Toc319672074"/>
      <w:bookmarkStart w:id="12" w:name="_Toc326073997"/>
      <w:bookmarkEnd w:id="5"/>
      <w:bookmarkEnd w:id="6"/>
      <w:bookmarkEnd w:id="7"/>
      <w:bookmarkEnd w:id="8"/>
      <w:bookmarkEnd w:id="9"/>
      <w:bookmarkEnd w:id="10"/>
      <w:bookmarkEnd w:id="11"/>
      <w:r w:rsidRPr="003B3A7D">
        <w:t>SCE’s Demand Response Resource Contract Program</w:t>
      </w:r>
      <w:bookmarkEnd w:id="12"/>
      <w:r>
        <w:t xml:space="preserve"> </w:t>
      </w:r>
    </w:p>
    <w:p w:rsidR="00567FEB" w:rsidRDefault="000F2EB5" w:rsidP="00567FEB">
      <w:pPr>
        <w:pStyle w:val="BodyParagraph"/>
      </w:pPr>
      <w:r>
        <w:t>During 2011, SCE had multiple</w:t>
      </w:r>
      <w:r w:rsidR="00567FEB">
        <w:t xml:space="preserve"> active bilateral DRRC contracts with third-party aggregators.</w:t>
      </w:r>
      <w:r w:rsidR="00345F96" w:rsidRPr="00345F96">
        <w:t xml:space="preserve">  </w:t>
      </w:r>
      <w:r w:rsidR="00567FEB">
        <w:t>The availability, dispatch terms, allowed event duration and MW reduction per month vary by contract</w:t>
      </w:r>
      <w:r w:rsidR="00403E66">
        <w:t>;</w:t>
      </w:r>
      <w:r w:rsidR="00567FEB">
        <w:t xml:space="preserve"> and some of these provisions are treated as confidential.  </w:t>
      </w:r>
      <w:r w:rsidR="00567FEB">
        <w:rPr>
          <w:sz w:val="13"/>
          <w:szCs w:val="13"/>
        </w:rPr>
        <w:t xml:space="preserve"> </w:t>
      </w:r>
      <w:r w:rsidR="00567FEB">
        <w:t xml:space="preserve">Notification for event dispatch for the contracts is either day-of or day-ahead.  </w:t>
      </w:r>
      <w:r>
        <w:t xml:space="preserve">Some of the </w:t>
      </w:r>
      <w:r w:rsidR="00567FEB">
        <w:t xml:space="preserve">DRRC contracts can be called year around, not just during the summer.  A number of the operational and compensation provisions of the contracts </w:t>
      </w:r>
      <w:r>
        <w:t xml:space="preserve">are similar to </w:t>
      </w:r>
      <w:r w:rsidR="00567FEB">
        <w:t>SCE’s C</w:t>
      </w:r>
      <w:r w:rsidR="00147655">
        <w:t>BP program</w:t>
      </w:r>
      <w:r w:rsidR="00567FEB">
        <w:t xml:space="preserve"> (e.g., delivered energy payment, delivered capacity</w:t>
      </w:r>
      <w:r w:rsidR="00147655">
        <w:t xml:space="preserve"> payment</w:t>
      </w:r>
      <w:r w:rsidR="00567FEB">
        <w:t xml:space="preserve"> </w:t>
      </w:r>
      <w:r>
        <w:t>and penalties</w:t>
      </w:r>
      <w:r w:rsidR="00567FEB">
        <w:t>).</w:t>
      </w:r>
      <w:r w:rsidR="00567FEB" w:rsidRPr="00050374">
        <w:t xml:space="preserve"> </w:t>
      </w:r>
    </w:p>
    <w:p w:rsidR="009555F5" w:rsidRPr="00A14074" w:rsidRDefault="005E3FA6" w:rsidP="00A14074">
      <w:pPr>
        <w:pStyle w:val="BodyParagraph"/>
      </w:pPr>
      <w:r w:rsidRPr="00A14074">
        <w:t xml:space="preserve">In total, aggregators with DRRC contracts had committed </w:t>
      </w:r>
      <w:r w:rsidR="00BB134E" w:rsidRPr="00A14074">
        <w:t xml:space="preserve">to deliver between 215 MW and 230 MW of same-day resources and between 60 MW and 70 MW of day-ahead resources during the 2011 summer months (June-Sep).  However, not all of the aggregators with DRRC contracts subscribed enough capacity to meet their contractual obligations and, as a result, were subject to penalties.  </w:t>
      </w:r>
      <w:r w:rsidR="00567FEB" w:rsidRPr="00A14074">
        <w:t xml:space="preserve">SCE called the DRRC </w:t>
      </w:r>
      <w:r w:rsidR="00F95446" w:rsidRPr="00A14074">
        <w:t>day-ahead</w:t>
      </w:r>
      <w:r w:rsidR="00567FEB" w:rsidRPr="00A14074">
        <w:t xml:space="preserve"> resource twice in 2011 and the </w:t>
      </w:r>
      <w:r w:rsidR="00F95446" w:rsidRPr="00A14074">
        <w:t>day-of</w:t>
      </w:r>
      <w:r w:rsidR="00567FEB" w:rsidRPr="00A14074">
        <w:t xml:space="preserve"> resource four times, including an early event that occurred on April 21.  For each event, customers were dispatched from 2 PM to 4 PM.  SCE jointly dispatched the two aggregators providing </w:t>
      </w:r>
      <w:r w:rsidR="00F95446" w:rsidRPr="00A14074">
        <w:t>day-ahead</w:t>
      </w:r>
      <w:r w:rsidR="00567FEB" w:rsidRPr="00A14074">
        <w:t xml:space="preserve"> resources in each of the two events it</w:t>
      </w:r>
      <w:r w:rsidR="00D649A8" w:rsidRPr="00A14074">
        <w:t xml:space="preserve"> </w:t>
      </w:r>
      <w:r w:rsidR="00567FEB" w:rsidRPr="00A14074">
        <w:t xml:space="preserve">called. </w:t>
      </w:r>
      <w:r w:rsidR="00DF1C93">
        <w:t xml:space="preserve">  The aggregators providing same day resources were not jointly dispatched on any single day. In other words, only part of the available same day resources were exercised during each event. </w:t>
      </w:r>
    </w:p>
    <w:p w:rsidR="009555F5" w:rsidRPr="00A14074" w:rsidRDefault="00901955" w:rsidP="00A14074">
      <w:pPr>
        <w:pStyle w:val="BodyParagraph"/>
      </w:pPr>
      <w:r w:rsidRPr="00A14074">
        <w:t xml:space="preserve">Table </w:t>
      </w:r>
      <w:r w:rsidR="00A52143" w:rsidRPr="00A14074">
        <w:t>1</w:t>
      </w:r>
      <w:r w:rsidRPr="00A14074">
        <w:t>-</w:t>
      </w:r>
      <w:r w:rsidR="00AE5FF9">
        <w:t>4</w:t>
      </w:r>
      <w:r w:rsidRPr="00A14074">
        <w:t xml:space="preserve"> summarizes the estimated impacts for SCE’s DRRC program in 2011.  </w:t>
      </w:r>
      <w:r w:rsidR="00567FEB" w:rsidRPr="00A14074">
        <w:t xml:space="preserve">On average, the 275 average accounts participating in day-ahead events reduced demand by nearly 28%, or 63 kW per </w:t>
      </w:r>
      <w:r w:rsidR="00567FEB" w:rsidRPr="00A14074">
        <w:lastRenderedPageBreak/>
        <w:t xml:space="preserve">account.  In aggregate, this resource provided </w:t>
      </w:r>
      <w:r w:rsidR="00734048" w:rsidRPr="00A14074">
        <w:t>17</w:t>
      </w:r>
      <w:r w:rsidR="00FC0D08" w:rsidRPr="00A14074">
        <w:t xml:space="preserve"> </w:t>
      </w:r>
      <w:r w:rsidR="00D649A8" w:rsidRPr="00A14074">
        <w:t>MW</w:t>
      </w:r>
      <w:r w:rsidR="00567FEB" w:rsidRPr="00A14074">
        <w:t xml:space="preserve"> of average load reduction across the two event</w:t>
      </w:r>
      <w:r w:rsidR="00767E42" w:rsidRPr="00A14074">
        <w:t> </w:t>
      </w:r>
      <w:r w:rsidR="00567FEB" w:rsidRPr="00A14074">
        <w:t xml:space="preserve">days.  </w:t>
      </w:r>
    </w:p>
    <w:p w:rsidR="009555F5" w:rsidRPr="00A14074" w:rsidRDefault="00567FEB" w:rsidP="00A14074">
      <w:pPr>
        <w:pStyle w:val="BodyParagraph"/>
      </w:pPr>
      <w:r w:rsidRPr="00A14074">
        <w:t xml:space="preserve">In total, three aggregators have committed to deliver demand reductions with </w:t>
      </w:r>
      <w:r w:rsidR="00F95446" w:rsidRPr="00A14074">
        <w:t>same-day event</w:t>
      </w:r>
      <w:r w:rsidRPr="00A14074">
        <w:t xml:space="preserve"> notice.  </w:t>
      </w:r>
      <w:r w:rsidR="00A11561" w:rsidRPr="00A14074">
        <w:t xml:space="preserve">Although SCE dispatched DRRC day-of resources from 2 PM to 4 PM on four occasions, it never dispatched </w:t>
      </w:r>
      <w:r w:rsidR="00901955" w:rsidRPr="00A14074">
        <w:t xml:space="preserve">all </w:t>
      </w:r>
      <w:r w:rsidR="00A11561" w:rsidRPr="00A14074">
        <w:t xml:space="preserve">resources </w:t>
      </w:r>
      <w:r w:rsidR="00901955" w:rsidRPr="00A14074">
        <w:t>at the same time</w:t>
      </w:r>
      <w:r w:rsidR="00A11561" w:rsidRPr="00A14074">
        <w:t xml:space="preserve">. </w:t>
      </w:r>
      <w:r w:rsidRPr="00A14074">
        <w:t xml:space="preserve"> As a result, the individual event days in 2011 do not reflect the full load reduction capability of DRRC </w:t>
      </w:r>
      <w:r w:rsidR="00F95446" w:rsidRPr="00A14074">
        <w:t>day-of</w:t>
      </w:r>
      <w:r w:rsidRPr="00A14074">
        <w:t xml:space="preserve"> resources.  The dispatch pattern explains the variation </w:t>
      </w:r>
      <w:r w:rsidR="00147655" w:rsidRPr="00A14074">
        <w:t xml:space="preserve">in load impacts </w:t>
      </w:r>
      <w:r w:rsidRPr="00A14074">
        <w:t xml:space="preserve">across the 2011 events. </w:t>
      </w:r>
      <w:r w:rsidR="00A11561" w:rsidRPr="00A14074">
        <w:t xml:space="preserve"> A single aggregator was dispatched for the April 21 event and was not called on to deliver load reductions for the last three events. </w:t>
      </w:r>
      <w:r w:rsidRPr="00A14074">
        <w:t xml:space="preserve"> </w:t>
      </w:r>
      <w:r w:rsidR="00F95446" w:rsidRPr="00A14074">
        <w:t>Although</w:t>
      </w:r>
      <w:r w:rsidRPr="00A14074">
        <w:t xml:space="preserve"> only 61 accounts participated in </w:t>
      </w:r>
      <w:r w:rsidR="00F95446" w:rsidRPr="00A14074">
        <w:t>the April 21</w:t>
      </w:r>
      <w:r w:rsidRPr="00A14074">
        <w:t xml:space="preserve"> event</w:t>
      </w:r>
      <w:r w:rsidR="00F95446" w:rsidRPr="00A14074">
        <w:t>,</w:t>
      </w:r>
      <w:r w:rsidRPr="00A14074">
        <w:t xml:space="preserve"> they were large and primarily came from the manufacturing and water district industry segments.  Collectively, these accounts reduced load by 68%, and delivered aggregate load reductions equal to 32 MW.  </w:t>
      </w:r>
      <w:r w:rsidR="00A11561" w:rsidRPr="00A14074">
        <w:t xml:space="preserve">In contrast, the number of participating accounts was higher and the percent load reductions were smaller during the remaining three events.  None of these events included the aggregator dispatched for the April event.  The last two events reflect the joint load reduction of two other aggregators.  </w:t>
      </w:r>
      <w:r w:rsidR="00EA64BF" w:rsidRPr="00A14074">
        <w:t>Had</w:t>
      </w:r>
      <w:r w:rsidR="00F95446" w:rsidRPr="00A14074">
        <w:t xml:space="preserve"> all</w:t>
      </w:r>
      <w:r w:rsidRPr="00A14074">
        <w:t xml:space="preserve"> DRRC </w:t>
      </w:r>
      <w:r w:rsidR="00F95446" w:rsidRPr="00A14074">
        <w:t>same-day resource</w:t>
      </w:r>
      <w:r w:rsidRPr="00A14074">
        <w:t>s</w:t>
      </w:r>
      <w:r w:rsidR="00F95446" w:rsidRPr="00A14074">
        <w:t xml:space="preserve"> </w:t>
      </w:r>
      <w:r w:rsidR="00EA64BF" w:rsidRPr="00A14074">
        <w:t>been</w:t>
      </w:r>
      <w:r w:rsidR="00F95446" w:rsidRPr="00A14074">
        <w:t xml:space="preserve"> called </w:t>
      </w:r>
      <w:r w:rsidR="00A11561" w:rsidRPr="00A14074">
        <w:t>at once</w:t>
      </w:r>
      <w:r w:rsidR="00F95446" w:rsidRPr="00A14074">
        <w:t xml:space="preserve">, they </w:t>
      </w:r>
      <w:r w:rsidR="00147655" w:rsidRPr="00A14074">
        <w:t>c</w:t>
      </w:r>
      <w:r w:rsidR="008808E4" w:rsidRPr="00A14074">
        <w:t>ould have</w:t>
      </w:r>
      <w:r w:rsidRPr="00A14074">
        <w:t xml:space="preserve"> deliver</w:t>
      </w:r>
      <w:r w:rsidR="008808E4" w:rsidRPr="00A14074">
        <w:t>ed</w:t>
      </w:r>
      <w:r w:rsidRPr="00A14074">
        <w:t xml:space="preserve"> </w:t>
      </w:r>
      <w:r w:rsidR="00A11561" w:rsidRPr="00A14074">
        <w:t xml:space="preserve">approximately </w:t>
      </w:r>
      <w:r w:rsidRPr="00A14074">
        <w:t>135 MW of load reduction, a reduction of 28</w:t>
      </w:r>
      <w:r w:rsidR="008808E4" w:rsidRPr="00A14074">
        <w:t>%</w:t>
      </w:r>
      <w:r w:rsidRPr="00A14074">
        <w:t xml:space="preserve">. </w:t>
      </w:r>
    </w:p>
    <w:p w:rsidR="008B31AA" w:rsidRDefault="00901955" w:rsidP="00BA25E2">
      <w:pPr>
        <w:pStyle w:val="TableFigureCaption"/>
        <w:rPr>
          <w:rStyle w:val="Strong"/>
          <w:b/>
          <w:bCs w:val="0"/>
        </w:rPr>
      </w:pPr>
      <w:r>
        <w:rPr>
          <w:rStyle w:val="Strong"/>
          <w:b/>
          <w:bCs w:val="0"/>
        </w:rPr>
        <w:t xml:space="preserve">Table </w:t>
      </w:r>
      <w:r w:rsidR="00A52143">
        <w:rPr>
          <w:rStyle w:val="Strong"/>
          <w:b/>
          <w:bCs w:val="0"/>
        </w:rPr>
        <w:t>1</w:t>
      </w:r>
      <w:r>
        <w:rPr>
          <w:rStyle w:val="Strong"/>
          <w:b/>
          <w:bCs w:val="0"/>
        </w:rPr>
        <w:t>-</w:t>
      </w:r>
      <w:r w:rsidR="00AE5FF9">
        <w:rPr>
          <w:rStyle w:val="Strong"/>
          <w:b/>
          <w:bCs w:val="0"/>
        </w:rPr>
        <w:t>4</w:t>
      </w:r>
      <w:r>
        <w:rPr>
          <w:rStyle w:val="Strong"/>
          <w:b/>
          <w:bCs w:val="0"/>
        </w:rPr>
        <w:t>:</w:t>
      </w:r>
    </w:p>
    <w:p w:rsidR="001136EF" w:rsidRDefault="001136EF" w:rsidP="00BA25E2">
      <w:pPr>
        <w:pStyle w:val="TableFigureCaption"/>
        <w:rPr>
          <w:rStyle w:val="Strong"/>
          <w:b/>
          <w:bCs w:val="0"/>
        </w:rPr>
      </w:pPr>
      <w:r w:rsidRPr="00050374">
        <w:rPr>
          <w:rStyle w:val="Strong"/>
          <w:b/>
          <w:bCs w:val="0"/>
        </w:rPr>
        <w:t>Estimated Ex Post Load Impacts by Event Day</w:t>
      </w:r>
      <w:r w:rsidRPr="00050374">
        <w:rPr>
          <w:rStyle w:val="Strong"/>
          <w:b/>
          <w:bCs w:val="0"/>
        </w:rPr>
        <w:br/>
        <w:t xml:space="preserve">2011 </w:t>
      </w:r>
      <w:r>
        <w:rPr>
          <w:rStyle w:val="Strong"/>
          <w:b/>
          <w:bCs w:val="0"/>
        </w:rPr>
        <w:t>SCE DRRC</w:t>
      </w:r>
      <w:r w:rsidRPr="00050374">
        <w:rPr>
          <w:rStyle w:val="Strong"/>
          <w:b/>
          <w:bCs w:val="0"/>
        </w:rPr>
        <w:t xml:space="preserve"> Events</w:t>
      </w:r>
    </w:p>
    <w:tbl>
      <w:tblPr>
        <w:tblW w:w="5000" w:type="pct"/>
        <w:tblLook w:val="04A0"/>
      </w:tblPr>
      <w:tblGrid>
        <w:gridCol w:w="793"/>
        <w:gridCol w:w="1343"/>
        <w:gridCol w:w="872"/>
        <w:gridCol w:w="898"/>
        <w:gridCol w:w="908"/>
        <w:gridCol w:w="908"/>
        <w:gridCol w:w="963"/>
        <w:gridCol w:w="915"/>
        <w:gridCol w:w="872"/>
        <w:gridCol w:w="946"/>
      </w:tblGrid>
      <w:tr w:rsidR="008F19CC" w:rsidRPr="00432764" w:rsidTr="006161AE">
        <w:trPr>
          <w:trHeight w:val="816"/>
        </w:trPr>
        <w:tc>
          <w:tcPr>
            <w:tcW w:w="421" w:type="pct"/>
            <w:tcBorders>
              <w:top w:val="single" w:sz="4" w:space="0" w:color="000000" w:themeColor="text1"/>
              <w:left w:val="single" w:sz="4" w:space="0" w:color="auto"/>
              <w:bottom w:val="single" w:sz="4" w:space="0" w:color="000000" w:themeColor="text1"/>
              <w:right w:val="nil"/>
            </w:tcBorders>
            <w:shd w:val="clear" w:color="000000" w:fill="365F91" w:themeFill="accent1" w:themeFillShade="BF"/>
            <w:tcMar>
              <w:left w:w="29" w:type="dxa"/>
              <w:right w:w="29" w:type="dxa"/>
            </w:tcMar>
            <w:vAlign w:val="center"/>
            <w:hideMark/>
          </w:tcPr>
          <w:p w:rsidR="009555F5" w:rsidRDefault="005E3FA6">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Program</w:t>
            </w:r>
          </w:p>
        </w:tc>
        <w:tc>
          <w:tcPr>
            <w:tcW w:w="713" w:type="pct"/>
            <w:tcBorders>
              <w:top w:val="single" w:sz="4" w:space="0" w:color="000000" w:themeColor="text1"/>
              <w:left w:val="single" w:sz="4" w:space="0" w:color="FFFFFF"/>
              <w:bottom w:val="single" w:sz="4" w:space="0" w:color="000000" w:themeColor="text1"/>
              <w:right w:val="single" w:sz="4" w:space="0" w:color="FFFFFF"/>
            </w:tcBorders>
            <w:shd w:val="clear" w:color="000000" w:fill="365F91" w:themeFill="accent1" w:themeFillShade="BF"/>
            <w:tcMar>
              <w:left w:w="29" w:type="dxa"/>
              <w:right w:w="29" w:type="dxa"/>
            </w:tcMar>
            <w:vAlign w:val="center"/>
            <w:hideMark/>
          </w:tcPr>
          <w:p w:rsidR="005E3FA6" w:rsidRPr="00432764" w:rsidRDefault="005E3FA6" w:rsidP="00901955">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Event Date</w:t>
            </w:r>
          </w:p>
        </w:tc>
        <w:tc>
          <w:tcPr>
            <w:tcW w:w="463" w:type="pct"/>
            <w:tcBorders>
              <w:top w:val="single" w:sz="4" w:space="0" w:color="000000" w:themeColor="text1"/>
              <w:left w:val="nil"/>
              <w:bottom w:val="single" w:sz="4" w:space="0" w:color="000000" w:themeColor="text1"/>
              <w:right w:val="single" w:sz="4" w:space="0" w:color="FFFFFF"/>
            </w:tcBorders>
            <w:shd w:val="clear" w:color="000000" w:fill="365F91" w:themeFill="accent1" w:themeFillShade="BF"/>
            <w:tcMar>
              <w:left w:w="29" w:type="dxa"/>
              <w:right w:w="29" w:type="dxa"/>
            </w:tcMar>
            <w:vAlign w:val="center"/>
            <w:hideMark/>
          </w:tcPr>
          <w:p w:rsidR="005E3FA6" w:rsidRPr="00432764" w:rsidRDefault="005E3FA6" w:rsidP="00901955">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Accts</w:t>
            </w:r>
          </w:p>
        </w:tc>
        <w:tc>
          <w:tcPr>
            <w:tcW w:w="477" w:type="pct"/>
            <w:tcBorders>
              <w:top w:val="single" w:sz="4" w:space="0" w:color="000000" w:themeColor="text1"/>
              <w:left w:val="nil"/>
              <w:bottom w:val="single" w:sz="4" w:space="0" w:color="000000" w:themeColor="text1"/>
              <w:right w:val="single" w:sz="4" w:space="0" w:color="FFFFFF"/>
            </w:tcBorders>
            <w:shd w:val="clear" w:color="000000" w:fill="365F91" w:themeFill="accent1" w:themeFillShade="BF"/>
            <w:tcMar>
              <w:left w:w="29" w:type="dxa"/>
              <w:right w:w="29" w:type="dxa"/>
            </w:tcMar>
            <w:vAlign w:val="center"/>
            <w:hideMark/>
          </w:tcPr>
          <w:p w:rsidR="00901955" w:rsidRDefault="005E3FA6" w:rsidP="00901955">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 xml:space="preserve">Avg. Reference Load </w:t>
            </w:r>
          </w:p>
          <w:p w:rsidR="005E3FA6" w:rsidRPr="00432764" w:rsidRDefault="005E3FA6" w:rsidP="00901955">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(kW)</w:t>
            </w:r>
          </w:p>
        </w:tc>
        <w:tc>
          <w:tcPr>
            <w:tcW w:w="482" w:type="pct"/>
            <w:tcBorders>
              <w:top w:val="single" w:sz="4" w:space="0" w:color="000000" w:themeColor="text1"/>
              <w:left w:val="nil"/>
              <w:bottom w:val="single" w:sz="4" w:space="0" w:color="000000" w:themeColor="text1"/>
              <w:right w:val="single" w:sz="4" w:space="0" w:color="FFFFFF"/>
            </w:tcBorders>
            <w:shd w:val="clear" w:color="000000" w:fill="365F91" w:themeFill="accent1" w:themeFillShade="BF"/>
            <w:tcMar>
              <w:left w:w="29" w:type="dxa"/>
              <w:right w:w="29" w:type="dxa"/>
            </w:tcMar>
            <w:vAlign w:val="center"/>
            <w:hideMark/>
          </w:tcPr>
          <w:p w:rsidR="005E3FA6" w:rsidRPr="00432764" w:rsidRDefault="005E3FA6" w:rsidP="00901955">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Average Load Reduction (kW)</w:t>
            </w:r>
          </w:p>
        </w:tc>
        <w:tc>
          <w:tcPr>
            <w:tcW w:w="482" w:type="pct"/>
            <w:tcBorders>
              <w:top w:val="single" w:sz="4" w:space="0" w:color="000000" w:themeColor="text1"/>
              <w:left w:val="nil"/>
              <w:bottom w:val="single" w:sz="4" w:space="0" w:color="000000" w:themeColor="text1"/>
              <w:right w:val="single" w:sz="4" w:space="0" w:color="FFFFFF"/>
            </w:tcBorders>
            <w:shd w:val="clear" w:color="000000" w:fill="365F91" w:themeFill="accent1" w:themeFillShade="BF"/>
            <w:tcMar>
              <w:left w:w="29" w:type="dxa"/>
              <w:right w:w="29" w:type="dxa"/>
            </w:tcMar>
            <w:vAlign w:val="center"/>
            <w:hideMark/>
          </w:tcPr>
          <w:p w:rsidR="005E3FA6" w:rsidRPr="00432764" w:rsidRDefault="005E3FA6" w:rsidP="00901955">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 Load Reduction</w:t>
            </w:r>
          </w:p>
        </w:tc>
        <w:tc>
          <w:tcPr>
            <w:tcW w:w="511" w:type="pct"/>
            <w:tcBorders>
              <w:top w:val="single" w:sz="4" w:space="0" w:color="000000" w:themeColor="text1"/>
              <w:left w:val="nil"/>
              <w:bottom w:val="single" w:sz="4" w:space="0" w:color="000000" w:themeColor="text1"/>
              <w:right w:val="single" w:sz="4" w:space="0" w:color="FFFFFF"/>
            </w:tcBorders>
            <w:shd w:val="clear" w:color="000000" w:fill="365F91" w:themeFill="accent1" w:themeFillShade="BF"/>
            <w:tcMar>
              <w:left w:w="29" w:type="dxa"/>
              <w:right w:w="29" w:type="dxa"/>
            </w:tcMar>
            <w:vAlign w:val="center"/>
            <w:hideMark/>
          </w:tcPr>
          <w:p w:rsidR="00901955" w:rsidRDefault="005E3FA6" w:rsidP="00901955">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 xml:space="preserve">Aggregate Reference Load </w:t>
            </w:r>
          </w:p>
          <w:p w:rsidR="005E3FA6" w:rsidRPr="00432764" w:rsidRDefault="005E3FA6" w:rsidP="00901955">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(MW)</w:t>
            </w:r>
          </w:p>
        </w:tc>
        <w:tc>
          <w:tcPr>
            <w:tcW w:w="486" w:type="pct"/>
            <w:tcBorders>
              <w:top w:val="single" w:sz="4" w:space="0" w:color="000000" w:themeColor="text1"/>
              <w:left w:val="nil"/>
              <w:bottom w:val="single" w:sz="4" w:space="0" w:color="000000" w:themeColor="text1"/>
              <w:right w:val="single" w:sz="4" w:space="0" w:color="FFFFFF"/>
            </w:tcBorders>
            <w:shd w:val="clear" w:color="000000" w:fill="365F91" w:themeFill="accent1" w:themeFillShade="BF"/>
            <w:tcMar>
              <w:left w:w="29" w:type="dxa"/>
              <w:right w:w="29" w:type="dxa"/>
            </w:tcMar>
            <w:vAlign w:val="center"/>
            <w:hideMark/>
          </w:tcPr>
          <w:p w:rsidR="005E3FA6" w:rsidRPr="00432764" w:rsidRDefault="005E3FA6" w:rsidP="00901955">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Aggregate Load Impact (MW)</w:t>
            </w:r>
          </w:p>
        </w:tc>
        <w:tc>
          <w:tcPr>
            <w:tcW w:w="463" w:type="pct"/>
            <w:tcBorders>
              <w:top w:val="single" w:sz="4" w:space="0" w:color="000000" w:themeColor="text1"/>
              <w:left w:val="nil"/>
              <w:bottom w:val="single" w:sz="4" w:space="0" w:color="000000" w:themeColor="text1"/>
              <w:right w:val="nil"/>
            </w:tcBorders>
            <w:shd w:val="clear" w:color="000000" w:fill="365F91" w:themeFill="accent1" w:themeFillShade="BF"/>
            <w:tcMar>
              <w:left w:w="29" w:type="dxa"/>
              <w:right w:w="29" w:type="dxa"/>
            </w:tcMar>
            <w:vAlign w:val="center"/>
            <w:hideMark/>
          </w:tcPr>
          <w:p w:rsidR="005E3FA6" w:rsidRPr="00432764" w:rsidRDefault="005E3FA6" w:rsidP="00901955">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Avg. Temp During Event</w:t>
            </w:r>
          </w:p>
        </w:tc>
        <w:tc>
          <w:tcPr>
            <w:tcW w:w="502" w:type="pct"/>
            <w:tcBorders>
              <w:top w:val="single" w:sz="4" w:space="0" w:color="000000" w:themeColor="text1"/>
              <w:left w:val="single" w:sz="4" w:space="0" w:color="FFFFFF"/>
              <w:bottom w:val="single" w:sz="4" w:space="0" w:color="000000" w:themeColor="text1"/>
              <w:right w:val="single" w:sz="4" w:space="0" w:color="auto"/>
            </w:tcBorders>
            <w:shd w:val="clear" w:color="000000" w:fill="365F91" w:themeFill="accent1" w:themeFillShade="BF"/>
            <w:tcMar>
              <w:left w:w="29" w:type="dxa"/>
              <w:right w:w="29" w:type="dxa"/>
            </w:tcMar>
            <w:vAlign w:val="center"/>
            <w:hideMark/>
          </w:tcPr>
          <w:p w:rsidR="005E3FA6" w:rsidRPr="00432764" w:rsidRDefault="005E3FA6" w:rsidP="00901955">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Nominated MW*</w:t>
            </w:r>
          </w:p>
        </w:tc>
      </w:tr>
      <w:tr w:rsidR="005E3FA6" w:rsidRPr="00432764" w:rsidTr="00203F57">
        <w:trPr>
          <w:trHeight w:val="399"/>
        </w:trPr>
        <w:tc>
          <w:tcPr>
            <w:tcW w:w="421" w:type="pct"/>
            <w:vMerge w:val="restart"/>
            <w:tcBorders>
              <w:top w:val="single" w:sz="4" w:space="0" w:color="000000" w:themeColor="text1"/>
              <w:left w:val="single" w:sz="4" w:space="0" w:color="auto"/>
              <w:bottom w:val="single" w:sz="4" w:space="0" w:color="auto"/>
              <w:right w:val="single" w:sz="4" w:space="0" w:color="auto"/>
            </w:tcBorders>
            <w:shd w:val="clear" w:color="auto" w:fill="auto"/>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DRRC-DA</w:t>
            </w:r>
          </w:p>
        </w:tc>
        <w:tc>
          <w:tcPr>
            <w:tcW w:w="713" w:type="pct"/>
            <w:tcBorders>
              <w:top w:val="single" w:sz="4" w:space="0" w:color="000000" w:themeColor="text1"/>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07/28/2011</w:t>
            </w:r>
          </w:p>
        </w:tc>
        <w:tc>
          <w:tcPr>
            <w:tcW w:w="463" w:type="pct"/>
            <w:tcBorders>
              <w:top w:val="single" w:sz="4" w:space="0" w:color="000000" w:themeColor="text1"/>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268</w:t>
            </w:r>
          </w:p>
        </w:tc>
        <w:tc>
          <w:tcPr>
            <w:tcW w:w="477" w:type="pct"/>
            <w:tcBorders>
              <w:top w:val="single" w:sz="4" w:space="0" w:color="000000" w:themeColor="text1"/>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223.9</w:t>
            </w:r>
          </w:p>
        </w:tc>
        <w:tc>
          <w:tcPr>
            <w:tcW w:w="482" w:type="pct"/>
            <w:tcBorders>
              <w:top w:val="single" w:sz="4" w:space="0" w:color="000000" w:themeColor="text1"/>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62.1</w:t>
            </w:r>
          </w:p>
        </w:tc>
        <w:tc>
          <w:tcPr>
            <w:tcW w:w="482" w:type="pct"/>
            <w:tcBorders>
              <w:top w:val="single" w:sz="4" w:space="0" w:color="000000" w:themeColor="text1"/>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27.7%</w:t>
            </w:r>
          </w:p>
        </w:tc>
        <w:tc>
          <w:tcPr>
            <w:tcW w:w="511" w:type="pct"/>
            <w:tcBorders>
              <w:top w:val="single" w:sz="4" w:space="0" w:color="000000" w:themeColor="text1"/>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60.0</w:t>
            </w:r>
          </w:p>
        </w:tc>
        <w:tc>
          <w:tcPr>
            <w:tcW w:w="486" w:type="pct"/>
            <w:tcBorders>
              <w:top w:val="single" w:sz="4" w:space="0" w:color="000000" w:themeColor="text1"/>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16.6</w:t>
            </w:r>
          </w:p>
        </w:tc>
        <w:tc>
          <w:tcPr>
            <w:tcW w:w="463" w:type="pct"/>
            <w:tcBorders>
              <w:top w:val="single" w:sz="4" w:space="0" w:color="000000" w:themeColor="text1"/>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83.1</w:t>
            </w:r>
          </w:p>
        </w:tc>
        <w:tc>
          <w:tcPr>
            <w:tcW w:w="502" w:type="pct"/>
            <w:tcBorders>
              <w:top w:val="single" w:sz="4" w:space="0" w:color="000000" w:themeColor="text1"/>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65.0</w:t>
            </w:r>
          </w:p>
        </w:tc>
      </w:tr>
      <w:tr w:rsidR="005E3FA6" w:rsidRPr="00432764" w:rsidTr="005E3FA6">
        <w:trPr>
          <w:trHeight w:val="399"/>
        </w:trPr>
        <w:tc>
          <w:tcPr>
            <w:tcW w:w="421" w:type="pct"/>
            <w:vMerge/>
            <w:tcBorders>
              <w:top w:val="nil"/>
              <w:left w:val="single" w:sz="4" w:space="0" w:color="auto"/>
              <w:bottom w:val="single" w:sz="4" w:space="0" w:color="auto"/>
              <w:right w:val="single" w:sz="4" w:space="0" w:color="auto"/>
            </w:tcBorders>
            <w:tcMar>
              <w:left w:w="29" w:type="dxa"/>
              <w:right w:w="29" w:type="dxa"/>
            </w:tcMar>
            <w:vAlign w:val="center"/>
            <w:hideMark/>
          </w:tcPr>
          <w:p w:rsidR="005E3FA6" w:rsidRPr="00432764" w:rsidRDefault="005E3FA6" w:rsidP="005E3FA6">
            <w:pPr>
              <w:spacing w:after="0" w:line="240" w:lineRule="auto"/>
              <w:rPr>
                <w:rFonts w:ascii="Arial" w:eastAsia="Times New Roman" w:hAnsi="Arial" w:cs="Arial"/>
                <w:color w:val="000000"/>
                <w:sz w:val="16"/>
                <w:szCs w:val="16"/>
              </w:rPr>
            </w:pPr>
          </w:p>
        </w:tc>
        <w:tc>
          <w:tcPr>
            <w:tcW w:w="71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08/25/2011</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282</w:t>
            </w:r>
          </w:p>
        </w:tc>
        <w:tc>
          <w:tcPr>
            <w:tcW w:w="477"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232.0</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64.2</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27.7%</w:t>
            </w:r>
          </w:p>
        </w:tc>
        <w:tc>
          <w:tcPr>
            <w:tcW w:w="511"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65.4</w:t>
            </w:r>
          </w:p>
        </w:tc>
        <w:tc>
          <w:tcPr>
            <w:tcW w:w="48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18.1</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89.5</w:t>
            </w:r>
          </w:p>
        </w:tc>
        <w:tc>
          <w:tcPr>
            <w:tcW w:w="50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70.0</w:t>
            </w:r>
          </w:p>
        </w:tc>
      </w:tr>
      <w:tr w:rsidR="005E3FA6" w:rsidRPr="00432764" w:rsidTr="005E3FA6">
        <w:trPr>
          <w:trHeight w:val="399"/>
        </w:trPr>
        <w:tc>
          <w:tcPr>
            <w:tcW w:w="421" w:type="pct"/>
            <w:vMerge/>
            <w:tcBorders>
              <w:top w:val="nil"/>
              <w:left w:val="single" w:sz="4" w:space="0" w:color="auto"/>
              <w:bottom w:val="single" w:sz="4" w:space="0" w:color="auto"/>
              <w:right w:val="single" w:sz="4" w:space="0" w:color="auto"/>
            </w:tcBorders>
            <w:tcMar>
              <w:left w:w="29" w:type="dxa"/>
              <w:right w:w="29" w:type="dxa"/>
            </w:tcMar>
            <w:vAlign w:val="center"/>
            <w:hideMark/>
          </w:tcPr>
          <w:p w:rsidR="005E3FA6" w:rsidRPr="00432764" w:rsidRDefault="005E3FA6" w:rsidP="005E3FA6">
            <w:pPr>
              <w:spacing w:after="0" w:line="240" w:lineRule="auto"/>
              <w:rPr>
                <w:rFonts w:ascii="Arial" w:eastAsia="Times New Roman" w:hAnsi="Arial" w:cs="Arial"/>
                <w:color w:val="000000"/>
                <w:sz w:val="16"/>
                <w:szCs w:val="16"/>
              </w:rPr>
            </w:pPr>
          </w:p>
        </w:tc>
        <w:tc>
          <w:tcPr>
            <w:tcW w:w="71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Average Event</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275</w:t>
            </w:r>
          </w:p>
        </w:tc>
        <w:tc>
          <w:tcPr>
            <w:tcW w:w="477"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228.1</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63.2</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27.7%</w:t>
            </w:r>
          </w:p>
        </w:tc>
        <w:tc>
          <w:tcPr>
            <w:tcW w:w="511"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62.7</w:t>
            </w:r>
          </w:p>
        </w:tc>
        <w:tc>
          <w:tcPr>
            <w:tcW w:w="48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17.4</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86.4</w:t>
            </w:r>
          </w:p>
        </w:tc>
        <w:tc>
          <w:tcPr>
            <w:tcW w:w="50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67.5</w:t>
            </w:r>
          </w:p>
        </w:tc>
      </w:tr>
      <w:tr w:rsidR="005E3FA6" w:rsidRPr="00432764" w:rsidTr="005E3FA6">
        <w:trPr>
          <w:trHeight w:val="399"/>
        </w:trPr>
        <w:tc>
          <w:tcPr>
            <w:tcW w:w="421" w:type="pct"/>
            <w:vMerge w:val="restart"/>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DRRC-DO</w:t>
            </w:r>
          </w:p>
        </w:tc>
        <w:tc>
          <w:tcPr>
            <w:tcW w:w="71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04/21/2011</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61</w:t>
            </w:r>
          </w:p>
        </w:tc>
        <w:tc>
          <w:tcPr>
            <w:tcW w:w="477"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777.2</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525.7</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67.6%</w:t>
            </w:r>
          </w:p>
        </w:tc>
        <w:tc>
          <w:tcPr>
            <w:tcW w:w="511"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47.4</w:t>
            </w:r>
          </w:p>
        </w:tc>
        <w:tc>
          <w:tcPr>
            <w:tcW w:w="48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32.1</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65.1</w:t>
            </w:r>
          </w:p>
        </w:tc>
        <w:tc>
          <w:tcPr>
            <w:tcW w:w="50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52.0</w:t>
            </w:r>
          </w:p>
        </w:tc>
      </w:tr>
      <w:tr w:rsidR="005E3FA6" w:rsidRPr="00432764" w:rsidTr="005E3FA6">
        <w:trPr>
          <w:trHeight w:val="399"/>
        </w:trPr>
        <w:tc>
          <w:tcPr>
            <w:tcW w:w="421" w:type="pct"/>
            <w:vMerge/>
            <w:tcBorders>
              <w:top w:val="nil"/>
              <w:left w:val="single" w:sz="4" w:space="0" w:color="auto"/>
              <w:bottom w:val="single" w:sz="4" w:space="0" w:color="auto"/>
              <w:right w:val="single" w:sz="4" w:space="0" w:color="auto"/>
            </w:tcBorders>
            <w:tcMar>
              <w:left w:w="29" w:type="dxa"/>
              <w:right w:w="29" w:type="dxa"/>
            </w:tcMar>
            <w:vAlign w:val="center"/>
            <w:hideMark/>
          </w:tcPr>
          <w:p w:rsidR="005E3FA6" w:rsidRPr="00432764" w:rsidRDefault="005E3FA6" w:rsidP="005E3FA6">
            <w:pPr>
              <w:spacing w:after="0" w:line="240" w:lineRule="auto"/>
              <w:rPr>
                <w:rFonts w:ascii="Arial" w:eastAsia="Times New Roman" w:hAnsi="Arial" w:cs="Arial"/>
                <w:color w:val="000000"/>
                <w:sz w:val="16"/>
                <w:szCs w:val="16"/>
              </w:rPr>
            </w:pPr>
          </w:p>
        </w:tc>
        <w:tc>
          <w:tcPr>
            <w:tcW w:w="71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06/23/2011</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940</w:t>
            </w:r>
          </w:p>
        </w:tc>
        <w:tc>
          <w:tcPr>
            <w:tcW w:w="477"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305.2</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92.4</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30.3%</w:t>
            </w:r>
          </w:p>
        </w:tc>
        <w:tc>
          <w:tcPr>
            <w:tcW w:w="511"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286.9</w:t>
            </w:r>
          </w:p>
        </w:tc>
        <w:tc>
          <w:tcPr>
            <w:tcW w:w="48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86.9</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83.9</w:t>
            </w:r>
          </w:p>
        </w:tc>
        <w:tc>
          <w:tcPr>
            <w:tcW w:w="50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110.0</w:t>
            </w:r>
          </w:p>
        </w:tc>
      </w:tr>
      <w:tr w:rsidR="005E3FA6" w:rsidRPr="00432764" w:rsidTr="005E3FA6">
        <w:trPr>
          <w:trHeight w:val="399"/>
        </w:trPr>
        <w:tc>
          <w:tcPr>
            <w:tcW w:w="421" w:type="pct"/>
            <w:vMerge/>
            <w:tcBorders>
              <w:top w:val="nil"/>
              <w:left w:val="single" w:sz="4" w:space="0" w:color="auto"/>
              <w:bottom w:val="single" w:sz="4" w:space="0" w:color="auto"/>
              <w:right w:val="single" w:sz="4" w:space="0" w:color="auto"/>
            </w:tcBorders>
            <w:tcMar>
              <w:left w:w="29" w:type="dxa"/>
              <w:right w:w="29" w:type="dxa"/>
            </w:tcMar>
            <w:vAlign w:val="center"/>
            <w:hideMark/>
          </w:tcPr>
          <w:p w:rsidR="005E3FA6" w:rsidRPr="00432764" w:rsidRDefault="005E3FA6" w:rsidP="005E3FA6">
            <w:pPr>
              <w:spacing w:after="0" w:line="240" w:lineRule="auto"/>
              <w:rPr>
                <w:rFonts w:ascii="Arial" w:eastAsia="Times New Roman" w:hAnsi="Arial" w:cs="Arial"/>
                <w:color w:val="000000"/>
                <w:sz w:val="16"/>
                <w:szCs w:val="16"/>
              </w:rPr>
            </w:pPr>
          </w:p>
        </w:tc>
        <w:tc>
          <w:tcPr>
            <w:tcW w:w="71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07/28/2011</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1242</w:t>
            </w:r>
          </w:p>
        </w:tc>
        <w:tc>
          <w:tcPr>
            <w:tcW w:w="477"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331.8</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74.1</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22.3%</w:t>
            </w:r>
          </w:p>
        </w:tc>
        <w:tc>
          <w:tcPr>
            <w:tcW w:w="511"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412.2</w:t>
            </w:r>
          </w:p>
        </w:tc>
        <w:tc>
          <w:tcPr>
            <w:tcW w:w="48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92.0</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83.7</w:t>
            </w:r>
          </w:p>
        </w:tc>
        <w:tc>
          <w:tcPr>
            <w:tcW w:w="50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145.0</w:t>
            </w:r>
          </w:p>
        </w:tc>
      </w:tr>
      <w:tr w:rsidR="005E3FA6" w:rsidRPr="00432764" w:rsidTr="005E3FA6">
        <w:trPr>
          <w:trHeight w:val="399"/>
        </w:trPr>
        <w:tc>
          <w:tcPr>
            <w:tcW w:w="421" w:type="pct"/>
            <w:vMerge/>
            <w:tcBorders>
              <w:top w:val="nil"/>
              <w:left w:val="single" w:sz="4" w:space="0" w:color="auto"/>
              <w:bottom w:val="single" w:sz="4" w:space="0" w:color="auto"/>
              <w:right w:val="single" w:sz="4" w:space="0" w:color="auto"/>
            </w:tcBorders>
            <w:tcMar>
              <w:left w:w="29" w:type="dxa"/>
              <w:right w:w="29" w:type="dxa"/>
            </w:tcMar>
            <w:vAlign w:val="center"/>
            <w:hideMark/>
          </w:tcPr>
          <w:p w:rsidR="005E3FA6" w:rsidRPr="00432764" w:rsidRDefault="005E3FA6" w:rsidP="005E3FA6">
            <w:pPr>
              <w:spacing w:after="0" w:line="240" w:lineRule="auto"/>
              <w:rPr>
                <w:rFonts w:ascii="Arial" w:eastAsia="Times New Roman" w:hAnsi="Arial" w:cs="Arial"/>
                <w:color w:val="000000"/>
                <w:sz w:val="16"/>
                <w:szCs w:val="16"/>
              </w:rPr>
            </w:pPr>
          </w:p>
        </w:tc>
        <w:tc>
          <w:tcPr>
            <w:tcW w:w="71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08/25/2011</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1298</w:t>
            </w:r>
          </w:p>
        </w:tc>
        <w:tc>
          <w:tcPr>
            <w:tcW w:w="477"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346.6</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88.4</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25.5%</w:t>
            </w:r>
          </w:p>
        </w:tc>
        <w:tc>
          <w:tcPr>
            <w:tcW w:w="511"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449.9</w:t>
            </w:r>
          </w:p>
        </w:tc>
        <w:tc>
          <w:tcPr>
            <w:tcW w:w="48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114.7</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93.2</w:t>
            </w:r>
          </w:p>
        </w:tc>
        <w:tc>
          <w:tcPr>
            <w:tcW w:w="50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150.0</w:t>
            </w:r>
          </w:p>
        </w:tc>
      </w:tr>
      <w:tr w:rsidR="005E3FA6" w:rsidRPr="00432764" w:rsidTr="005E3FA6">
        <w:trPr>
          <w:trHeight w:val="399"/>
        </w:trPr>
        <w:tc>
          <w:tcPr>
            <w:tcW w:w="421" w:type="pct"/>
            <w:vMerge/>
            <w:tcBorders>
              <w:top w:val="nil"/>
              <w:left w:val="single" w:sz="4" w:space="0" w:color="auto"/>
              <w:bottom w:val="single" w:sz="4" w:space="0" w:color="auto"/>
              <w:right w:val="single" w:sz="4" w:space="0" w:color="auto"/>
            </w:tcBorders>
            <w:tcMar>
              <w:left w:w="29" w:type="dxa"/>
              <w:right w:w="29" w:type="dxa"/>
            </w:tcMar>
            <w:vAlign w:val="center"/>
            <w:hideMark/>
          </w:tcPr>
          <w:p w:rsidR="005E3FA6" w:rsidRPr="00432764" w:rsidRDefault="005E3FA6" w:rsidP="005E3FA6">
            <w:pPr>
              <w:spacing w:after="0" w:line="240" w:lineRule="auto"/>
              <w:rPr>
                <w:rFonts w:ascii="Arial" w:eastAsia="Times New Roman" w:hAnsi="Arial" w:cs="Arial"/>
                <w:color w:val="000000"/>
                <w:sz w:val="16"/>
                <w:szCs w:val="16"/>
              </w:rPr>
            </w:pPr>
          </w:p>
        </w:tc>
        <w:tc>
          <w:tcPr>
            <w:tcW w:w="71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Average Event</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885</w:t>
            </w:r>
          </w:p>
        </w:tc>
        <w:tc>
          <w:tcPr>
            <w:tcW w:w="477"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337.9</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92.0</w:t>
            </w:r>
          </w:p>
        </w:tc>
        <w:tc>
          <w:tcPr>
            <w:tcW w:w="48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27.2%</w:t>
            </w:r>
          </w:p>
        </w:tc>
        <w:tc>
          <w:tcPr>
            <w:tcW w:w="511"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299.1</w:t>
            </w:r>
          </w:p>
        </w:tc>
        <w:tc>
          <w:tcPr>
            <w:tcW w:w="48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81.4</w:t>
            </w:r>
          </w:p>
        </w:tc>
        <w:tc>
          <w:tcPr>
            <w:tcW w:w="463"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86.9</w:t>
            </w:r>
          </w:p>
        </w:tc>
        <w:tc>
          <w:tcPr>
            <w:tcW w:w="50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5E3FA6" w:rsidRPr="00432764" w:rsidRDefault="005E3FA6" w:rsidP="005E3FA6">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114.3</w:t>
            </w:r>
          </w:p>
        </w:tc>
      </w:tr>
    </w:tbl>
    <w:p w:rsidR="00BA25E2" w:rsidRDefault="00895796" w:rsidP="00895796">
      <w:pPr>
        <w:pStyle w:val="BodyParaAfterTableFigure"/>
      </w:pPr>
      <w:r w:rsidRPr="00380238">
        <w:t>Ex ante load impact estimates of DRRC resources project that program resources will grow from 1</w:t>
      </w:r>
      <w:r w:rsidR="00380238">
        <w:t>67</w:t>
      </w:r>
      <w:r w:rsidRPr="00380238">
        <w:t>.</w:t>
      </w:r>
      <w:r w:rsidR="00380238">
        <w:t>1</w:t>
      </w:r>
      <w:r w:rsidRPr="00380238">
        <w:t xml:space="preserve"> MW in 2012 to </w:t>
      </w:r>
      <w:r w:rsidR="00380238">
        <w:t>just under 200</w:t>
      </w:r>
      <w:r w:rsidRPr="00380238">
        <w:t xml:space="preserve"> MW by 2014, due to increasing</w:t>
      </w:r>
      <w:r w:rsidR="00826397" w:rsidRPr="00380238">
        <w:t xml:space="preserve"> program</w:t>
      </w:r>
      <w:r w:rsidRPr="00380238">
        <w:t xml:space="preserve"> enrollment.</w:t>
      </w:r>
      <w:r w:rsidR="001E35DF" w:rsidRPr="00380238">
        <w:t xml:space="preserve">  The</w:t>
      </w:r>
      <w:r w:rsidR="001E35DF">
        <w:t xml:space="preserve"> ex ante estimates illustrate resources available when all nominated accounts are solicited for an event—effectively the load reduction capability of the program should it be dispatched in full.  </w:t>
      </w:r>
      <w:r w:rsidR="009C0297">
        <w:t xml:space="preserve">The 2012 numbers reflect the nominations submitted in May, 2012 and are adjusted for seasonality.  The 2013 and 2014 numbers assume and incremental 10% growth per year in load reduction resources from aggregators.  As with CBP, the DRRC </w:t>
      </w:r>
      <w:r w:rsidR="001E35DF">
        <w:t xml:space="preserve">ex ante impacts factor in how existing participants performed during 2010 and 2011 events.  </w:t>
      </w:r>
      <w:r w:rsidR="00BA25E2">
        <w:br w:type="page"/>
      </w:r>
    </w:p>
    <w:p w:rsidR="003E7761" w:rsidRPr="00050374" w:rsidRDefault="003E7761" w:rsidP="006161AE">
      <w:pPr>
        <w:pStyle w:val="Heading1"/>
      </w:pPr>
      <w:bookmarkStart w:id="13" w:name="_Toc326073998"/>
      <w:r w:rsidRPr="00050374">
        <w:lastRenderedPageBreak/>
        <w:t>Introduction</w:t>
      </w:r>
      <w:r w:rsidR="00265FA0">
        <w:t xml:space="preserve"> and Program Summary</w:t>
      </w:r>
      <w:bookmarkEnd w:id="13"/>
    </w:p>
    <w:p w:rsidR="00901955" w:rsidRDefault="003E7761" w:rsidP="003E7761">
      <w:pPr>
        <w:pStyle w:val="BodyParagraph"/>
      </w:pPr>
      <w:r w:rsidRPr="00050374">
        <w:t xml:space="preserve">This report documents the </w:t>
      </w:r>
      <w:r w:rsidR="005D13F3">
        <w:t>ex post load impact evaluation for program year</w:t>
      </w:r>
      <w:r w:rsidRPr="00050374">
        <w:t xml:space="preserve"> 2011 </w:t>
      </w:r>
      <w:r w:rsidR="005D13F3">
        <w:t xml:space="preserve">for </w:t>
      </w:r>
      <w:r w:rsidR="00147655">
        <w:t xml:space="preserve">the </w:t>
      </w:r>
      <w:r w:rsidRPr="00050374">
        <w:t xml:space="preserve">aggregator DR programs operated by the three California IOUs. </w:t>
      </w:r>
      <w:r w:rsidR="005D13F3">
        <w:t xml:space="preserve"> Specifically, the evaluation </w:t>
      </w:r>
      <w:r w:rsidR="005D13F3" w:rsidRPr="00050374">
        <w:t xml:space="preserve">covers the statewide CBP, which is operated by all three IOUs, PG&amp;E’s AMP and SCE’s DRRC. </w:t>
      </w:r>
      <w:r w:rsidR="005D13F3">
        <w:t xml:space="preserve"> </w:t>
      </w:r>
      <w:r w:rsidR="00C63E38">
        <w:t xml:space="preserve">Collectively, these programs are referred to </w:t>
      </w:r>
      <w:r w:rsidR="00CD31F9">
        <w:t xml:space="preserve">as </w:t>
      </w:r>
      <w:r w:rsidR="00C63E38">
        <w:t xml:space="preserve">aggregator programs.  </w:t>
      </w:r>
      <w:r w:rsidR="00901955">
        <w:t>Ex ante estimates will be developed and documented in a combined report that is due in early June, following a final decision by the California Public Utilities Commission on the DR program applications of each utility.  This decision is expected in April 2012.</w:t>
      </w:r>
    </w:p>
    <w:p w:rsidR="003E7761" w:rsidRPr="00050374" w:rsidRDefault="003E7761" w:rsidP="003E7761">
      <w:pPr>
        <w:pStyle w:val="BodyParagraph"/>
      </w:pPr>
      <w:r w:rsidRPr="00050374">
        <w:t xml:space="preserve">In </w:t>
      </w:r>
      <w:r w:rsidR="005D13F3">
        <w:t xml:space="preserve">all of </w:t>
      </w:r>
      <w:r w:rsidR="00CD31F9">
        <w:t xml:space="preserve">the </w:t>
      </w:r>
      <w:r w:rsidR="00C63E38">
        <w:t xml:space="preserve">aggregator </w:t>
      </w:r>
      <w:r w:rsidRPr="00050374">
        <w:t>programs, individual electric service accounts (customers) participate through aggregators, which pool risk across customers and interface with the utilities.  Each aggregator forms a portfolio of individual customers</w:t>
      </w:r>
      <w:r w:rsidR="005D13F3">
        <w:t xml:space="preserve"> that collectively provide DR </w:t>
      </w:r>
      <w:r w:rsidRPr="00050374">
        <w:t>resource</w:t>
      </w:r>
      <w:r w:rsidR="005D13F3">
        <w:t>s</w:t>
      </w:r>
      <w:r w:rsidRPr="00050374">
        <w:t xml:space="preserve"> that </w:t>
      </w:r>
      <w:r w:rsidR="005D13F3">
        <w:t>are</w:t>
      </w:r>
      <w:r w:rsidRPr="00050374">
        <w:t xml:space="preserve"> bid into </w:t>
      </w:r>
      <w:r w:rsidR="00CD31F9">
        <w:t xml:space="preserve">each </w:t>
      </w:r>
      <w:r w:rsidRPr="00050374">
        <w:t>utility</w:t>
      </w:r>
      <w:r w:rsidR="005D13F3">
        <w:t>’s</w:t>
      </w:r>
      <w:r w:rsidRPr="00050374">
        <w:t xml:space="preserve"> program.  Aggregators can group customers based on the amount of advanced notice and </w:t>
      </w:r>
      <w:r w:rsidR="008437EE">
        <w:t>event</w:t>
      </w:r>
      <w:r w:rsidR="008437EE" w:rsidRPr="00050374">
        <w:t xml:space="preserve"> </w:t>
      </w:r>
      <w:r w:rsidRPr="00050374">
        <w:t xml:space="preserve">duration, forming different products. </w:t>
      </w:r>
      <w:r w:rsidR="000D0277">
        <w:t xml:space="preserve"> They</w:t>
      </w:r>
      <w:r w:rsidR="005D13F3">
        <w:t xml:space="preserve"> are</w:t>
      </w:r>
      <w:r w:rsidRPr="00050374">
        <w:t xml:space="preserve"> responsible for specifying the demand reduction capability, meeting obligations when dispatched, receiving incentive payments and paying penalties.  The financial arrangements between aggregators and individual customers are not disclosed to the</w:t>
      </w:r>
      <w:r w:rsidR="00D921E2">
        <w:t> </w:t>
      </w:r>
      <w:r w:rsidRPr="00050374">
        <w:t xml:space="preserve">utilities.  </w:t>
      </w:r>
    </w:p>
    <w:p w:rsidR="003E7761" w:rsidRPr="00050374" w:rsidRDefault="003E7761" w:rsidP="003E7761">
      <w:pPr>
        <w:pStyle w:val="BodyParagraph"/>
      </w:pPr>
      <w:r w:rsidRPr="00050374">
        <w:t xml:space="preserve">For each product line in </w:t>
      </w:r>
      <w:r w:rsidR="005D13F3">
        <w:t>an aggregator’</w:t>
      </w:r>
      <w:r w:rsidR="00147655">
        <w:t>s</w:t>
      </w:r>
      <w:r w:rsidRPr="00050374">
        <w:t xml:space="preserve"> portfolio, the</w:t>
      </w:r>
      <w:r w:rsidR="005D13F3">
        <w:t>re is a</w:t>
      </w:r>
      <w:r w:rsidRPr="00050374">
        <w:t xml:space="preserve"> </w:t>
      </w:r>
      <w:r w:rsidR="005D13F3">
        <w:t>commitment</w:t>
      </w:r>
      <w:r w:rsidRPr="00050374">
        <w:t xml:space="preserve"> to deliver a pre-specified demand reduction, if dispatched.  In exchange, aggregators receive availability (capacity) payments for each megawatt of demand reduction committed.  These payments are provided regardless of whether or not each product is dispatched.  </w:t>
      </w:r>
      <w:r w:rsidR="005D13F3">
        <w:t xml:space="preserve">Aggregators also typically </w:t>
      </w:r>
      <w:r w:rsidRPr="00050374">
        <w:t>receive energy payments ($/</w:t>
      </w:r>
      <w:proofErr w:type="spellStart"/>
      <w:r w:rsidRPr="00050374">
        <w:t>MWh</w:t>
      </w:r>
      <w:proofErr w:type="spellEnd"/>
      <w:r w:rsidRPr="00050374">
        <w:t>) for each hour they are dispatched.  The</w:t>
      </w:r>
      <w:r w:rsidR="005D13F3">
        <w:t>se</w:t>
      </w:r>
      <w:r w:rsidRPr="00050374">
        <w:t xml:space="preserve"> financial </w:t>
      </w:r>
      <w:r w:rsidR="005D13F3">
        <w:t xml:space="preserve">incentives </w:t>
      </w:r>
      <w:r w:rsidRPr="00050374">
        <w:t>are tied to aggregator perform</w:t>
      </w:r>
      <w:r w:rsidR="005D13F3">
        <w:t>ance</w:t>
      </w:r>
      <w:r w:rsidRPr="00050374">
        <w:t xml:space="preserve"> as </w:t>
      </w:r>
      <w:r w:rsidR="005D13F3">
        <w:t>determined</w:t>
      </w:r>
      <w:r w:rsidRPr="00050374">
        <w:t xml:space="preserve"> </w:t>
      </w:r>
      <w:r w:rsidR="008808E4">
        <w:t xml:space="preserve">by </w:t>
      </w:r>
      <w:r w:rsidRPr="00050374">
        <w:t>using day</w:t>
      </w:r>
      <w:r w:rsidR="00206FC2">
        <w:t>-</w:t>
      </w:r>
      <w:r w:rsidRPr="00050374">
        <w:t>matching baselines</w:t>
      </w:r>
      <w:r w:rsidR="005D13F3">
        <w:t xml:space="preserve"> for settlement purposes</w:t>
      </w:r>
      <w:r w:rsidRPr="00050374">
        <w:t xml:space="preserve">, which provide a fast and transparent way of </w:t>
      </w:r>
      <w:r w:rsidR="005D13F3">
        <w:t>estimating</w:t>
      </w:r>
      <w:r w:rsidRPr="00050374">
        <w:t xml:space="preserve"> performance.  Failure to deliver the pre-specified demand reductions leads to payment</w:t>
      </w:r>
      <w:r w:rsidR="00767E42">
        <w:t> </w:t>
      </w:r>
      <w:r w:rsidRPr="00050374">
        <w:t>reductions.</w:t>
      </w:r>
      <w:r w:rsidR="00BB6A50">
        <w:t xml:space="preserve">  </w:t>
      </w:r>
    </w:p>
    <w:p w:rsidR="003E7761" w:rsidRPr="00050374" w:rsidRDefault="006C1D4D" w:rsidP="003E7761">
      <w:pPr>
        <w:pStyle w:val="BodyParagraph"/>
      </w:pPr>
      <w:r>
        <w:t xml:space="preserve">Like </w:t>
      </w:r>
      <w:r w:rsidR="008437EE">
        <w:t xml:space="preserve">all demand response resources, </w:t>
      </w:r>
      <w:r w:rsidR="008437EE" w:rsidRPr="00050374">
        <w:t>aggregator</w:t>
      </w:r>
      <w:r w:rsidR="008437EE">
        <w:t xml:space="preserve"> program</w:t>
      </w:r>
      <w:r w:rsidR="008437EE" w:rsidRPr="00050374">
        <w:t xml:space="preserve">s provide insurance against extreme system loads and high market prices.  </w:t>
      </w:r>
      <w:r w:rsidR="00CD31F9">
        <w:t xml:space="preserve">The </w:t>
      </w:r>
      <w:r w:rsidR="003E7761" w:rsidRPr="00050374">
        <w:t xml:space="preserve">AMP and DRRC contracts are </w:t>
      </w:r>
      <w:r w:rsidR="008808E4">
        <w:t>analogous</w:t>
      </w:r>
      <w:r w:rsidR="003E7761" w:rsidRPr="00050374">
        <w:t xml:space="preserve"> to long</w:t>
      </w:r>
      <w:r w:rsidR="000E7F72">
        <w:t>-</w:t>
      </w:r>
      <w:r w:rsidR="003E7761" w:rsidRPr="00050374">
        <w:t>term contracts for new power plants</w:t>
      </w:r>
      <w:r w:rsidR="008808E4">
        <w:t>,</w:t>
      </w:r>
      <w:r w:rsidR="003E7761" w:rsidRPr="00050374">
        <w:t xml:space="preserve"> while CBP is more like a </w:t>
      </w:r>
      <w:r w:rsidR="000D0277">
        <w:t>short</w:t>
      </w:r>
      <w:r w:rsidR="006E67CE">
        <w:t>-</w:t>
      </w:r>
      <w:r w:rsidR="000D0277">
        <w:t>term contract</w:t>
      </w:r>
      <w:r w:rsidR="003E7761" w:rsidRPr="00050374">
        <w:t xml:space="preserve"> for existing power plants.</w:t>
      </w:r>
      <w:r w:rsidR="000D0277">
        <w:t xml:space="preserve">  Both programs require a firm contractual commitment.</w:t>
      </w:r>
      <w:r w:rsidR="003E7761" w:rsidRPr="00050374">
        <w:t xml:space="preserve">  Aggregators with AMP and DRRC contracts are effectively committed to recruiting enough customers to deliver the pre-specified demand reductions by specific dates.  To use the analogy, they agree to build a set of power plants with a pre-specified schedule, nameplate capacity and resource</w:t>
      </w:r>
      <w:r w:rsidR="00EE2FC1">
        <w:t xml:space="preserve"> delivery</w:t>
      </w:r>
      <w:r w:rsidR="003E7761" w:rsidRPr="00050374">
        <w:t xml:space="preserve"> capabilities.</w:t>
      </w:r>
      <w:r w:rsidR="003E7761" w:rsidRPr="00050374">
        <w:rPr>
          <w:rStyle w:val="FootnoteReference"/>
        </w:rPr>
        <w:footnoteReference w:id="1"/>
      </w:r>
      <w:r w:rsidR="003E7761" w:rsidRPr="00050374">
        <w:t xml:space="preserve">  In evaluating the AMP and DRRC contracts, it is critical to distinguish between their ability to follow pre-specified schedules for building resource</w:t>
      </w:r>
      <w:r w:rsidR="004F6B7C" w:rsidRPr="00050374">
        <w:t>s</w:t>
      </w:r>
      <w:r w:rsidR="003E7761" w:rsidRPr="00050374">
        <w:t xml:space="preserve"> and the reliability </w:t>
      </w:r>
      <w:r w:rsidR="007B2DD3">
        <w:t>and predictability</w:t>
      </w:r>
      <w:r w:rsidR="003E7761" w:rsidRPr="00050374">
        <w:t xml:space="preserve"> of resources that are in existence.  In contrast, CBP</w:t>
      </w:r>
      <w:r w:rsidR="00313D2B">
        <w:t xml:space="preserve"> </w:t>
      </w:r>
      <w:r w:rsidR="003E7761" w:rsidRPr="00050374">
        <w:t>is more like a s</w:t>
      </w:r>
      <w:r w:rsidR="00567FEB">
        <w:t>hort-term contra</w:t>
      </w:r>
      <w:r w:rsidR="008808E4">
        <w:t>c</w:t>
      </w:r>
      <w:r w:rsidR="000D0277">
        <w:t>t</w:t>
      </w:r>
      <w:r w:rsidR="003E7761" w:rsidRPr="00050374">
        <w:t xml:space="preserve"> that allows all aggregators to bid in resources that lack a long</w:t>
      </w:r>
      <w:r w:rsidR="00956AA6">
        <w:t>-</w:t>
      </w:r>
      <w:r w:rsidR="003E7761" w:rsidRPr="00050374">
        <w:t xml:space="preserve">term contract.  It provides a standard offer </w:t>
      </w:r>
      <w:r w:rsidR="00956AA6">
        <w:t xml:space="preserve">that is </w:t>
      </w:r>
      <w:r w:rsidR="003E7761" w:rsidRPr="00050374">
        <w:t xml:space="preserve">open to all aggregators and only </w:t>
      </w:r>
      <w:r w:rsidR="00EE2FC1">
        <w:t xml:space="preserve">requires them to </w:t>
      </w:r>
      <w:r w:rsidR="003E7761" w:rsidRPr="00050374">
        <w:t xml:space="preserve">commit demand reduction resources one month at a time.  </w:t>
      </w:r>
    </w:p>
    <w:p w:rsidR="00265FA0" w:rsidRDefault="003E7761" w:rsidP="003E7761">
      <w:pPr>
        <w:pStyle w:val="BodyParagraph"/>
      </w:pPr>
      <w:r w:rsidRPr="00050374">
        <w:lastRenderedPageBreak/>
        <w:t>The</w:t>
      </w:r>
      <w:r w:rsidR="00265FA0">
        <w:t xml:space="preserve"> aggregator</w:t>
      </w:r>
      <w:r w:rsidRPr="00050374">
        <w:t xml:space="preserve"> programs have grown substantially between 2008 and 201</w:t>
      </w:r>
      <w:r w:rsidR="00C63E38">
        <w:t>1</w:t>
      </w:r>
      <w:r w:rsidRPr="00050374">
        <w:t xml:space="preserve"> and </w:t>
      </w:r>
      <w:r w:rsidR="00265FA0">
        <w:t>may</w:t>
      </w:r>
      <w:r w:rsidRPr="00050374">
        <w:t xml:space="preserve"> continue to grow </w:t>
      </w:r>
      <w:r w:rsidR="00EE2FC1">
        <w:t>in the future</w:t>
      </w:r>
      <w:r w:rsidRPr="00050374">
        <w:t xml:space="preserve">.  Between 2008 and June 2011, </w:t>
      </w:r>
      <w:r w:rsidR="00265FA0">
        <w:t xml:space="preserve">participation in the </w:t>
      </w:r>
      <w:r w:rsidRPr="00050374">
        <w:t xml:space="preserve">aggregator contracts across all </w:t>
      </w:r>
      <w:r w:rsidR="00147655">
        <w:t>three</w:t>
      </w:r>
      <w:r w:rsidRPr="00050374">
        <w:t xml:space="preserve"> utilities grew from less than 1,000 to over 4,000</w:t>
      </w:r>
      <w:r w:rsidR="00901955">
        <w:t xml:space="preserve"> accounts</w:t>
      </w:r>
      <w:r w:rsidRPr="00050374">
        <w:t>.</w:t>
      </w:r>
      <w:r w:rsidRPr="00050374">
        <w:rPr>
          <w:rStyle w:val="FootnoteReference"/>
        </w:rPr>
        <w:footnoteReference w:id="2"/>
      </w:r>
      <w:r w:rsidRPr="00050374">
        <w:t xml:space="preserve">  </w:t>
      </w:r>
    </w:p>
    <w:p w:rsidR="00A73F2B" w:rsidRDefault="00265FA0" w:rsidP="00BA25E2">
      <w:pPr>
        <w:pStyle w:val="Heading2"/>
      </w:pPr>
      <w:bookmarkStart w:id="14" w:name="_Toc326073999"/>
      <w:r>
        <w:t>Program Summaries</w:t>
      </w:r>
      <w:bookmarkEnd w:id="14"/>
    </w:p>
    <w:p w:rsidR="00712ADA" w:rsidRDefault="00C63E38">
      <w:pPr>
        <w:pStyle w:val="BodyParagraph"/>
      </w:pPr>
      <w:r>
        <w:t xml:space="preserve">This subsection contains a brief overview of each of the aggregator programs evaluated in this report.  </w:t>
      </w:r>
    </w:p>
    <w:p w:rsidR="00A73F2B" w:rsidRDefault="003E7761" w:rsidP="00BA25E2">
      <w:pPr>
        <w:pStyle w:val="Heading3"/>
      </w:pPr>
      <w:r w:rsidRPr="00050374">
        <w:t xml:space="preserve"> </w:t>
      </w:r>
      <w:bookmarkStart w:id="15" w:name="_Toc326074000"/>
      <w:r w:rsidR="00147655" w:rsidRPr="00BA25E2">
        <w:t>Statewide</w:t>
      </w:r>
      <w:r w:rsidR="00147655">
        <w:t xml:space="preserve"> </w:t>
      </w:r>
      <w:r w:rsidR="002F534E">
        <w:t>Capacity Bidding Program</w:t>
      </w:r>
      <w:bookmarkEnd w:id="15"/>
    </w:p>
    <w:p w:rsidR="00270ED1" w:rsidRPr="00270ED1" w:rsidRDefault="002F534E" w:rsidP="00270ED1">
      <w:pPr>
        <w:pStyle w:val="BodyParagraph"/>
      </w:pPr>
      <w:r>
        <w:t>CBP is a statewide price-responsive program that was developed in 2006 and implemented in 2007, succeeding the California Power Authority Demand Reserves Partnership (CPA-DRP) program that was terminated in 2006.</w:t>
      </w:r>
      <w:r w:rsidR="00CD31F9">
        <w:t xml:space="preserve"> </w:t>
      </w:r>
      <w:r>
        <w:t xml:space="preserve"> CBP is designed for customers with </w:t>
      </w:r>
      <w:r w:rsidR="00CD31F9">
        <w:t xml:space="preserve">interval metering, offering </w:t>
      </w:r>
      <w:r>
        <w:t>participants (customers or aggregators) monthly capacity payments based on the amount of load reduction nominated and made available each month, plus additional energy payments (for bundled customers only) based on the kWh reduction when a CBP event is called.</w:t>
      </w:r>
      <w:r w:rsidR="000D0277">
        <w:t xml:space="preserve">  In 2011, all customers participated through aggregators.</w:t>
      </w:r>
      <w:r w:rsidR="00CD31F9">
        <w:t xml:space="preserve"> </w:t>
      </w:r>
      <w:r w:rsidR="000D0277">
        <w:t xml:space="preserve"> </w:t>
      </w:r>
      <w:r>
        <w:t xml:space="preserve">The program allows </w:t>
      </w:r>
      <w:r w:rsidR="000D0277">
        <w:t>aggregators</w:t>
      </w:r>
      <w:r w:rsidR="00734048">
        <w:t xml:space="preserve"> and direct participants</w:t>
      </w:r>
      <w:r>
        <w:t xml:space="preserve"> to adjust</w:t>
      </w:r>
      <w:r w:rsidR="000D0277">
        <w:t xml:space="preserve"> their demand reduction commitments (</w:t>
      </w:r>
      <w:r>
        <w:t>nominat</w:t>
      </w:r>
      <w:r w:rsidR="000D0277">
        <w:t>ed MW)</w:t>
      </w:r>
      <w:r>
        <w:t xml:space="preserve"> each month, and to select the </w:t>
      </w:r>
      <w:r w:rsidR="000D0277">
        <w:t xml:space="preserve">program </w:t>
      </w:r>
      <w:r>
        <w:t>option</w:t>
      </w:r>
      <w:r w:rsidR="000D0277">
        <w:t>s</w:t>
      </w:r>
      <w:r>
        <w:t xml:space="preserve"> in which to nominate</w:t>
      </w:r>
      <w:r w:rsidR="000D0277">
        <w:t xml:space="preserve"> customer</w:t>
      </w:r>
      <w:r>
        <w:t xml:space="preserve"> </w:t>
      </w:r>
      <w:r w:rsidR="00734048">
        <w:t xml:space="preserve">accounts </w:t>
      </w:r>
      <w:r w:rsidR="000D0277">
        <w:t>in their portfolio</w:t>
      </w:r>
      <w:r>
        <w:t xml:space="preserve">. </w:t>
      </w:r>
      <w:r w:rsidR="00CD31F9">
        <w:t xml:space="preserve"> </w:t>
      </w:r>
      <w:r>
        <w:t>The p</w:t>
      </w:r>
      <w:r w:rsidR="00CD31F9">
        <w:t xml:space="preserve">rogram options include both </w:t>
      </w:r>
      <w:proofErr w:type="gramStart"/>
      <w:r w:rsidR="00F95446">
        <w:t>day-</w:t>
      </w:r>
      <w:proofErr w:type="gramEnd"/>
      <w:r w:rsidR="00F95446">
        <w:t>of</w:t>
      </w:r>
      <w:r w:rsidR="00CD31F9">
        <w:t xml:space="preserve"> and </w:t>
      </w:r>
      <w:r w:rsidR="00F95446">
        <w:t>day-ahead</w:t>
      </w:r>
      <w:r>
        <w:t xml:space="preserve"> </w:t>
      </w:r>
      <w:r w:rsidR="000D0277">
        <w:t xml:space="preserve">event </w:t>
      </w:r>
      <w:r>
        <w:t>no</w:t>
      </w:r>
      <w:r w:rsidR="000D0277">
        <w:t>tification</w:t>
      </w:r>
      <w:r>
        <w:t xml:space="preserve"> for one of the following event windows: 1 to 4 hours, 2 to 6 hours or 4 to 8</w:t>
      </w:r>
      <w:r w:rsidR="00270ED1">
        <w:t> </w:t>
      </w:r>
      <w:r>
        <w:t>hours.</w:t>
      </w:r>
    </w:p>
    <w:p w:rsidR="00270ED1" w:rsidRPr="00270ED1" w:rsidRDefault="002F534E">
      <w:pPr>
        <w:pStyle w:val="BodyParagraph"/>
      </w:pPr>
      <w:r>
        <w:t>CBP is available to bundled service, Direct Access, and Communi</w:t>
      </w:r>
      <w:r w:rsidR="009D593F">
        <w:t>ty Choice Aggregation customers</w:t>
      </w:r>
      <w:r w:rsidR="006E67CE">
        <w:t>;</w:t>
      </w:r>
      <w:r>
        <w:t xml:space="preserve"> customers </w:t>
      </w:r>
      <w:r w:rsidR="009D593F">
        <w:t xml:space="preserve">can </w:t>
      </w:r>
      <w:r>
        <w:t>participate through third-party aggregation or self-aggregation</w:t>
      </w:r>
      <w:r w:rsidR="00A6266A">
        <w:t xml:space="preserve">.  </w:t>
      </w:r>
      <w:r>
        <w:t>Customers enrolled in CBP are allowed to participate in another demand response program, as long as the dual participation rules are met</w:t>
      </w:r>
      <w:r w:rsidR="00CD31F9">
        <w:t xml:space="preserve"> (</w:t>
      </w:r>
      <w:r w:rsidR="001D5412" w:rsidRPr="001D5412">
        <w:rPr>
          <w:i/>
        </w:rPr>
        <w:t>i.e.</w:t>
      </w:r>
      <w:r>
        <w:t>, the other program must be an energy-payment program and the two programs cannot have the same notification</w:t>
      </w:r>
      <w:r w:rsidR="00CD31F9">
        <w:t xml:space="preserve">, </w:t>
      </w:r>
      <w:r w:rsidR="00F95446">
        <w:t>day-ahead</w:t>
      </w:r>
      <w:r>
        <w:t xml:space="preserve"> or </w:t>
      </w:r>
      <w:r w:rsidR="00F95446">
        <w:t>day-of</w:t>
      </w:r>
      <w:r>
        <w:t xml:space="preserve">). </w:t>
      </w:r>
      <w:r w:rsidR="00CD31F9">
        <w:t xml:space="preserve"> </w:t>
      </w:r>
      <w:r>
        <w:t>CBP may have minimum load criteria for participation, depending on the tariff of the utility.</w:t>
      </w:r>
    </w:p>
    <w:p w:rsidR="009555F5" w:rsidRDefault="002F534E">
      <w:pPr>
        <w:pStyle w:val="BodyBeforeBullet"/>
      </w:pPr>
      <w:r>
        <w:t>A CBP event may be called between May 1 and October 31 between</w:t>
      </w:r>
      <w:r w:rsidR="00CD31F9">
        <w:t xml:space="preserve"> the hours of 11 AM and 7 PM</w:t>
      </w:r>
      <w:r>
        <w:t xml:space="preserve"> Monday through Friday, excluding holidays. </w:t>
      </w:r>
      <w:r w:rsidR="00A6266A">
        <w:t xml:space="preserve"> </w:t>
      </w:r>
      <w:r>
        <w:t xml:space="preserve">A CBP event can be triggered when electric generation facilities with heat rates of 15,000 Btu/kWh or greater are expected to be dispatched. </w:t>
      </w:r>
      <w:r w:rsidR="00A6266A">
        <w:t xml:space="preserve"> </w:t>
      </w:r>
      <w:r>
        <w:t>The trigger may be caused by any of the following conditions:</w:t>
      </w:r>
    </w:p>
    <w:p w:rsidR="009555F5" w:rsidRDefault="006E67CE">
      <w:pPr>
        <w:pStyle w:val="Bullets"/>
        <w:rPr>
          <w:i/>
          <w:iCs/>
        </w:rPr>
      </w:pPr>
      <w:r>
        <w:t>H</w:t>
      </w:r>
      <w:r w:rsidR="002F534E">
        <w:t>igh temperatures</w:t>
      </w:r>
      <w:r>
        <w:t>;</w:t>
      </w:r>
    </w:p>
    <w:p w:rsidR="009555F5" w:rsidRDefault="006E67CE">
      <w:pPr>
        <w:pStyle w:val="Bullets"/>
        <w:rPr>
          <w:i/>
          <w:iCs/>
        </w:rPr>
      </w:pPr>
      <w:r>
        <w:t>R</w:t>
      </w:r>
      <w:r w:rsidR="002F534E">
        <w:t>esource limitations</w:t>
      </w:r>
      <w:r>
        <w:t>;</w:t>
      </w:r>
    </w:p>
    <w:p w:rsidR="009555F5" w:rsidRDefault="006E67CE">
      <w:pPr>
        <w:pStyle w:val="Bullets"/>
        <w:rPr>
          <w:i/>
          <w:iCs/>
        </w:rPr>
      </w:pPr>
      <w:r>
        <w:t>A</w:t>
      </w:r>
      <w:r w:rsidR="002F534E">
        <w:t xml:space="preserve"> generating unit outage</w:t>
      </w:r>
      <w:r>
        <w:t>;</w:t>
      </w:r>
    </w:p>
    <w:p w:rsidR="009555F5" w:rsidRDefault="006E67CE">
      <w:pPr>
        <w:pStyle w:val="Bullets"/>
        <w:rPr>
          <w:i/>
          <w:iCs/>
        </w:rPr>
      </w:pPr>
      <w:r>
        <w:t>T</w:t>
      </w:r>
      <w:r w:rsidR="002F534E">
        <w:t>ransmission constraints</w:t>
      </w:r>
      <w:r>
        <w:t>;</w:t>
      </w:r>
    </w:p>
    <w:p w:rsidR="009555F5" w:rsidRDefault="006E67CE">
      <w:pPr>
        <w:pStyle w:val="Bullets"/>
        <w:rPr>
          <w:i/>
          <w:iCs/>
        </w:rPr>
      </w:pPr>
      <w:r>
        <w:t>A</w:t>
      </w:r>
      <w:r w:rsidR="002F534E">
        <w:t>n alert called by the California Independent System Operator (CAISO)</w:t>
      </w:r>
      <w:r>
        <w:t>;</w:t>
      </w:r>
      <w:r w:rsidR="002F534E">
        <w:t xml:space="preserve"> or </w:t>
      </w:r>
    </w:p>
    <w:p w:rsidR="009555F5" w:rsidRDefault="006E67CE">
      <w:pPr>
        <w:pStyle w:val="BulletLast"/>
        <w:rPr>
          <w:i/>
          <w:iCs/>
        </w:rPr>
      </w:pPr>
      <w:r>
        <w:t>A</w:t>
      </w:r>
      <w:r w:rsidR="002F534E">
        <w:t xml:space="preserve"> system emergency. </w:t>
      </w:r>
      <w:r w:rsidR="00A6266A">
        <w:t xml:space="preserve"> </w:t>
      </w:r>
    </w:p>
    <w:p w:rsidR="009555F5" w:rsidRDefault="002F534E">
      <w:pPr>
        <w:pStyle w:val="BodyBeforeBullet"/>
        <w:rPr>
          <w:rFonts w:cs="Arial"/>
          <w:color w:val="000000"/>
          <w:szCs w:val="20"/>
        </w:rPr>
      </w:pPr>
      <w:r>
        <w:t>Particip</w:t>
      </w:r>
      <w:r w:rsidR="00CD31F9">
        <w:t xml:space="preserve">ants </w:t>
      </w:r>
      <w:r>
        <w:t xml:space="preserve">in CBP are compensated with monthly capacity payments based on the amount of load reduction nominated each month (whether an event is called or not), plus bundled customers receive </w:t>
      </w:r>
      <w:r>
        <w:lastRenderedPageBreak/>
        <w:t>an additional energy payment based on the kWh reduction when a CBP event is called.</w:t>
      </w:r>
      <w:r w:rsidR="00A6266A">
        <w:t xml:space="preserve"> </w:t>
      </w:r>
      <w:r>
        <w:t xml:space="preserve"> </w:t>
      </w:r>
      <w:r w:rsidR="00C63E38">
        <w:t>More details about t</w:t>
      </w:r>
      <w:r>
        <w:rPr>
          <w:rFonts w:cs="Arial"/>
          <w:color w:val="000000"/>
          <w:szCs w:val="20"/>
        </w:rPr>
        <w:t>he CBP tariffs are available online</w:t>
      </w:r>
      <w:r w:rsidR="00C63E38">
        <w:rPr>
          <w:rFonts w:cs="Arial"/>
          <w:color w:val="000000"/>
          <w:szCs w:val="20"/>
        </w:rPr>
        <w:t xml:space="preserve"> at</w:t>
      </w:r>
      <w:r>
        <w:rPr>
          <w:rFonts w:cs="Arial"/>
          <w:color w:val="000000"/>
          <w:szCs w:val="20"/>
        </w:rPr>
        <w:t>:</w:t>
      </w:r>
    </w:p>
    <w:p w:rsidR="00A73F2B" w:rsidRPr="00595F52" w:rsidRDefault="001D5412">
      <w:pPr>
        <w:pStyle w:val="Bullets"/>
        <w:rPr>
          <w:lang w:val="de-DE"/>
        </w:rPr>
      </w:pPr>
      <w:r w:rsidRPr="001D5412">
        <w:rPr>
          <w:color w:val="000000"/>
          <w:lang w:val="de-DE"/>
        </w:rPr>
        <w:t xml:space="preserve">PG&amp;E – </w:t>
      </w:r>
      <w:r w:rsidRPr="001D5412">
        <w:rPr>
          <w:lang w:val="de-DE"/>
        </w:rPr>
        <w:t>http://www.pge.com/tariffs/tm2/pdf/ELEC_SCHEDS_E-CBP.pdf</w:t>
      </w:r>
    </w:p>
    <w:p w:rsidR="00A73F2B" w:rsidRPr="00595F52" w:rsidRDefault="001D5412">
      <w:pPr>
        <w:pStyle w:val="Bullets"/>
        <w:rPr>
          <w:lang w:val="de-DE"/>
        </w:rPr>
      </w:pPr>
      <w:r w:rsidRPr="001D5412">
        <w:rPr>
          <w:color w:val="000000"/>
          <w:lang w:val="de-DE"/>
        </w:rPr>
        <w:t xml:space="preserve">SDG&amp;E – </w:t>
      </w:r>
      <w:r w:rsidRPr="001D5412">
        <w:rPr>
          <w:lang w:val="de-DE"/>
        </w:rPr>
        <w:t>http://sdge.com/tm2/pdf/ELEC_ELEC-SCHEDS_CBP.pdf</w:t>
      </w:r>
    </w:p>
    <w:p w:rsidR="00270ED1" w:rsidRDefault="002F534E" w:rsidP="008C492F">
      <w:pPr>
        <w:pStyle w:val="BulletLast"/>
        <w:spacing w:after="240"/>
      </w:pPr>
      <w:r w:rsidRPr="008808E4">
        <w:rPr>
          <w:color w:val="000000"/>
        </w:rPr>
        <w:t xml:space="preserve">SCE </w:t>
      </w:r>
      <w:r w:rsidR="008808E4">
        <w:rPr>
          <w:color w:val="000000"/>
        </w:rPr>
        <w:t xml:space="preserve">– </w:t>
      </w:r>
      <w:r w:rsidR="00394D98" w:rsidRPr="008808E4">
        <w:rPr>
          <w:szCs w:val="20"/>
        </w:rPr>
        <w:t>http://www.sce.com/cbp/forms.htm</w:t>
      </w:r>
      <w:r w:rsidR="00394D98" w:rsidRPr="008808E4">
        <w:t xml:space="preserve">  </w:t>
      </w:r>
    </w:p>
    <w:p w:rsidR="008C492F" w:rsidRPr="00BC7E65" w:rsidRDefault="008C492F" w:rsidP="008C492F">
      <w:pPr>
        <w:pStyle w:val="BodyParagraph"/>
        <w:rPr>
          <w:color w:val="000000" w:themeColor="text1"/>
        </w:rPr>
      </w:pPr>
      <w:r>
        <w:t xml:space="preserve">Table 2-1 shows the average number of accounts nominated at each utility during the 2011 summer by notification lead time and industry segment.  The number of accounts nominated for the program does not necessarily match the number of accounts called for specific events or for the average event.  The number of nominated accounts is also often lower than the number of enrolled accounts because </w:t>
      </w:r>
      <w:r w:rsidRPr="00BC7E65">
        <w:rPr>
          <w:color w:val="000000" w:themeColor="text1"/>
        </w:rPr>
        <w:t>aggregators typically do not nominate all the enrolled customers to resource portfolios.</w:t>
      </w:r>
    </w:p>
    <w:p w:rsidR="00A73F2B" w:rsidRDefault="00D921E2" w:rsidP="00BA25E2">
      <w:pPr>
        <w:pStyle w:val="TableFigureCaption"/>
        <w:rPr>
          <w:noProof/>
        </w:rPr>
      </w:pPr>
      <w:r>
        <w:t> </w:t>
      </w:r>
      <w:r w:rsidR="00013B2C">
        <w:t xml:space="preserve">Table </w:t>
      </w:r>
      <w:r w:rsidR="00A52143">
        <w:t>2</w:t>
      </w:r>
      <w:r w:rsidR="0006070E">
        <w:noBreakHyphen/>
      </w:r>
      <w:fldSimple w:instr=" STYLEREF 1 \s ">
        <w:r w:rsidR="00F66D5E">
          <w:rPr>
            <w:noProof/>
          </w:rPr>
          <w:t>2</w:t>
        </w:r>
      </w:fldSimple>
      <w:r w:rsidR="00F55000">
        <w:noBreakHyphen/>
      </w:r>
      <w:fldSimple w:instr=" SEQ Table \* ARABIC \s 1 ">
        <w:r w:rsidR="00F66D5E">
          <w:rPr>
            <w:noProof/>
          </w:rPr>
          <w:t>1</w:t>
        </w:r>
      </w:fldSimple>
      <w:r w:rsidR="00013B2C">
        <w:rPr>
          <w:noProof/>
        </w:rPr>
        <w:t>:</w:t>
      </w:r>
      <w:r w:rsidR="00011DE1">
        <w:rPr>
          <w:noProof/>
        </w:rPr>
        <w:t xml:space="preserve"> </w:t>
      </w:r>
      <w:r w:rsidR="003C584F">
        <w:t>Average Number of Accounts Nominated for CBP</w:t>
      </w:r>
      <w:r w:rsidR="00013B2C">
        <w:rPr>
          <w:noProof/>
        </w:rPr>
        <w:t xml:space="preserve">, by </w:t>
      </w:r>
      <w:r w:rsidR="00D10275">
        <w:rPr>
          <w:noProof/>
        </w:rPr>
        <w:t>U</w:t>
      </w:r>
      <w:r w:rsidR="00013B2C">
        <w:rPr>
          <w:noProof/>
        </w:rPr>
        <w:t xml:space="preserve">tility and </w:t>
      </w:r>
      <w:r w:rsidR="00D10275">
        <w:rPr>
          <w:noProof/>
        </w:rPr>
        <w:t>I</w:t>
      </w:r>
      <w:r w:rsidR="0006070E">
        <w:rPr>
          <w:noProof/>
        </w:rPr>
        <w:t>ndustry</w:t>
      </w:r>
      <w:r w:rsidR="008C492F">
        <w:rPr>
          <w:rStyle w:val="FootnoteReference"/>
          <w:noProof/>
        </w:rPr>
        <w:footnoteReference w:id="3"/>
      </w:r>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0"/>
        <w:gridCol w:w="3040"/>
        <w:gridCol w:w="1340"/>
        <w:gridCol w:w="1640"/>
        <w:gridCol w:w="960"/>
        <w:gridCol w:w="1580"/>
      </w:tblGrid>
      <w:tr w:rsidR="005C1492" w:rsidRPr="005C1492" w:rsidTr="00020540">
        <w:trPr>
          <w:trHeight w:val="300"/>
        </w:trPr>
        <w:tc>
          <w:tcPr>
            <w:tcW w:w="960" w:type="dxa"/>
            <w:vMerge w:val="restart"/>
            <w:tcBorders>
              <w:right w:val="single" w:sz="4" w:space="0" w:color="FFFFFF" w:themeColor="background1"/>
            </w:tcBorders>
            <w:shd w:val="clear" w:color="000000" w:fill="376091"/>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FFFFFF"/>
                <w:sz w:val="16"/>
                <w:szCs w:val="16"/>
              </w:rPr>
            </w:pPr>
            <w:r w:rsidRPr="005C1492">
              <w:rPr>
                <w:rFonts w:ascii="Arial" w:eastAsia="Times New Roman" w:hAnsi="Arial" w:cs="Arial"/>
                <w:b/>
                <w:bCs/>
                <w:color w:val="FFFFFF"/>
                <w:sz w:val="16"/>
                <w:szCs w:val="16"/>
              </w:rPr>
              <w:t>IOU</w:t>
            </w:r>
          </w:p>
        </w:tc>
        <w:tc>
          <w:tcPr>
            <w:tcW w:w="3040" w:type="dxa"/>
            <w:vMerge w:val="restart"/>
            <w:tcBorders>
              <w:left w:val="single" w:sz="4" w:space="0" w:color="FFFFFF" w:themeColor="background1"/>
              <w:right w:val="single" w:sz="4" w:space="0" w:color="FFFFFF" w:themeColor="background1"/>
            </w:tcBorders>
            <w:shd w:val="clear" w:color="000000" w:fill="376091"/>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FFFFFF"/>
                <w:sz w:val="16"/>
                <w:szCs w:val="16"/>
              </w:rPr>
            </w:pPr>
            <w:r w:rsidRPr="005C1492">
              <w:rPr>
                <w:rFonts w:ascii="Arial" w:eastAsia="Times New Roman" w:hAnsi="Arial" w:cs="Arial"/>
                <w:b/>
                <w:bCs/>
                <w:color w:val="FFFFFF"/>
                <w:sz w:val="16"/>
                <w:szCs w:val="16"/>
              </w:rPr>
              <w:t>Industry</w:t>
            </w:r>
          </w:p>
        </w:tc>
        <w:tc>
          <w:tcPr>
            <w:tcW w:w="2980" w:type="dxa"/>
            <w:gridSpan w:val="2"/>
            <w:tcBorders>
              <w:left w:val="single" w:sz="4" w:space="0" w:color="FFFFFF" w:themeColor="background1"/>
              <w:bottom w:val="single" w:sz="4" w:space="0" w:color="FFFFFF" w:themeColor="background1"/>
              <w:right w:val="single" w:sz="4" w:space="0" w:color="FFFFFF" w:themeColor="background1"/>
            </w:tcBorders>
            <w:shd w:val="clear" w:color="000000" w:fill="376091"/>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FFFFFF"/>
                <w:sz w:val="16"/>
                <w:szCs w:val="16"/>
              </w:rPr>
            </w:pPr>
            <w:r w:rsidRPr="005C1492">
              <w:rPr>
                <w:rFonts w:ascii="Arial" w:eastAsia="Times New Roman" w:hAnsi="Arial" w:cs="Arial"/>
                <w:b/>
                <w:bCs/>
                <w:color w:val="FFFFFF"/>
                <w:sz w:val="16"/>
                <w:szCs w:val="16"/>
              </w:rPr>
              <w:t>Day-Ahead</w:t>
            </w:r>
          </w:p>
        </w:tc>
        <w:tc>
          <w:tcPr>
            <w:tcW w:w="2540" w:type="dxa"/>
            <w:gridSpan w:val="2"/>
            <w:tcBorders>
              <w:left w:val="single" w:sz="4" w:space="0" w:color="FFFFFF" w:themeColor="background1"/>
              <w:bottom w:val="single" w:sz="4" w:space="0" w:color="FFFFFF" w:themeColor="background1"/>
            </w:tcBorders>
            <w:shd w:val="clear" w:color="000000" w:fill="376091"/>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FFFFFF"/>
                <w:sz w:val="16"/>
                <w:szCs w:val="16"/>
              </w:rPr>
            </w:pPr>
            <w:r w:rsidRPr="005C1492">
              <w:rPr>
                <w:rFonts w:ascii="Arial" w:eastAsia="Times New Roman" w:hAnsi="Arial" w:cs="Arial"/>
                <w:b/>
                <w:bCs/>
                <w:color w:val="FFFFFF"/>
                <w:sz w:val="16"/>
                <w:szCs w:val="16"/>
              </w:rPr>
              <w:t>Day-Of</w:t>
            </w:r>
          </w:p>
        </w:tc>
      </w:tr>
      <w:tr w:rsidR="005C1492" w:rsidRPr="005C1492" w:rsidTr="00020540">
        <w:trPr>
          <w:trHeight w:val="804"/>
        </w:trPr>
        <w:tc>
          <w:tcPr>
            <w:tcW w:w="960" w:type="dxa"/>
            <w:vMerge/>
            <w:tcBorders>
              <w:right w:val="single" w:sz="4" w:space="0" w:color="FFFFFF" w:themeColor="background1"/>
            </w:tcBorders>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b/>
                <w:bCs/>
                <w:color w:val="FFFFFF"/>
                <w:sz w:val="16"/>
                <w:szCs w:val="16"/>
              </w:rPr>
            </w:pPr>
          </w:p>
        </w:tc>
        <w:tc>
          <w:tcPr>
            <w:tcW w:w="3040" w:type="dxa"/>
            <w:vMerge/>
            <w:tcBorders>
              <w:left w:val="single" w:sz="4" w:space="0" w:color="FFFFFF" w:themeColor="background1"/>
              <w:right w:val="single" w:sz="4" w:space="0" w:color="FFFFFF" w:themeColor="background1"/>
            </w:tcBorders>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b/>
                <w:bCs/>
                <w:color w:val="FFFFFF"/>
                <w:sz w:val="16"/>
                <w:szCs w:val="16"/>
              </w:rPr>
            </w:pPr>
          </w:p>
        </w:tc>
        <w:tc>
          <w:tcPr>
            <w:tcW w:w="1340" w:type="dxa"/>
            <w:tcBorders>
              <w:top w:val="single" w:sz="4" w:space="0" w:color="FFFFFF" w:themeColor="background1"/>
              <w:left w:val="single" w:sz="4" w:space="0" w:color="FFFFFF" w:themeColor="background1"/>
              <w:right w:val="single" w:sz="4" w:space="0" w:color="FFFFFF" w:themeColor="background1"/>
            </w:tcBorders>
            <w:shd w:val="clear" w:color="000000" w:fill="376091"/>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FFFFFF"/>
                <w:sz w:val="16"/>
                <w:szCs w:val="16"/>
              </w:rPr>
            </w:pPr>
            <w:r w:rsidRPr="005C1492">
              <w:rPr>
                <w:rFonts w:ascii="Arial" w:eastAsia="Times New Roman" w:hAnsi="Arial" w:cs="Arial"/>
                <w:b/>
                <w:bCs/>
                <w:color w:val="FFFFFF"/>
                <w:sz w:val="16"/>
                <w:szCs w:val="16"/>
              </w:rPr>
              <w:t>Accounts</w:t>
            </w:r>
          </w:p>
        </w:tc>
        <w:tc>
          <w:tcPr>
            <w:tcW w:w="1640" w:type="dxa"/>
            <w:tcBorders>
              <w:top w:val="single" w:sz="4" w:space="0" w:color="FFFFFF" w:themeColor="background1"/>
              <w:left w:val="single" w:sz="4" w:space="0" w:color="FFFFFF" w:themeColor="background1"/>
              <w:right w:val="single" w:sz="4" w:space="0" w:color="FFFFFF" w:themeColor="background1"/>
            </w:tcBorders>
            <w:shd w:val="clear" w:color="000000" w:fill="376091"/>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FFFFFF"/>
                <w:sz w:val="16"/>
                <w:szCs w:val="16"/>
              </w:rPr>
            </w:pPr>
            <w:r w:rsidRPr="005C1492">
              <w:rPr>
                <w:rFonts w:ascii="Arial" w:eastAsia="Times New Roman" w:hAnsi="Arial" w:cs="Arial"/>
                <w:b/>
                <w:bCs/>
                <w:color w:val="FFFFFF"/>
                <w:sz w:val="16"/>
                <w:szCs w:val="16"/>
              </w:rPr>
              <w:t>Aggregate Avg. Summer Max Demand (MW)</w:t>
            </w:r>
          </w:p>
        </w:tc>
        <w:tc>
          <w:tcPr>
            <w:tcW w:w="960" w:type="dxa"/>
            <w:tcBorders>
              <w:top w:val="single" w:sz="4" w:space="0" w:color="FFFFFF" w:themeColor="background1"/>
              <w:left w:val="single" w:sz="4" w:space="0" w:color="FFFFFF" w:themeColor="background1"/>
              <w:right w:val="single" w:sz="4" w:space="0" w:color="FFFFFF" w:themeColor="background1"/>
            </w:tcBorders>
            <w:shd w:val="clear" w:color="000000" w:fill="376091"/>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FFFFFF"/>
                <w:sz w:val="16"/>
                <w:szCs w:val="16"/>
              </w:rPr>
            </w:pPr>
            <w:r w:rsidRPr="005C1492">
              <w:rPr>
                <w:rFonts w:ascii="Arial" w:eastAsia="Times New Roman" w:hAnsi="Arial" w:cs="Arial"/>
                <w:b/>
                <w:bCs/>
                <w:color w:val="FFFFFF"/>
                <w:sz w:val="16"/>
                <w:szCs w:val="16"/>
              </w:rPr>
              <w:t>Accounts</w:t>
            </w:r>
          </w:p>
        </w:tc>
        <w:tc>
          <w:tcPr>
            <w:tcW w:w="1580" w:type="dxa"/>
            <w:tcBorders>
              <w:top w:val="single" w:sz="4" w:space="0" w:color="FFFFFF" w:themeColor="background1"/>
              <w:left w:val="single" w:sz="4" w:space="0" w:color="FFFFFF" w:themeColor="background1"/>
            </w:tcBorders>
            <w:shd w:val="clear" w:color="000000" w:fill="376091"/>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FFFFFF"/>
                <w:sz w:val="16"/>
                <w:szCs w:val="16"/>
              </w:rPr>
            </w:pPr>
            <w:r w:rsidRPr="005C1492">
              <w:rPr>
                <w:rFonts w:ascii="Arial" w:eastAsia="Times New Roman" w:hAnsi="Arial" w:cs="Arial"/>
                <w:b/>
                <w:bCs/>
                <w:color w:val="FFFFFF"/>
                <w:sz w:val="16"/>
                <w:szCs w:val="16"/>
              </w:rPr>
              <w:t>Aggregate Avg. Summer Max Demand (MW)</w:t>
            </w:r>
          </w:p>
        </w:tc>
      </w:tr>
      <w:tr w:rsidR="005C1492" w:rsidRPr="005C1492" w:rsidTr="00020540">
        <w:trPr>
          <w:trHeight w:hRule="exact" w:val="245"/>
        </w:trPr>
        <w:tc>
          <w:tcPr>
            <w:tcW w:w="960" w:type="dxa"/>
            <w:vMerge w:val="restart"/>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PG&amp;E</w:t>
            </w: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000000"/>
                <w:sz w:val="16"/>
                <w:szCs w:val="16"/>
              </w:rPr>
            </w:pPr>
            <w:r w:rsidRPr="005C1492">
              <w:rPr>
                <w:rFonts w:ascii="Arial" w:eastAsia="Times New Roman" w:hAnsi="Arial" w:cs="Arial"/>
                <w:b/>
                <w:bCs/>
                <w:color w:val="000000"/>
                <w:sz w:val="16"/>
                <w:szCs w:val="16"/>
              </w:rPr>
              <w:t>All Customers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000000"/>
                <w:sz w:val="16"/>
                <w:szCs w:val="16"/>
              </w:rPr>
            </w:pPr>
            <w:r w:rsidRPr="005C1492">
              <w:rPr>
                <w:rFonts w:ascii="Arial" w:eastAsia="Times New Roman" w:hAnsi="Arial" w:cs="Arial"/>
                <w:b/>
                <w:bCs/>
                <w:color w:val="000000"/>
                <w:sz w:val="16"/>
                <w:szCs w:val="16"/>
              </w:rPr>
              <w:t>194</w:t>
            </w:r>
            <w:r w:rsidRPr="005C1492">
              <w:rPr>
                <w:rFonts w:ascii="Calibri" w:eastAsia="Times New Roman" w:hAnsi="Calibri" w:cs="Calibri"/>
                <w:color w:val="000000"/>
                <w:sz w:val="16"/>
                <w:szCs w:val="16"/>
              </w:rPr>
              <w:t> </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59.4</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237 </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89.9</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Agriculture, Mining &amp; Construction</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114</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8.9</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11</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4.8</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Hotels and Apartment Buildings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2</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3.4</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14</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6.4</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Institutional/Government</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 0</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3</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0.6</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Manufacturing</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16</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26.9</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13</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13.3</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Offices, Finance, Services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7</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8</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Other or unknown</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2</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Retail stores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50</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12.3</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175</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50.4</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Schools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3.3</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2.1</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Water Districts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5</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1.8</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Wholesale, Transport, other utilities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8</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4.5</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8</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2.5</w:t>
            </w:r>
          </w:p>
        </w:tc>
      </w:tr>
      <w:tr w:rsidR="005C1492" w:rsidRPr="005C1492" w:rsidTr="00020540">
        <w:trPr>
          <w:trHeight w:hRule="exact" w:val="245"/>
        </w:trPr>
        <w:tc>
          <w:tcPr>
            <w:tcW w:w="960" w:type="dxa"/>
            <w:vMerge w:val="restart"/>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SCE</w:t>
            </w: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000000"/>
                <w:sz w:val="16"/>
                <w:szCs w:val="16"/>
              </w:rPr>
            </w:pPr>
            <w:r w:rsidRPr="005C1492">
              <w:rPr>
                <w:rFonts w:ascii="Arial" w:eastAsia="Times New Roman" w:hAnsi="Arial" w:cs="Arial"/>
                <w:b/>
                <w:bCs/>
                <w:color w:val="000000"/>
                <w:sz w:val="16"/>
                <w:szCs w:val="16"/>
              </w:rPr>
              <w:t>All Customers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000000"/>
                <w:sz w:val="16"/>
                <w:szCs w:val="16"/>
              </w:rPr>
            </w:pPr>
            <w:r w:rsidRPr="005C1492">
              <w:rPr>
                <w:rFonts w:ascii="Arial" w:eastAsia="Times New Roman" w:hAnsi="Arial" w:cs="Arial"/>
                <w:b/>
                <w:bCs/>
                <w:color w:val="000000"/>
                <w:sz w:val="16"/>
                <w:szCs w:val="16"/>
              </w:rPr>
              <w:t>113</w:t>
            </w:r>
            <w:r w:rsidRPr="005C1492">
              <w:rPr>
                <w:rFonts w:ascii="Calibri" w:eastAsia="Times New Roman" w:hAnsi="Calibri" w:cs="Calibri"/>
                <w:color w:val="000000"/>
                <w:sz w:val="16"/>
                <w:szCs w:val="16"/>
              </w:rPr>
              <w:t> </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Arial" w:hAnsi="Arial" w:cs="Arial"/>
                <w:color w:val="000000"/>
                <w:sz w:val="16"/>
                <w:szCs w:val="16"/>
              </w:rPr>
              <w:t>20.7</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Arial" w:hAnsi="Arial" w:cs="Arial"/>
                <w:color w:val="000000"/>
                <w:sz w:val="16"/>
                <w:szCs w:val="16"/>
              </w:rPr>
              <w:t>435 </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Arial" w:hAnsi="Arial" w:cs="Arial"/>
                <w:color w:val="000000"/>
                <w:sz w:val="16"/>
                <w:szCs w:val="16"/>
              </w:rPr>
              <w:t>106.8</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Institutional/Government</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42</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5.8</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Manufacturing</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1.2</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Offices, Finance, Services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4</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1.7</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Retail stores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107</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17.1</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392</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100.7</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Wholesale, Transport, other utilities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0.7</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0.4</w:t>
            </w:r>
          </w:p>
        </w:tc>
      </w:tr>
      <w:tr w:rsidR="005C1492" w:rsidRPr="005C1492" w:rsidTr="00020540">
        <w:trPr>
          <w:trHeight w:hRule="exact" w:val="245"/>
        </w:trPr>
        <w:tc>
          <w:tcPr>
            <w:tcW w:w="960" w:type="dxa"/>
            <w:vMerge w:val="restart"/>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SDG&amp;E</w:t>
            </w: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000000"/>
                <w:sz w:val="16"/>
                <w:szCs w:val="16"/>
              </w:rPr>
            </w:pPr>
            <w:r w:rsidRPr="005C1492">
              <w:rPr>
                <w:rFonts w:ascii="Arial" w:eastAsia="Times New Roman" w:hAnsi="Arial" w:cs="Arial"/>
                <w:b/>
                <w:bCs/>
                <w:color w:val="000000"/>
                <w:sz w:val="16"/>
                <w:szCs w:val="16"/>
              </w:rPr>
              <w:t>All Customers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b/>
                <w:bCs/>
                <w:color w:val="000000"/>
                <w:sz w:val="16"/>
                <w:szCs w:val="16"/>
              </w:rPr>
            </w:pPr>
            <w:r w:rsidRPr="005C1492">
              <w:rPr>
                <w:rFonts w:ascii="Arial" w:eastAsia="Times New Roman" w:hAnsi="Arial" w:cs="Arial"/>
                <w:b/>
                <w:bCs/>
                <w:color w:val="000000"/>
                <w:sz w:val="16"/>
                <w:szCs w:val="16"/>
              </w:rPr>
              <w:t>54</w:t>
            </w:r>
            <w:r w:rsidRPr="005C1492">
              <w:rPr>
                <w:rFonts w:ascii="Calibri" w:eastAsia="Times New Roman" w:hAnsi="Calibri" w:cs="Calibri"/>
                <w:color w:val="000000"/>
                <w:sz w:val="16"/>
                <w:szCs w:val="16"/>
              </w:rPr>
              <w:t> </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Arial" w:hAnsi="Arial" w:cs="Arial"/>
                <w:color w:val="000000"/>
                <w:sz w:val="16"/>
                <w:szCs w:val="16"/>
              </w:rPr>
              <w:t>27.4</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Arial" w:hAnsi="Arial" w:cs="Arial"/>
                <w:color w:val="000000"/>
                <w:sz w:val="16"/>
                <w:szCs w:val="16"/>
              </w:rPr>
              <w:t>351 </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Arial" w:hAnsi="Arial" w:cs="Arial"/>
                <w:color w:val="000000"/>
                <w:sz w:val="16"/>
                <w:szCs w:val="16"/>
              </w:rPr>
              <w:t>74.4</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Agriculture, Mining &amp; Construction</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1.1</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Hotels and Apartment Buildings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15</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4.1</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Institutional/Government</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3</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0.6</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39</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4.5</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Manufacturing</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4</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10.4</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14</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3.6</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Offices, Finance, Services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29</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10.3</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15</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3.1</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Other or unknown</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12</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3.4</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Retail stores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14</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5.4</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240</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52.6</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Water Districts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4</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0.6</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11</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1.3</w:t>
            </w:r>
          </w:p>
        </w:tc>
      </w:tr>
      <w:tr w:rsidR="005C1492" w:rsidRPr="005C1492" w:rsidTr="00020540">
        <w:trPr>
          <w:trHeight w:hRule="exact" w:val="245"/>
        </w:trPr>
        <w:tc>
          <w:tcPr>
            <w:tcW w:w="960" w:type="dxa"/>
            <w:vMerge/>
            <w:tcMar>
              <w:left w:w="29" w:type="dxa"/>
              <w:right w:w="29" w:type="dxa"/>
            </w:tcMar>
            <w:vAlign w:val="center"/>
            <w:hideMark/>
          </w:tcPr>
          <w:p w:rsidR="005C1492" w:rsidRPr="005C1492" w:rsidRDefault="005C1492" w:rsidP="005C1492">
            <w:pPr>
              <w:spacing w:after="0" w:line="240" w:lineRule="auto"/>
              <w:rPr>
                <w:rFonts w:ascii="Arial" w:eastAsia="Times New Roman" w:hAnsi="Arial" w:cs="Arial"/>
                <w:color w:val="000000"/>
                <w:sz w:val="16"/>
                <w:szCs w:val="16"/>
              </w:rPr>
            </w:pPr>
          </w:p>
        </w:tc>
        <w:tc>
          <w:tcPr>
            <w:tcW w:w="30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Wholesale, Transport, other utilities</w:t>
            </w:r>
          </w:p>
        </w:tc>
        <w:tc>
          <w:tcPr>
            <w:tcW w:w="13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w:t>
            </w:r>
          </w:p>
        </w:tc>
        <w:tc>
          <w:tcPr>
            <w:tcW w:w="164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w:t>
            </w:r>
          </w:p>
        </w:tc>
        <w:tc>
          <w:tcPr>
            <w:tcW w:w="96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4</w:t>
            </w:r>
          </w:p>
        </w:tc>
        <w:tc>
          <w:tcPr>
            <w:tcW w:w="1580" w:type="dxa"/>
            <w:shd w:val="clear" w:color="auto" w:fill="auto"/>
            <w:noWrap/>
            <w:tcMar>
              <w:left w:w="29" w:type="dxa"/>
              <w:right w:w="29" w:type="dxa"/>
            </w:tcMar>
            <w:vAlign w:val="center"/>
            <w:hideMark/>
          </w:tcPr>
          <w:p w:rsidR="005C1492" w:rsidRPr="005C1492" w:rsidRDefault="005C1492" w:rsidP="005C1492">
            <w:pPr>
              <w:spacing w:after="0" w:line="240" w:lineRule="auto"/>
              <w:jc w:val="center"/>
              <w:rPr>
                <w:rFonts w:ascii="Arial" w:eastAsia="Times New Roman" w:hAnsi="Arial" w:cs="Arial"/>
                <w:color w:val="000000"/>
                <w:sz w:val="16"/>
                <w:szCs w:val="16"/>
              </w:rPr>
            </w:pPr>
            <w:r w:rsidRPr="005C1492">
              <w:rPr>
                <w:rFonts w:ascii="Arial" w:eastAsia="Times New Roman" w:hAnsi="Arial" w:cs="Arial"/>
                <w:color w:val="000000"/>
                <w:sz w:val="16"/>
                <w:szCs w:val="16"/>
              </w:rPr>
              <w:t>0.7</w:t>
            </w:r>
          </w:p>
        </w:tc>
      </w:tr>
    </w:tbl>
    <w:p w:rsidR="00A73F2B" w:rsidRDefault="00C5794B" w:rsidP="005C1492">
      <w:pPr>
        <w:pStyle w:val="BodyParagraph"/>
      </w:pPr>
      <w:r>
        <w:lastRenderedPageBreak/>
        <w:t xml:space="preserve">Statewide, over three quarters of the </w:t>
      </w:r>
      <w:r w:rsidR="008C492F">
        <w:t xml:space="preserve">accounts </w:t>
      </w:r>
      <w:r>
        <w:t>and load</w:t>
      </w:r>
      <w:r w:rsidR="00D649A8">
        <w:t xml:space="preserve"> </w:t>
      </w:r>
      <w:r w:rsidR="008C492F">
        <w:t>nominated for</w:t>
      </w:r>
      <w:r>
        <w:t xml:space="preserve"> day-of resources come from the Retail sector.  The Retail sector also accounts for almost half the customers providing day-ahead resources and about </w:t>
      </w:r>
      <w:r w:rsidR="00901955">
        <w:t>a</w:t>
      </w:r>
      <w:r>
        <w:t xml:space="preserve"> third of the program load, with the remaining loads concentrated in </w:t>
      </w:r>
      <w:r w:rsidR="00901955">
        <w:t xml:space="preserve">the </w:t>
      </w:r>
      <w:r>
        <w:t>Manufacturing</w:t>
      </w:r>
      <w:r w:rsidR="008808E4">
        <w:t xml:space="preserve"> and</w:t>
      </w:r>
      <w:r w:rsidR="003B3A7D">
        <w:t> </w:t>
      </w:r>
      <w:r>
        <w:t>Office</w:t>
      </w:r>
      <w:r w:rsidR="00A00B41">
        <w:t> </w:t>
      </w:r>
      <w:r>
        <w:t>s</w:t>
      </w:r>
      <w:r w:rsidR="00901955">
        <w:t>ectors</w:t>
      </w:r>
      <w:r>
        <w:t>.</w:t>
      </w:r>
    </w:p>
    <w:p w:rsidR="00A73F2B" w:rsidRDefault="00CD31F9" w:rsidP="00011DE1">
      <w:pPr>
        <w:pStyle w:val="Heading3"/>
      </w:pPr>
      <w:bookmarkStart w:id="16" w:name="_Toc318805442"/>
      <w:bookmarkStart w:id="17" w:name="_Toc318805455"/>
      <w:bookmarkStart w:id="18" w:name="_Toc318805461"/>
      <w:bookmarkStart w:id="19" w:name="_Toc318805467"/>
      <w:bookmarkStart w:id="20" w:name="_Toc318805473"/>
      <w:bookmarkStart w:id="21" w:name="_Toc318805479"/>
      <w:bookmarkStart w:id="22" w:name="_Toc318805485"/>
      <w:bookmarkStart w:id="23" w:name="_Toc318805491"/>
      <w:bookmarkStart w:id="24" w:name="_Toc318805497"/>
      <w:bookmarkStart w:id="25" w:name="_Toc318805503"/>
      <w:bookmarkStart w:id="26" w:name="_Toc318805509"/>
      <w:bookmarkStart w:id="27" w:name="_Toc318805515"/>
      <w:bookmarkStart w:id="28" w:name="_Toc318805521"/>
      <w:bookmarkStart w:id="29" w:name="_Toc318805527"/>
      <w:bookmarkStart w:id="30" w:name="_Toc318805533"/>
      <w:bookmarkStart w:id="31" w:name="_Toc318805539"/>
      <w:bookmarkStart w:id="32" w:name="_Toc318805545"/>
      <w:bookmarkStart w:id="33" w:name="_Toc318805551"/>
      <w:bookmarkStart w:id="34" w:name="_Toc318805557"/>
      <w:bookmarkStart w:id="35" w:name="_Toc318805569"/>
      <w:bookmarkStart w:id="36" w:name="_Toc318805575"/>
      <w:bookmarkStart w:id="37" w:name="_Toc318805581"/>
      <w:bookmarkStart w:id="38" w:name="_Toc318805587"/>
      <w:bookmarkStart w:id="39" w:name="_Toc318805593"/>
      <w:bookmarkStart w:id="40" w:name="_Toc318805599"/>
      <w:bookmarkStart w:id="41" w:name="_Toc318805605"/>
      <w:bookmarkStart w:id="42" w:name="_Toc318805617"/>
      <w:bookmarkStart w:id="43" w:name="_Toc318805623"/>
      <w:bookmarkStart w:id="44" w:name="_Toc318805629"/>
      <w:bookmarkStart w:id="45" w:name="_Toc318805635"/>
      <w:bookmarkStart w:id="46" w:name="_Toc318805641"/>
      <w:bookmarkStart w:id="47" w:name="_Toc318805647"/>
      <w:bookmarkStart w:id="48" w:name="_Toc318805653"/>
      <w:bookmarkStart w:id="49" w:name="_Toc318805659"/>
      <w:bookmarkStart w:id="50" w:name="_Toc318805665"/>
      <w:bookmarkStart w:id="51" w:name="_Toc318805671"/>
      <w:bookmarkStart w:id="52" w:name="_Toc318805677"/>
      <w:bookmarkStart w:id="53" w:name="_Toc318805683"/>
      <w:bookmarkStart w:id="54" w:name="_Toc318805689"/>
      <w:bookmarkStart w:id="55" w:name="_Toc318805695"/>
      <w:bookmarkStart w:id="56" w:name="_Toc318805701"/>
      <w:bookmarkStart w:id="57" w:name="_Toc318805707"/>
      <w:bookmarkStart w:id="58" w:name="_Toc318805708"/>
      <w:bookmarkStart w:id="59" w:name="_Toc318805709"/>
      <w:bookmarkStart w:id="60" w:name="_Toc326074001"/>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t xml:space="preserve">PG&amp;E’s </w:t>
      </w:r>
      <w:r w:rsidR="002F534E">
        <w:t>Ag</w:t>
      </w:r>
      <w:r>
        <w:t>gregator Managed Portfolio</w:t>
      </w:r>
      <w:bookmarkEnd w:id="60"/>
      <w:r w:rsidR="002F534E">
        <w:t xml:space="preserve"> </w:t>
      </w:r>
    </w:p>
    <w:p w:rsidR="007B2DD3" w:rsidRDefault="002F534E">
      <w:pPr>
        <w:pStyle w:val="BodyParagraph"/>
      </w:pPr>
      <w:r>
        <w:t>PG&amp;E’s AMP</w:t>
      </w:r>
      <w:r w:rsidR="00901955">
        <w:t xml:space="preserve"> program</w:t>
      </w:r>
      <w:r>
        <w:t xml:space="preserve"> is a price responsive DR program that allows third-party aggregators, who enter into bilateral contracts with PG&amp;E resulting from a competitive bid</w:t>
      </w:r>
      <w:r w:rsidR="00901955">
        <w:t xml:space="preserve"> process</w:t>
      </w:r>
      <w:r>
        <w:t xml:space="preserve">, to establish aggregated DR programs of their own creation. </w:t>
      </w:r>
      <w:r w:rsidR="008C64A5">
        <w:t xml:space="preserve"> </w:t>
      </w:r>
      <w:r>
        <w:t xml:space="preserve">PG&amp;E has contracts with five aggregators. </w:t>
      </w:r>
      <w:r w:rsidR="008C64A5">
        <w:t xml:space="preserve"> </w:t>
      </w:r>
      <w:r>
        <w:t xml:space="preserve">Pursuant to these contracts, the aggregators </w:t>
      </w:r>
      <w:r w:rsidR="007B2DD3">
        <w:t>we</w:t>
      </w:r>
      <w:r>
        <w:t xml:space="preserve">re expected to provide </w:t>
      </w:r>
      <w:r w:rsidR="00147655">
        <w:t xml:space="preserve">approximately </w:t>
      </w:r>
      <w:r>
        <w:t>200 MW of responsive load reduction capacity in</w:t>
      </w:r>
      <w:r w:rsidR="00A00B41">
        <w:t> </w:t>
      </w:r>
      <w:r>
        <w:t xml:space="preserve">2011. </w:t>
      </w:r>
      <w:r w:rsidR="008C64A5">
        <w:t xml:space="preserve"> </w:t>
      </w:r>
    </w:p>
    <w:p w:rsidR="00A73F2B" w:rsidRDefault="002F534E">
      <w:pPr>
        <w:pStyle w:val="BodyParagraph"/>
      </w:pPr>
      <w:r>
        <w:t xml:space="preserve">AMP participants in an aggregated group are non-residential customers who receive bundled service, Community Choice Aggregation service or Direct Access. </w:t>
      </w:r>
      <w:r w:rsidR="00CD31F9">
        <w:t xml:space="preserve"> </w:t>
      </w:r>
      <w:r>
        <w:t xml:space="preserve">Customers on full standby rates or net metering are not eligible for AMP. </w:t>
      </w:r>
      <w:r w:rsidR="008C64A5">
        <w:t xml:space="preserve"> </w:t>
      </w:r>
      <w:r>
        <w:t xml:space="preserve">AMP has no provisions for direct enrollment of individual customers. </w:t>
      </w:r>
      <w:r w:rsidR="00CD31F9">
        <w:t xml:space="preserve"> </w:t>
      </w:r>
      <w:r>
        <w:t>Customer</w:t>
      </w:r>
      <w:r w:rsidR="00CD31F9">
        <w:t xml:space="preserve">s participating in AMP with </w:t>
      </w:r>
      <w:r w:rsidR="00F95446">
        <w:t>day-ahead</w:t>
      </w:r>
      <w:r>
        <w:t xml:space="preserve"> notification are allowed to be dually enrolled in PG&amp;E’s Optional Binding Mandatory Curtailment (OBMC)</w:t>
      </w:r>
      <w:r w:rsidR="008C64A5">
        <w:t xml:space="preserve"> program.  </w:t>
      </w:r>
      <w:r w:rsidR="00CD31F9">
        <w:t xml:space="preserve">AMP customers with </w:t>
      </w:r>
      <w:r w:rsidR="00F95446">
        <w:t>day-of</w:t>
      </w:r>
      <w:r>
        <w:t xml:space="preserve"> notification may also dually participate in </w:t>
      </w:r>
      <w:r w:rsidR="00CD31F9">
        <w:t xml:space="preserve">the </w:t>
      </w:r>
      <w:r>
        <w:t>Demand Bidding Program (DBP) or Peak Day Pricing</w:t>
      </w:r>
      <w:r w:rsidR="003B3A7D">
        <w:t> </w:t>
      </w:r>
      <w:r>
        <w:t>(PDP).</w:t>
      </w:r>
    </w:p>
    <w:p w:rsidR="009555F5" w:rsidRDefault="008C64A5">
      <w:pPr>
        <w:pStyle w:val="BodyParagraph"/>
      </w:pPr>
      <w:r>
        <w:t xml:space="preserve">The </w:t>
      </w:r>
      <w:r w:rsidR="00CD31F9">
        <w:t xml:space="preserve">AMP </w:t>
      </w:r>
      <w:r>
        <w:t>program operates from</w:t>
      </w:r>
      <w:r w:rsidR="002F534E">
        <w:t xml:space="preserve"> May through October. </w:t>
      </w:r>
      <w:r>
        <w:t xml:space="preserve"> </w:t>
      </w:r>
      <w:r w:rsidR="002F534E">
        <w:t xml:space="preserve">An AMP event may be called </w:t>
      </w:r>
      <w:r>
        <w:t>between</w:t>
      </w:r>
      <w:r w:rsidR="002F534E">
        <w:t xml:space="preserve"> 11 </w:t>
      </w:r>
      <w:r w:rsidR="00CD31F9">
        <w:t>AM</w:t>
      </w:r>
      <w:r w:rsidR="002F534E">
        <w:t xml:space="preserve"> </w:t>
      </w:r>
      <w:r>
        <w:t>and</w:t>
      </w:r>
      <w:r w:rsidR="002F534E">
        <w:t xml:space="preserve"> 7 </w:t>
      </w:r>
      <w:r w:rsidR="00CD31F9">
        <w:t>PM</w:t>
      </w:r>
      <w:r w:rsidR="002F534E">
        <w:t xml:space="preserve">, Monday through Friday, excluding holidays. </w:t>
      </w:r>
      <w:r>
        <w:t xml:space="preserve"> </w:t>
      </w:r>
      <w:r w:rsidR="002F534E">
        <w:t>AMP events may be triggered by very high market prices and system emergencies, up to 50 hours each year including test events.</w:t>
      </w:r>
      <w:r>
        <w:t xml:space="preserve">  </w:t>
      </w:r>
      <w:r w:rsidR="002F534E">
        <w:t xml:space="preserve">AMP </w:t>
      </w:r>
      <w:r w:rsidR="00C9331A">
        <w:t xml:space="preserve">contracts specify the </w:t>
      </w:r>
      <w:r w:rsidR="002F534E">
        <w:t>baseline</w:t>
      </w:r>
      <w:r w:rsidR="00C9331A">
        <w:t xml:space="preserve"> used</w:t>
      </w:r>
      <w:r w:rsidR="002F534E">
        <w:t xml:space="preserve"> for calculating load reduction for settlement purposes.</w:t>
      </w:r>
      <w:r w:rsidR="00C9331A">
        <w:t xml:space="preserve"> </w:t>
      </w:r>
      <w:r w:rsidR="006E67CE">
        <w:t xml:space="preserve"> </w:t>
      </w:r>
      <w:r w:rsidR="00C9331A">
        <w:t>For most aggregators, the baseline is based on the same-h</w:t>
      </w:r>
      <w:r w:rsidR="00EB1C3A">
        <w:t xml:space="preserve">our average of the </w:t>
      </w:r>
      <w:r w:rsidR="00767E42">
        <w:t>10</w:t>
      </w:r>
      <w:r w:rsidR="00EB1C3A">
        <w:t xml:space="preserve"> weekdays.</w:t>
      </w:r>
      <w:r w:rsidR="00147655">
        <w:rPr>
          <w:rStyle w:val="FootnoteReference"/>
        </w:rPr>
        <w:footnoteReference w:id="4"/>
      </w:r>
      <w:r>
        <w:t xml:space="preserve">  </w:t>
      </w:r>
    </w:p>
    <w:p w:rsidR="008C492F" w:rsidRDefault="00901955" w:rsidP="008C492F">
      <w:pPr>
        <w:pStyle w:val="BodyParagraph"/>
      </w:pPr>
      <w:r>
        <w:t xml:space="preserve">Table </w:t>
      </w:r>
      <w:r w:rsidR="00A52143">
        <w:t>2</w:t>
      </w:r>
      <w:r>
        <w:t xml:space="preserve">-2 shows the average number of accounts nominated during the 2011 summer by notification lead time and industry segment.  </w:t>
      </w:r>
      <w:r w:rsidR="008C492F">
        <w:t xml:space="preserve">The number of accounts nominated for the program does not necessarily match the number of accounts called for specific events or for the average event.  The number of nominated accounts is </w:t>
      </w:r>
      <w:r w:rsidR="008C492F" w:rsidRPr="005C1492">
        <w:rPr>
          <w:color w:val="000000" w:themeColor="text1"/>
        </w:rPr>
        <w:t>also often lower than the number of enrolled accounts because aggregators typically do not nominate all the enrolled customers to resource portfolios.</w:t>
      </w:r>
    </w:p>
    <w:p w:rsidR="005310C6" w:rsidRDefault="00901955">
      <w:pPr>
        <w:pStyle w:val="BodyParagraph"/>
        <w:rPr>
          <w:b/>
        </w:rPr>
      </w:pPr>
      <w:r>
        <w:t xml:space="preserve">Customers from the Manufacturing sector account for roughly 40% of accounts and nearly 70% of load in the day-ahead option. </w:t>
      </w:r>
      <w:r w:rsidR="006E67CE">
        <w:t xml:space="preserve"> </w:t>
      </w:r>
      <w:r>
        <w:t>Day-of resources are not highly concentrated in specific industry segments; no single industry sector accounts for more than a quarter of the number of accounts or of program load.</w:t>
      </w:r>
      <w:r>
        <w:br w:type="page"/>
      </w:r>
    </w:p>
    <w:p w:rsidR="00A73F2B" w:rsidRDefault="0006070E" w:rsidP="00BA25E2">
      <w:pPr>
        <w:pStyle w:val="TableFigureCaption"/>
      </w:pPr>
      <w:r>
        <w:lastRenderedPageBreak/>
        <w:t xml:space="preserve">Table </w:t>
      </w:r>
      <w:r w:rsidR="00A52143">
        <w:t>2</w:t>
      </w:r>
      <w:r>
        <w:noBreakHyphen/>
      </w:r>
      <w:fldSimple w:instr=" STYLEREF 1 \s ">
        <w:r w:rsidR="00F66D5E">
          <w:rPr>
            <w:noProof/>
          </w:rPr>
          <w:t>2</w:t>
        </w:r>
      </w:fldSimple>
      <w:r w:rsidR="00F55000">
        <w:noBreakHyphen/>
      </w:r>
      <w:fldSimple w:instr=" SEQ Table \* ARABIC \s 1 ">
        <w:r w:rsidR="00F66D5E">
          <w:rPr>
            <w:noProof/>
          </w:rPr>
          <w:t>2</w:t>
        </w:r>
      </w:fldSimple>
      <w:r>
        <w:t>:</w:t>
      </w:r>
      <w:r w:rsidR="00011DE1">
        <w:t xml:space="preserve"> </w:t>
      </w:r>
      <w:r w:rsidR="00BA25E2">
        <w:t xml:space="preserve"> </w:t>
      </w:r>
      <w:r w:rsidR="00901955">
        <w:t xml:space="preserve">Average </w:t>
      </w:r>
      <w:r>
        <w:t xml:space="preserve">Number of Accounts </w:t>
      </w:r>
      <w:r w:rsidR="003C584F">
        <w:t>Nominated</w:t>
      </w:r>
      <w:r w:rsidR="00D649A8">
        <w:t xml:space="preserve"> </w:t>
      </w:r>
      <w:r>
        <w:t xml:space="preserve">for </w:t>
      </w:r>
      <w:r w:rsidR="003C584F">
        <w:t xml:space="preserve">PG&amp;E’s </w:t>
      </w:r>
      <w:r w:rsidR="00D649A8">
        <w:t>A</w:t>
      </w:r>
      <w:r w:rsidR="003C584F">
        <w:t xml:space="preserve">ggregator </w:t>
      </w:r>
      <w:r w:rsidR="00D649A8">
        <w:t>M</w:t>
      </w:r>
      <w:r w:rsidR="003C584F">
        <w:t xml:space="preserve">anaged </w:t>
      </w:r>
      <w:r w:rsidR="00D649A8">
        <w:t>P</w:t>
      </w:r>
      <w:r w:rsidR="003C584F">
        <w:t>ortfolio</w:t>
      </w:r>
      <w:r w:rsidR="00011DE1">
        <w:t xml:space="preserve"> </w:t>
      </w:r>
      <w:r>
        <w:t xml:space="preserve">by </w:t>
      </w:r>
      <w:r w:rsidR="003B3A7D">
        <w:t>I</w:t>
      </w:r>
      <w:r>
        <w:t>ndustry</w:t>
      </w:r>
      <w:r w:rsidR="008C492F">
        <w:rPr>
          <w:rStyle w:val="FootnoteReference"/>
        </w:rPr>
        <w:footnoteReference w:id="5"/>
      </w:r>
    </w:p>
    <w:tbl>
      <w:tblPr>
        <w:tblW w:w="9397"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200"/>
        <w:gridCol w:w="1160"/>
        <w:gridCol w:w="1539"/>
        <w:gridCol w:w="1103"/>
        <w:gridCol w:w="1435"/>
      </w:tblGrid>
      <w:tr w:rsidR="00D10275" w:rsidRPr="00D10275" w:rsidTr="00A14074">
        <w:trPr>
          <w:trHeight w:val="288"/>
          <w:jc w:val="center"/>
        </w:trPr>
        <w:tc>
          <w:tcPr>
            <w:tcW w:w="960" w:type="dxa"/>
            <w:vMerge w:val="restart"/>
            <w:tcBorders>
              <w:right w:val="single" w:sz="4" w:space="0" w:color="FFFFFF" w:themeColor="background1"/>
            </w:tcBorders>
            <w:shd w:val="clear" w:color="000000" w:fill="376091"/>
            <w:vAlign w:val="center"/>
            <w:hideMark/>
          </w:tcPr>
          <w:p w:rsidR="00D10275" w:rsidRPr="003B3A7D" w:rsidRDefault="00D10275" w:rsidP="003B3A7D">
            <w:pPr>
              <w:pStyle w:val="TableHeader"/>
              <w:spacing w:before="60" w:after="60"/>
              <w:rPr>
                <w:rFonts w:eastAsia="Times New Roman"/>
                <w:sz w:val="18"/>
                <w:szCs w:val="18"/>
              </w:rPr>
            </w:pPr>
            <w:r w:rsidRPr="003B3A7D">
              <w:rPr>
                <w:rFonts w:eastAsia="Times New Roman"/>
                <w:sz w:val="18"/>
                <w:szCs w:val="18"/>
              </w:rPr>
              <w:t>IOU</w:t>
            </w:r>
          </w:p>
        </w:tc>
        <w:tc>
          <w:tcPr>
            <w:tcW w:w="3200" w:type="dxa"/>
            <w:vMerge w:val="restart"/>
            <w:tcBorders>
              <w:left w:val="single" w:sz="4" w:space="0" w:color="FFFFFF" w:themeColor="background1"/>
              <w:right w:val="single" w:sz="4" w:space="0" w:color="FFFFFF" w:themeColor="background1"/>
            </w:tcBorders>
            <w:shd w:val="clear" w:color="000000" w:fill="376091"/>
            <w:vAlign w:val="center"/>
            <w:hideMark/>
          </w:tcPr>
          <w:p w:rsidR="00D10275" w:rsidRPr="003B3A7D" w:rsidRDefault="00D10275" w:rsidP="003B3A7D">
            <w:pPr>
              <w:pStyle w:val="TableHeader"/>
              <w:spacing w:before="60" w:after="60"/>
              <w:rPr>
                <w:rFonts w:eastAsia="Times New Roman"/>
                <w:sz w:val="18"/>
                <w:szCs w:val="18"/>
              </w:rPr>
            </w:pPr>
            <w:r w:rsidRPr="003B3A7D">
              <w:rPr>
                <w:rFonts w:eastAsia="Times New Roman"/>
                <w:sz w:val="18"/>
                <w:szCs w:val="18"/>
              </w:rPr>
              <w:t>Industry</w:t>
            </w:r>
          </w:p>
        </w:tc>
        <w:tc>
          <w:tcPr>
            <w:tcW w:w="2699" w:type="dxa"/>
            <w:gridSpan w:val="2"/>
            <w:tcBorders>
              <w:left w:val="single" w:sz="4" w:space="0" w:color="FFFFFF" w:themeColor="background1"/>
              <w:bottom w:val="single" w:sz="4" w:space="0" w:color="FFFFFF" w:themeColor="background1"/>
              <w:right w:val="single" w:sz="4" w:space="0" w:color="FFFFFF" w:themeColor="background1"/>
            </w:tcBorders>
            <w:shd w:val="clear" w:color="000000" w:fill="376091"/>
            <w:noWrap/>
            <w:vAlign w:val="center"/>
            <w:hideMark/>
          </w:tcPr>
          <w:p w:rsidR="00D10275" w:rsidRPr="003B3A7D" w:rsidRDefault="00147655" w:rsidP="003B3A7D">
            <w:pPr>
              <w:pStyle w:val="TableHeader"/>
              <w:spacing w:before="60" w:after="60"/>
              <w:rPr>
                <w:sz w:val="18"/>
                <w:szCs w:val="18"/>
              </w:rPr>
            </w:pPr>
            <w:r>
              <w:rPr>
                <w:sz w:val="18"/>
                <w:szCs w:val="18"/>
              </w:rPr>
              <w:t>Day-Ahead</w:t>
            </w:r>
          </w:p>
        </w:tc>
        <w:tc>
          <w:tcPr>
            <w:tcW w:w="2538" w:type="dxa"/>
            <w:gridSpan w:val="2"/>
            <w:tcBorders>
              <w:left w:val="single" w:sz="4" w:space="0" w:color="FFFFFF" w:themeColor="background1"/>
              <w:bottom w:val="single" w:sz="4" w:space="0" w:color="FFFFFF" w:themeColor="background1"/>
            </w:tcBorders>
            <w:shd w:val="clear" w:color="000000" w:fill="376091"/>
            <w:noWrap/>
            <w:vAlign w:val="center"/>
            <w:hideMark/>
          </w:tcPr>
          <w:p w:rsidR="00D10275" w:rsidRPr="003B3A7D" w:rsidRDefault="00147655" w:rsidP="003B3A7D">
            <w:pPr>
              <w:pStyle w:val="TableHeader"/>
              <w:spacing w:before="60" w:after="60"/>
              <w:rPr>
                <w:sz w:val="18"/>
                <w:szCs w:val="18"/>
              </w:rPr>
            </w:pPr>
            <w:r>
              <w:rPr>
                <w:sz w:val="18"/>
                <w:szCs w:val="18"/>
              </w:rPr>
              <w:t>Day-Of</w:t>
            </w:r>
          </w:p>
        </w:tc>
      </w:tr>
      <w:tr w:rsidR="00D10275" w:rsidRPr="00D10275" w:rsidTr="00A14074">
        <w:trPr>
          <w:trHeight w:val="732"/>
          <w:jc w:val="center"/>
        </w:trPr>
        <w:tc>
          <w:tcPr>
            <w:tcW w:w="960" w:type="dxa"/>
            <w:vMerge/>
            <w:tcBorders>
              <w:right w:val="single" w:sz="4" w:space="0" w:color="FFFFFF" w:themeColor="background1"/>
            </w:tcBorders>
            <w:vAlign w:val="center"/>
            <w:hideMark/>
          </w:tcPr>
          <w:p w:rsidR="00D10275" w:rsidRPr="003B3A7D" w:rsidRDefault="00D10275" w:rsidP="003B3A7D">
            <w:pPr>
              <w:pStyle w:val="TableHeader"/>
              <w:spacing w:before="60" w:after="60"/>
              <w:rPr>
                <w:rFonts w:eastAsia="Times New Roman"/>
                <w:sz w:val="18"/>
                <w:szCs w:val="18"/>
              </w:rPr>
            </w:pPr>
          </w:p>
        </w:tc>
        <w:tc>
          <w:tcPr>
            <w:tcW w:w="3200" w:type="dxa"/>
            <w:vMerge/>
            <w:tcBorders>
              <w:left w:val="single" w:sz="4" w:space="0" w:color="FFFFFF" w:themeColor="background1"/>
              <w:right w:val="single" w:sz="4" w:space="0" w:color="FFFFFF" w:themeColor="background1"/>
            </w:tcBorders>
            <w:vAlign w:val="center"/>
            <w:hideMark/>
          </w:tcPr>
          <w:p w:rsidR="00D10275" w:rsidRPr="003B3A7D" w:rsidRDefault="00D10275" w:rsidP="003B3A7D">
            <w:pPr>
              <w:pStyle w:val="TableHeader"/>
              <w:spacing w:before="60" w:after="60"/>
              <w:rPr>
                <w:rFonts w:eastAsia="Times New Roman"/>
                <w:sz w:val="18"/>
                <w:szCs w:val="18"/>
              </w:rPr>
            </w:pPr>
          </w:p>
        </w:tc>
        <w:tc>
          <w:tcPr>
            <w:tcW w:w="11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D10275" w:rsidRPr="003B3A7D" w:rsidRDefault="00D10275" w:rsidP="003B3A7D">
            <w:pPr>
              <w:pStyle w:val="TableHeader"/>
              <w:spacing w:before="60" w:after="60"/>
              <w:rPr>
                <w:rFonts w:eastAsia="Times New Roman"/>
                <w:sz w:val="18"/>
                <w:szCs w:val="18"/>
              </w:rPr>
            </w:pPr>
            <w:r w:rsidRPr="003B3A7D">
              <w:rPr>
                <w:rFonts w:eastAsia="Times New Roman"/>
                <w:sz w:val="18"/>
                <w:szCs w:val="18"/>
              </w:rPr>
              <w:t>Acc</w:t>
            </w:r>
            <w:r w:rsidR="00147655">
              <w:rPr>
                <w:rFonts w:eastAsia="Times New Roman"/>
                <w:sz w:val="18"/>
                <w:szCs w:val="18"/>
              </w:rPr>
              <w:t>oun</w:t>
            </w:r>
            <w:r w:rsidRPr="003B3A7D">
              <w:rPr>
                <w:rFonts w:eastAsia="Times New Roman"/>
                <w:sz w:val="18"/>
                <w:szCs w:val="18"/>
              </w:rPr>
              <w:t>ts</w:t>
            </w:r>
          </w:p>
        </w:tc>
        <w:tc>
          <w:tcPr>
            <w:tcW w:w="1539"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D10275" w:rsidRPr="003B3A7D" w:rsidRDefault="001D5412" w:rsidP="003B3A7D">
            <w:pPr>
              <w:pStyle w:val="TableHeader"/>
              <w:spacing w:before="60" w:after="60"/>
              <w:rPr>
                <w:rFonts w:eastAsia="Times New Roman"/>
                <w:sz w:val="18"/>
                <w:szCs w:val="18"/>
              </w:rPr>
            </w:pPr>
            <w:r w:rsidRPr="001D5412">
              <w:rPr>
                <w:rFonts w:eastAsia="Times New Roman" w:cs="Arial"/>
                <w:bCs/>
                <w:color w:val="FFFFFF"/>
                <w:sz w:val="18"/>
                <w:szCs w:val="18"/>
              </w:rPr>
              <w:t>Aggregate Avg. Summer Max Demand (MW)</w:t>
            </w:r>
          </w:p>
        </w:tc>
        <w:tc>
          <w:tcPr>
            <w:tcW w:w="1103"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D10275" w:rsidRPr="003B3A7D" w:rsidRDefault="00D10275" w:rsidP="003B3A7D">
            <w:pPr>
              <w:pStyle w:val="TableHeader"/>
              <w:spacing w:before="60" w:after="60"/>
              <w:rPr>
                <w:rFonts w:eastAsia="Times New Roman"/>
                <w:sz w:val="18"/>
                <w:szCs w:val="18"/>
              </w:rPr>
            </w:pPr>
            <w:r w:rsidRPr="003B3A7D">
              <w:rPr>
                <w:rFonts w:eastAsia="Times New Roman"/>
                <w:sz w:val="18"/>
                <w:szCs w:val="18"/>
              </w:rPr>
              <w:t>Acc</w:t>
            </w:r>
            <w:r w:rsidR="00147655">
              <w:rPr>
                <w:rFonts w:eastAsia="Times New Roman"/>
                <w:sz w:val="18"/>
                <w:szCs w:val="18"/>
              </w:rPr>
              <w:t>oun</w:t>
            </w:r>
            <w:r w:rsidRPr="003B3A7D">
              <w:rPr>
                <w:rFonts w:eastAsia="Times New Roman"/>
                <w:sz w:val="18"/>
                <w:szCs w:val="18"/>
              </w:rPr>
              <w:t>ts</w:t>
            </w:r>
          </w:p>
        </w:tc>
        <w:tc>
          <w:tcPr>
            <w:tcW w:w="1435" w:type="dxa"/>
            <w:tcBorders>
              <w:top w:val="single" w:sz="4" w:space="0" w:color="FFFFFF" w:themeColor="background1"/>
              <w:left w:val="single" w:sz="4" w:space="0" w:color="FFFFFF" w:themeColor="background1"/>
            </w:tcBorders>
            <w:shd w:val="clear" w:color="000000" w:fill="376091"/>
            <w:vAlign w:val="center"/>
            <w:hideMark/>
          </w:tcPr>
          <w:p w:rsidR="00D10275" w:rsidRPr="003B3A7D" w:rsidRDefault="001D5412" w:rsidP="003B3A7D">
            <w:pPr>
              <w:pStyle w:val="TableHeader"/>
              <w:spacing w:before="60" w:after="60"/>
              <w:rPr>
                <w:rFonts w:eastAsia="Times New Roman"/>
                <w:sz w:val="18"/>
                <w:szCs w:val="18"/>
              </w:rPr>
            </w:pPr>
            <w:r w:rsidRPr="001D5412">
              <w:rPr>
                <w:rFonts w:eastAsia="Times New Roman" w:cs="Arial"/>
                <w:bCs/>
                <w:color w:val="FFFFFF"/>
                <w:sz w:val="18"/>
                <w:szCs w:val="18"/>
              </w:rPr>
              <w:t>Aggregate Avg. Summer Max Demand (MW)</w:t>
            </w:r>
            <w:r w:rsidR="00D10275" w:rsidRPr="005C1492">
              <w:rPr>
                <w:rFonts w:eastAsia="Times New Roman"/>
                <w:sz w:val="18"/>
                <w:szCs w:val="18"/>
              </w:rPr>
              <w:t>)</w:t>
            </w:r>
          </w:p>
        </w:tc>
      </w:tr>
      <w:tr w:rsidR="00D10275" w:rsidRPr="00D10275" w:rsidTr="00A14074">
        <w:trPr>
          <w:trHeight w:hRule="exact" w:val="274"/>
          <w:jc w:val="center"/>
        </w:trPr>
        <w:tc>
          <w:tcPr>
            <w:tcW w:w="960" w:type="dxa"/>
            <w:vMerge w:val="restart"/>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PG&amp;E</w:t>
            </w:r>
          </w:p>
        </w:tc>
        <w:tc>
          <w:tcPr>
            <w:tcW w:w="3200" w:type="dxa"/>
            <w:shd w:val="clear" w:color="auto" w:fill="auto"/>
            <w:noWrap/>
            <w:vAlign w:val="center"/>
            <w:hideMark/>
          </w:tcPr>
          <w:p w:rsidR="00D10275" w:rsidRPr="003B3A7D" w:rsidRDefault="00284347" w:rsidP="00D10275">
            <w:pPr>
              <w:spacing w:after="0" w:line="240" w:lineRule="auto"/>
              <w:jc w:val="center"/>
              <w:rPr>
                <w:rFonts w:ascii="Arial" w:eastAsia="Times New Roman" w:hAnsi="Arial" w:cs="Arial"/>
                <w:b/>
                <w:bCs/>
                <w:color w:val="000000"/>
                <w:sz w:val="18"/>
                <w:szCs w:val="18"/>
              </w:rPr>
            </w:pPr>
            <w:r w:rsidRPr="003B3A7D">
              <w:rPr>
                <w:rFonts w:ascii="Arial" w:eastAsia="Times New Roman" w:hAnsi="Arial" w:cs="Arial"/>
                <w:b/>
                <w:bCs/>
                <w:color w:val="000000"/>
                <w:sz w:val="18"/>
                <w:szCs w:val="18"/>
              </w:rPr>
              <w:t>All Customers</w:t>
            </w:r>
          </w:p>
        </w:tc>
        <w:tc>
          <w:tcPr>
            <w:tcW w:w="116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b/>
                <w:bCs/>
                <w:color w:val="000000"/>
                <w:sz w:val="18"/>
                <w:szCs w:val="18"/>
              </w:rPr>
            </w:pPr>
            <w:r w:rsidRPr="003B3A7D">
              <w:rPr>
                <w:rFonts w:ascii="Arial" w:eastAsia="Times New Roman" w:hAnsi="Arial" w:cs="Arial"/>
                <w:b/>
                <w:bCs/>
                <w:color w:val="000000"/>
                <w:sz w:val="18"/>
                <w:szCs w:val="18"/>
              </w:rPr>
              <w:t>244</w:t>
            </w:r>
          </w:p>
        </w:tc>
        <w:tc>
          <w:tcPr>
            <w:tcW w:w="1539"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b/>
                <w:bCs/>
                <w:color w:val="000000"/>
                <w:sz w:val="18"/>
                <w:szCs w:val="18"/>
              </w:rPr>
            </w:pPr>
            <w:r w:rsidRPr="003B3A7D">
              <w:rPr>
                <w:rFonts w:ascii="Arial" w:eastAsia="Times New Roman" w:hAnsi="Arial" w:cs="Arial"/>
                <w:b/>
                <w:bCs/>
                <w:color w:val="000000"/>
                <w:sz w:val="18"/>
                <w:szCs w:val="18"/>
              </w:rPr>
              <w:t>150.4</w:t>
            </w:r>
          </w:p>
        </w:tc>
        <w:tc>
          <w:tcPr>
            <w:tcW w:w="1103"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b/>
                <w:bCs/>
                <w:color w:val="000000"/>
                <w:sz w:val="18"/>
                <w:szCs w:val="18"/>
              </w:rPr>
            </w:pPr>
            <w:r w:rsidRPr="003B3A7D">
              <w:rPr>
                <w:rFonts w:ascii="Arial" w:eastAsia="Times New Roman" w:hAnsi="Arial" w:cs="Arial"/>
                <w:b/>
                <w:bCs/>
                <w:color w:val="000000"/>
                <w:sz w:val="18"/>
                <w:szCs w:val="18"/>
              </w:rPr>
              <w:t>1073</w:t>
            </w:r>
          </w:p>
        </w:tc>
        <w:tc>
          <w:tcPr>
            <w:tcW w:w="1435"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b/>
                <w:bCs/>
                <w:color w:val="000000"/>
                <w:sz w:val="18"/>
                <w:szCs w:val="18"/>
              </w:rPr>
            </w:pPr>
            <w:r w:rsidRPr="003B3A7D">
              <w:rPr>
                <w:rFonts w:ascii="Arial" w:eastAsia="Times New Roman" w:hAnsi="Arial" w:cs="Arial"/>
                <w:b/>
                <w:bCs/>
                <w:color w:val="000000"/>
                <w:sz w:val="18"/>
                <w:szCs w:val="18"/>
              </w:rPr>
              <w:t>458.4</w:t>
            </w:r>
          </w:p>
        </w:tc>
      </w:tr>
      <w:tr w:rsidR="00D10275" w:rsidRPr="00D10275" w:rsidTr="00A14074">
        <w:trPr>
          <w:trHeight w:hRule="exact" w:val="274"/>
          <w:jc w:val="center"/>
        </w:trPr>
        <w:tc>
          <w:tcPr>
            <w:tcW w:w="960" w:type="dxa"/>
            <w:vMerge/>
            <w:vAlign w:val="center"/>
            <w:hideMark/>
          </w:tcPr>
          <w:p w:rsidR="00D10275" w:rsidRPr="003B3A7D" w:rsidRDefault="00D10275" w:rsidP="00D10275">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Agriculture, Mining &amp; Construction</w:t>
            </w:r>
          </w:p>
        </w:tc>
        <w:tc>
          <w:tcPr>
            <w:tcW w:w="116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19</w:t>
            </w:r>
          </w:p>
        </w:tc>
        <w:tc>
          <w:tcPr>
            <w:tcW w:w="1539"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3.4</w:t>
            </w:r>
          </w:p>
        </w:tc>
        <w:tc>
          <w:tcPr>
            <w:tcW w:w="1103"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213</w:t>
            </w:r>
          </w:p>
        </w:tc>
        <w:tc>
          <w:tcPr>
            <w:tcW w:w="1435"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95.3</w:t>
            </w:r>
          </w:p>
        </w:tc>
      </w:tr>
      <w:tr w:rsidR="00D10275" w:rsidRPr="00D10275" w:rsidTr="00A14074">
        <w:trPr>
          <w:trHeight w:hRule="exact" w:val="274"/>
          <w:jc w:val="center"/>
        </w:trPr>
        <w:tc>
          <w:tcPr>
            <w:tcW w:w="960" w:type="dxa"/>
            <w:vMerge/>
            <w:vAlign w:val="center"/>
            <w:hideMark/>
          </w:tcPr>
          <w:p w:rsidR="00D10275" w:rsidRPr="003B3A7D" w:rsidRDefault="00D10275" w:rsidP="00D10275">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Hotels and Apartment Buildings</w:t>
            </w:r>
          </w:p>
        </w:tc>
        <w:tc>
          <w:tcPr>
            <w:tcW w:w="116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13</w:t>
            </w:r>
          </w:p>
        </w:tc>
        <w:tc>
          <w:tcPr>
            <w:tcW w:w="1539"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6.9</w:t>
            </w:r>
          </w:p>
        </w:tc>
        <w:tc>
          <w:tcPr>
            <w:tcW w:w="1103"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173</w:t>
            </w:r>
          </w:p>
        </w:tc>
        <w:tc>
          <w:tcPr>
            <w:tcW w:w="1435"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59.0</w:t>
            </w:r>
          </w:p>
        </w:tc>
      </w:tr>
      <w:tr w:rsidR="00D10275" w:rsidRPr="00D10275" w:rsidTr="00A14074">
        <w:trPr>
          <w:trHeight w:hRule="exact" w:val="274"/>
          <w:jc w:val="center"/>
        </w:trPr>
        <w:tc>
          <w:tcPr>
            <w:tcW w:w="960" w:type="dxa"/>
            <w:vMerge/>
            <w:vAlign w:val="center"/>
            <w:hideMark/>
          </w:tcPr>
          <w:p w:rsidR="00D10275" w:rsidRPr="003B3A7D" w:rsidRDefault="00D10275" w:rsidP="00D10275">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Institutional/Government</w:t>
            </w:r>
          </w:p>
        </w:tc>
        <w:tc>
          <w:tcPr>
            <w:tcW w:w="116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8</w:t>
            </w:r>
          </w:p>
        </w:tc>
        <w:tc>
          <w:tcPr>
            <w:tcW w:w="1539"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2.7</w:t>
            </w:r>
          </w:p>
        </w:tc>
        <w:tc>
          <w:tcPr>
            <w:tcW w:w="1103"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70</w:t>
            </w:r>
          </w:p>
        </w:tc>
        <w:tc>
          <w:tcPr>
            <w:tcW w:w="1435"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14.0</w:t>
            </w:r>
          </w:p>
        </w:tc>
      </w:tr>
      <w:tr w:rsidR="00D10275" w:rsidRPr="00D10275" w:rsidTr="00A14074">
        <w:trPr>
          <w:trHeight w:hRule="exact" w:val="274"/>
          <w:jc w:val="center"/>
        </w:trPr>
        <w:tc>
          <w:tcPr>
            <w:tcW w:w="960" w:type="dxa"/>
            <w:vMerge/>
            <w:vAlign w:val="center"/>
            <w:hideMark/>
          </w:tcPr>
          <w:p w:rsidR="00D10275" w:rsidRPr="003B3A7D" w:rsidRDefault="00D10275" w:rsidP="00D10275">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Manufacturing</w:t>
            </w:r>
          </w:p>
        </w:tc>
        <w:tc>
          <w:tcPr>
            <w:tcW w:w="116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103</w:t>
            </w:r>
          </w:p>
        </w:tc>
        <w:tc>
          <w:tcPr>
            <w:tcW w:w="1539"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102.5</w:t>
            </w:r>
          </w:p>
        </w:tc>
        <w:tc>
          <w:tcPr>
            <w:tcW w:w="1103"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130</w:t>
            </w:r>
          </w:p>
        </w:tc>
        <w:tc>
          <w:tcPr>
            <w:tcW w:w="1435"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101.9</w:t>
            </w:r>
          </w:p>
        </w:tc>
      </w:tr>
      <w:tr w:rsidR="00D10275" w:rsidRPr="00D10275" w:rsidTr="00A14074">
        <w:trPr>
          <w:trHeight w:hRule="exact" w:val="274"/>
          <w:jc w:val="center"/>
        </w:trPr>
        <w:tc>
          <w:tcPr>
            <w:tcW w:w="960" w:type="dxa"/>
            <w:vMerge/>
            <w:vAlign w:val="center"/>
            <w:hideMark/>
          </w:tcPr>
          <w:p w:rsidR="00D10275" w:rsidRPr="003B3A7D" w:rsidRDefault="00D10275" w:rsidP="00D10275">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Offices, Finance, Services</w:t>
            </w:r>
          </w:p>
        </w:tc>
        <w:tc>
          <w:tcPr>
            <w:tcW w:w="116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13</w:t>
            </w:r>
          </w:p>
        </w:tc>
        <w:tc>
          <w:tcPr>
            <w:tcW w:w="1539"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5.2</w:t>
            </w:r>
          </w:p>
        </w:tc>
        <w:tc>
          <w:tcPr>
            <w:tcW w:w="1103"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77</w:t>
            </w:r>
          </w:p>
        </w:tc>
        <w:tc>
          <w:tcPr>
            <w:tcW w:w="1435"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34.6</w:t>
            </w:r>
          </w:p>
        </w:tc>
      </w:tr>
      <w:tr w:rsidR="00D10275" w:rsidRPr="00D10275" w:rsidTr="00A14074">
        <w:trPr>
          <w:trHeight w:hRule="exact" w:val="274"/>
          <w:jc w:val="center"/>
        </w:trPr>
        <w:tc>
          <w:tcPr>
            <w:tcW w:w="960" w:type="dxa"/>
            <w:vMerge/>
            <w:vAlign w:val="center"/>
            <w:hideMark/>
          </w:tcPr>
          <w:p w:rsidR="00D10275" w:rsidRPr="003B3A7D" w:rsidRDefault="00D10275" w:rsidP="00D10275">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Other or unknown</w:t>
            </w:r>
          </w:p>
        </w:tc>
        <w:tc>
          <w:tcPr>
            <w:tcW w:w="116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w:t>
            </w:r>
          </w:p>
        </w:tc>
        <w:tc>
          <w:tcPr>
            <w:tcW w:w="1539"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0.4</w:t>
            </w:r>
          </w:p>
        </w:tc>
        <w:tc>
          <w:tcPr>
            <w:tcW w:w="1103"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2</w:t>
            </w:r>
          </w:p>
        </w:tc>
        <w:tc>
          <w:tcPr>
            <w:tcW w:w="1435"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0.2</w:t>
            </w:r>
          </w:p>
        </w:tc>
      </w:tr>
      <w:tr w:rsidR="00D10275" w:rsidRPr="00D10275" w:rsidTr="00A14074">
        <w:trPr>
          <w:trHeight w:hRule="exact" w:val="274"/>
          <w:jc w:val="center"/>
        </w:trPr>
        <w:tc>
          <w:tcPr>
            <w:tcW w:w="960" w:type="dxa"/>
            <w:vMerge/>
            <w:vAlign w:val="center"/>
            <w:hideMark/>
          </w:tcPr>
          <w:p w:rsidR="00D10275" w:rsidRPr="003B3A7D" w:rsidRDefault="00D10275" w:rsidP="00D10275">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Retail stores</w:t>
            </w:r>
          </w:p>
        </w:tc>
        <w:tc>
          <w:tcPr>
            <w:tcW w:w="116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28</w:t>
            </w:r>
          </w:p>
        </w:tc>
        <w:tc>
          <w:tcPr>
            <w:tcW w:w="1539"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10.8</w:t>
            </w:r>
          </w:p>
        </w:tc>
        <w:tc>
          <w:tcPr>
            <w:tcW w:w="1103"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236</w:t>
            </w:r>
          </w:p>
        </w:tc>
        <w:tc>
          <w:tcPr>
            <w:tcW w:w="1435"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55.8</w:t>
            </w:r>
          </w:p>
        </w:tc>
      </w:tr>
      <w:tr w:rsidR="00D10275" w:rsidRPr="00D10275" w:rsidTr="00A14074">
        <w:trPr>
          <w:trHeight w:hRule="exact" w:val="274"/>
          <w:jc w:val="center"/>
        </w:trPr>
        <w:tc>
          <w:tcPr>
            <w:tcW w:w="960" w:type="dxa"/>
            <w:vMerge/>
            <w:vAlign w:val="center"/>
            <w:hideMark/>
          </w:tcPr>
          <w:p w:rsidR="00D10275" w:rsidRPr="003B3A7D" w:rsidRDefault="00D10275" w:rsidP="00D10275">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Schools</w:t>
            </w:r>
          </w:p>
        </w:tc>
        <w:tc>
          <w:tcPr>
            <w:tcW w:w="116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41</w:t>
            </w:r>
          </w:p>
        </w:tc>
        <w:tc>
          <w:tcPr>
            <w:tcW w:w="1539"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12.1</w:t>
            </w:r>
          </w:p>
        </w:tc>
        <w:tc>
          <w:tcPr>
            <w:tcW w:w="1103"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33</w:t>
            </w:r>
          </w:p>
        </w:tc>
        <w:tc>
          <w:tcPr>
            <w:tcW w:w="1435"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29.7</w:t>
            </w:r>
          </w:p>
        </w:tc>
      </w:tr>
      <w:tr w:rsidR="00D10275" w:rsidRPr="00D10275" w:rsidTr="00A14074">
        <w:trPr>
          <w:trHeight w:hRule="exact" w:val="274"/>
          <w:jc w:val="center"/>
        </w:trPr>
        <w:tc>
          <w:tcPr>
            <w:tcW w:w="960" w:type="dxa"/>
            <w:vMerge/>
            <w:vAlign w:val="center"/>
            <w:hideMark/>
          </w:tcPr>
          <w:p w:rsidR="00D10275" w:rsidRPr="003B3A7D" w:rsidRDefault="00D10275" w:rsidP="00D10275">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Water Districts</w:t>
            </w:r>
          </w:p>
        </w:tc>
        <w:tc>
          <w:tcPr>
            <w:tcW w:w="116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w:t>
            </w:r>
          </w:p>
        </w:tc>
        <w:tc>
          <w:tcPr>
            <w:tcW w:w="1539"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0.1</w:t>
            </w:r>
          </w:p>
        </w:tc>
        <w:tc>
          <w:tcPr>
            <w:tcW w:w="1103"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50</w:t>
            </w:r>
          </w:p>
        </w:tc>
        <w:tc>
          <w:tcPr>
            <w:tcW w:w="1435"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33.5</w:t>
            </w:r>
          </w:p>
        </w:tc>
      </w:tr>
      <w:tr w:rsidR="00D10275" w:rsidRPr="00D10275" w:rsidTr="00A14074">
        <w:trPr>
          <w:trHeight w:hRule="exact" w:val="274"/>
          <w:jc w:val="center"/>
        </w:trPr>
        <w:tc>
          <w:tcPr>
            <w:tcW w:w="960" w:type="dxa"/>
            <w:vMerge/>
            <w:vAlign w:val="center"/>
            <w:hideMark/>
          </w:tcPr>
          <w:p w:rsidR="00D10275" w:rsidRPr="003B3A7D" w:rsidRDefault="00D10275" w:rsidP="00D10275">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Wholesale, Transport, other utilities</w:t>
            </w:r>
          </w:p>
        </w:tc>
        <w:tc>
          <w:tcPr>
            <w:tcW w:w="1160"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17</w:t>
            </w:r>
          </w:p>
        </w:tc>
        <w:tc>
          <w:tcPr>
            <w:tcW w:w="1539"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6.3</w:t>
            </w:r>
          </w:p>
        </w:tc>
        <w:tc>
          <w:tcPr>
            <w:tcW w:w="1103"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89</w:t>
            </w:r>
          </w:p>
        </w:tc>
        <w:tc>
          <w:tcPr>
            <w:tcW w:w="1435" w:type="dxa"/>
            <w:shd w:val="clear" w:color="auto" w:fill="auto"/>
            <w:noWrap/>
            <w:vAlign w:val="center"/>
            <w:hideMark/>
          </w:tcPr>
          <w:p w:rsidR="00D10275" w:rsidRPr="003B3A7D" w:rsidRDefault="00D10275" w:rsidP="00D10275">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34.5</w:t>
            </w:r>
          </w:p>
        </w:tc>
      </w:tr>
    </w:tbl>
    <w:p w:rsidR="005310C6" w:rsidRDefault="005310C6">
      <w:pPr>
        <w:pStyle w:val="BodyParagraph"/>
      </w:pPr>
      <w:bookmarkStart w:id="61" w:name="_Toc320625141"/>
      <w:bookmarkStart w:id="62" w:name="_Toc320626072"/>
      <w:bookmarkStart w:id="63" w:name="_Toc320626884"/>
      <w:bookmarkStart w:id="64" w:name="_Toc320627123"/>
      <w:bookmarkEnd w:id="61"/>
      <w:bookmarkEnd w:id="62"/>
      <w:bookmarkEnd w:id="63"/>
      <w:bookmarkEnd w:id="64"/>
    </w:p>
    <w:p w:rsidR="005310C6" w:rsidRDefault="00CD31F9">
      <w:pPr>
        <w:pStyle w:val="Heading3"/>
      </w:pPr>
      <w:bookmarkStart w:id="65" w:name="_Toc318805711"/>
      <w:bookmarkStart w:id="66" w:name="_Toc318805712"/>
      <w:bookmarkStart w:id="67" w:name="_Toc326074002"/>
      <w:bookmarkEnd w:id="65"/>
      <w:bookmarkEnd w:id="66"/>
      <w:r>
        <w:t xml:space="preserve">SCE’s </w:t>
      </w:r>
      <w:r w:rsidRPr="003B3A7D">
        <w:t>D</w:t>
      </w:r>
      <w:r w:rsidR="002F534E" w:rsidRPr="003B3A7D">
        <w:t>emand</w:t>
      </w:r>
      <w:r w:rsidR="002F534E">
        <w:t xml:space="preserve"> Response Resource Contracts</w:t>
      </w:r>
      <w:bookmarkEnd w:id="67"/>
    </w:p>
    <w:p w:rsidR="00A73F2B" w:rsidRDefault="00455356">
      <w:pPr>
        <w:pStyle w:val="BodyParagraph"/>
        <w:rPr>
          <w:sz w:val="13"/>
          <w:szCs w:val="13"/>
        </w:rPr>
      </w:pPr>
      <w:r>
        <w:t>For 2011</w:t>
      </w:r>
      <w:r w:rsidR="002F534E">
        <w:t>, SCE has f</w:t>
      </w:r>
      <w:r w:rsidR="001F3105">
        <w:t>our</w:t>
      </w:r>
      <w:r w:rsidR="002F534E">
        <w:t xml:space="preserve"> active bilateral DRRC</w:t>
      </w:r>
      <w:r w:rsidR="001F3105">
        <w:t xml:space="preserve"> contracts</w:t>
      </w:r>
      <w:r w:rsidR="002F534E">
        <w:t xml:space="preserve"> with third-party aggregators authorized by the CPUC during 2007 through 2009.</w:t>
      </w:r>
      <w:r w:rsidR="008C64A5">
        <w:t xml:space="preserve"> </w:t>
      </w:r>
      <w:r w:rsidR="007B2DD3">
        <w:t xml:space="preserve"> When the contracts were signed, t</w:t>
      </w:r>
      <w:r w:rsidR="002F534E">
        <w:t>he DR</w:t>
      </w:r>
      <w:r w:rsidR="001F3105">
        <w:t>RC</w:t>
      </w:r>
      <w:r w:rsidR="002F534E">
        <w:t xml:space="preserve"> resource capacity</w:t>
      </w:r>
      <w:r w:rsidR="00147655">
        <w:t xml:space="preserve"> wa</w:t>
      </w:r>
      <w:r w:rsidR="002F534E">
        <w:t>s expected to</w:t>
      </w:r>
      <w:r w:rsidR="007B2DD3">
        <w:t xml:space="preserve"> range between 275 MW an</w:t>
      </w:r>
      <w:r w:rsidR="00901955">
        <w:t>d</w:t>
      </w:r>
      <w:r w:rsidR="007B2DD3">
        <w:t xml:space="preserve"> 300 MW between June and September, 2011</w:t>
      </w:r>
      <w:r w:rsidR="002F534E">
        <w:t>.</w:t>
      </w:r>
    </w:p>
    <w:p w:rsidR="00896B04" w:rsidRDefault="002F534E" w:rsidP="00020540">
      <w:pPr>
        <w:pStyle w:val="BodyParagraph"/>
      </w:pPr>
      <w:r>
        <w:t>The availability, dispatc</w:t>
      </w:r>
      <w:r w:rsidR="001F3105">
        <w:t>h terms, allowed event duration</w:t>
      </w:r>
      <w:r>
        <w:t xml:space="preserve"> and MW reduction per month vary by contract and some of these provisions are treated as confidential.</w:t>
      </w:r>
      <w:r w:rsidR="008C64A5">
        <w:t xml:space="preserve"> </w:t>
      </w:r>
      <w:r>
        <w:rPr>
          <w:sz w:val="13"/>
          <w:szCs w:val="13"/>
        </w:rPr>
        <w:t xml:space="preserve"> </w:t>
      </w:r>
      <w:r>
        <w:t xml:space="preserve">Notification for the event dispatch for the </w:t>
      </w:r>
      <w:r w:rsidRPr="00020540">
        <w:t>contracts</w:t>
      </w:r>
      <w:r>
        <w:t xml:space="preserve"> is either day-of or day-ahead.</w:t>
      </w:r>
      <w:r w:rsidR="00901955">
        <w:t xml:space="preserve"> </w:t>
      </w:r>
      <w:r>
        <w:t xml:space="preserve"> </w:t>
      </w:r>
      <w:r w:rsidR="00455356">
        <w:t xml:space="preserve">Three of the four </w:t>
      </w:r>
      <w:r w:rsidR="005C31CD">
        <w:t xml:space="preserve">DRRC contracts </w:t>
      </w:r>
      <w:r w:rsidR="00455356">
        <w:t xml:space="preserve">could </w:t>
      </w:r>
      <w:r w:rsidR="005C31CD">
        <w:t xml:space="preserve">be called year round, not just during the summer.  </w:t>
      </w:r>
      <w:r>
        <w:t>A number of the operational and compensation provisions of the contracts</w:t>
      </w:r>
      <w:r w:rsidR="00455356">
        <w:t xml:space="preserve"> are similar to</w:t>
      </w:r>
      <w:r>
        <w:t xml:space="preserve"> SCE’s Capacity Bidding Program (e.g., calculations of baseline, delivered energy payment, delivered capacity and penalties).</w:t>
      </w:r>
      <w:r w:rsidR="003E7761" w:rsidRPr="00050374">
        <w:t xml:space="preserve"> </w:t>
      </w:r>
    </w:p>
    <w:p w:rsidR="00901955" w:rsidRDefault="00901955" w:rsidP="00901955">
      <w:pPr>
        <w:pStyle w:val="BodyParagraph"/>
      </w:pPr>
      <w:r>
        <w:t xml:space="preserve">Table </w:t>
      </w:r>
      <w:r w:rsidR="00A52143">
        <w:t>2</w:t>
      </w:r>
      <w:r>
        <w:t xml:space="preserve">-3 shows the average number of accounts nominated during the 2011 summer by product type and industry segment.  The number of </w:t>
      </w:r>
      <w:r w:rsidR="008C492F">
        <w:t>nominated</w:t>
      </w:r>
      <w:r>
        <w:t xml:space="preserve"> accounts is typically higher than the number of accounts called for single events, particularly for same-day resources (DRRC-DO), because all aggregators were not dispatched jointly and because nominations vary slightly by month.  In addition, </w:t>
      </w:r>
      <w:r w:rsidR="008C492F">
        <w:t xml:space="preserve">aggregators did not nominate </w:t>
      </w:r>
      <w:r>
        <w:t xml:space="preserve">all accounts enrolled </w:t>
      </w:r>
      <w:r w:rsidR="008C492F">
        <w:t>in the program into their resource</w:t>
      </w:r>
      <w:r>
        <w:t xml:space="preserve"> portfolios.</w:t>
      </w:r>
    </w:p>
    <w:p w:rsidR="005310C6" w:rsidRDefault="003D2080">
      <w:pPr>
        <w:pStyle w:val="BodyParagraph"/>
        <w:rPr>
          <w:b/>
        </w:rPr>
      </w:pPr>
      <w:r w:rsidRPr="003D2080">
        <w:t xml:space="preserve">For </w:t>
      </w:r>
      <w:r w:rsidR="001D5412" w:rsidRPr="001D5412">
        <w:t>both day-ahead and day-of resources, customers are concentrated in the Retail, Manufacturing and Water District Sectors.  The Reta</w:t>
      </w:r>
      <w:r w:rsidR="00D80C88">
        <w:t>il sector accounts for roughly 2</w:t>
      </w:r>
      <w:r w:rsidR="001D5412" w:rsidRPr="001D5412">
        <w:t>5% of the program load in both the day-ahead and day-of options.  Jointly, Manufacturing and Water Districts account for roughly another 35% of the program load in each program</w:t>
      </w:r>
      <w:r w:rsidR="00011DE1">
        <w:t> </w:t>
      </w:r>
      <w:r w:rsidRPr="003D2080">
        <w:t>option.</w:t>
      </w:r>
    </w:p>
    <w:p w:rsidR="00A73F2B" w:rsidRDefault="0006070E" w:rsidP="00BA25E2">
      <w:pPr>
        <w:pStyle w:val="TableFigureCaption"/>
      </w:pPr>
      <w:r w:rsidRPr="003B3A7D">
        <w:lastRenderedPageBreak/>
        <w:t>Table</w:t>
      </w:r>
      <w:r>
        <w:t xml:space="preserve"> </w:t>
      </w:r>
      <w:r w:rsidR="00A52143">
        <w:t>2</w:t>
      </w:r>
      <w:r>
        <w:noBreakHyphen/>
      </w:r>
      <w:fldSimple w:instr=" STYLEREF 1 \s ">
        <w:r w:rsidR="00F66D5E">
          <w:rPr>
            <w:noProof/>
          </w:rPr>
          <w:t>2</w:t>
        </w:r>
      </w:fldSimple>
      <w:r w:rsidR="00F55000">
        <w:noBreakHyphen/>
      </w:r>
      <w:fldSimple w:instr=" SEQ Table \* ARABIC \s 1 ">
        <w:r w:rsidR="00F66D5E">
          <w:rPr>
            <w:noProof/>
          </w:rPr>
          <w:t>3</w:t>
        </w:r>
      </w:fldSimple>
      <w:r>
        <w:t>:</w:t>
      </w:r>
      <w:r w:rsidR="00011DE1">
        <w:t xml:space="preserve"> </w:t>
      </w:r>
      <w:r w:rsidR="003C584F">
        <w:t xml:space="preserve">Average Number of Accounts Nominated for SCE’s </w:t>
      </w:r>
      <w:r w:rsidR="00011DE1">
        <w:br/>
      </w:r>
      <w:r w:rsidR="003C584F">
        <w:t xml:space="preserve">Demand Response Resource </w:t>
      </w:r>
      <w:proofErr w:type="gramStart"/>
      <w:r w:rsidR="003C584F">
        <w:t>Contracts</w:t>
      </w:r>
      <w:r w:rsidR="00BA25E2">
        <w:t xml:space="preserve"> </w:t>
      </w:r>
      <w:r>
        <w:t>,</w:t>
      </w:r>
      <w:proofErr w:type="gramEnd"/>
      <w:r>
        <w:t xml:space="preserve"> by </w:t>
      </w:r>
      <w:r w:rsidR="003B3A7D">
        <w:t>I</w:t>
      </w:r>
      <w:r>
        <w:t>ndustry</w:t>
      </w:r>
    </w:p>
    <w:tbl>
      <w:tblPr>
        <w:tblW w:w="964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3200"/>
        <w:gridCol w:w="1160"/>
        <w:gridCol w:w="1532"/>
        <w:gridCol w:w="1350"/>
        <w:gridCol w:w="1440"/>
      </w:tblGrid>
      <w:tr w:rsidR="00284347" w:rsidRPr="00284347" w:rsidTr="00A14074">
        <w:trPr>
          <w:trHeight w:val="288"/>
        </w:trPr>
        <w:tc>
          <w:tcPr>
            <w:tcW w:w="960" w:type="dxa"/>
            <w:vMerge w:val="restart"/>
            <w:tcBorders>
              <w:right w:val="single" w:sz="4" w:space="0" w:color="FFFFFF" w:themeColor="background1"/>
            </w:tcBorders>
            <w:shd w:val="clear" w:color="000000" w:fill="376091"/>
            <w:vAlign w:val="center"/>
            <w:hideMark/>
          </w:tcPr>
          <w:p w:rsidR="00284347" w:rsidRPr="00284347" w:rsidRDefault="00284347" w:rsidP="003B3A7D">
            <w:pPr>
              <w:pStyle w:val="TableHeader"/>
              <w:rPr>
                <w:rFonts w:eastAsia="Times New Roman"/>
              </w:rPr>
            </w:pPr>
            <w:r w:rsidRPr="00284347">
              <w:rPr>
                <w:rFonts w:eastAsia="Times New Roman"/>
              </w:rPr>
              <w:t>IOU</w:t>
            </w:r>
          </w:p>
        </w:tc>
        <w:tc>
          <w:tcPr>
            <w:tcW w:w="3200" w:type="dxa"/>
            <w:vMerge w:val="restart"/>
            <w:tcBorders>
              <w:left w:val="single" w:sz="4" w:space="0" w:color="FFFFFF" w:themeColor="background1"/>
              <w:right w:val="single" w:sz="4" w:space="0" w:color="FFFFFF" w:themeColor="background1"/>
            </w:tcBorders>
            <w:shd w:val="clear" w:color="000000" w:fill="376091"/>
            <w:vAlign w:val="center"/>
            <w:hideMark/>
          </w:tcPr>
          <w:p w:rsidR="00284347" w:rsidRPr="00284347" w:rsidRDefault="00284347" w:rsidP="003B3A7D">
            <w:pPr>
              <w:pStyle w:val="TableHeader"/>
              <w:rPr>
                <w:rFonts w:eastAsia="Times New Roman"/>
              </w:rPr>
            </w:pPr>
            <w:r w:rsidRPr="00284347">
              <w:rPr>
                <w:rFonts w:eastAsia="Times New Roman"/>
              </w:rPr>
              <w:t>Industry</w:t>
            </w:r>
          </w:p>
        </w:tc>
        <w:tc>
          <w:tcPr>
            <w:tcW w:w="2692" w:type="dxa"/>
            <w:gridSpan w:val="2"/>
            <w:tcBorders>
              <w:left w:val="single" w:sz="4" w:space="0" w:color="FFFFFF" w:themeColor="background1"/>
              <w:bottom w:val="single" w:sz="4" w:space="0" w:color="FFFFFF" w:themeColor="background1"/>
              <w:right w:val="single" w:sz="4" w:space="0" w:color="FFFFFF" w:themeColor="background1"/>
            </w:tcBorders>
            <w:shd w:val="clear" w:color="000000" w:fill="376091"/>
            <w:noWrap/>
            <w:vAlign w:val="center"/>
            <w:hideMark/>
          </w:tcPr>
          <w:p w:rsidR="00284347" w:rsidRPr="003B3A7D" w:rsidRDefault="000761CF" w:rsidP="003B3A7D">
            <w:pPr>
              <w:pStyle w:val="TableHeader"/>
            </w:pPr>
            <w:r>
              <w:t>Day-Ahead</w:t>
            </w:r>
          </w:p>
        </w:tc>
        <w:tc>
          <w:tcPr>
            <w:tcW w:w="2790" w:type="dxa"/>
            <w:gridSpan w:val="2"/>
            <w:tcBorders>
              <w:left w:val="single" w:sz="4" w:space="0" w:color="FFFFFF" w:themeColor="background1"/>
              <w:bottom w:val="single" w:sz="4" w:space="0" w:color="FFFFFF" w:themeColor="background1"/>
            </w:tcBorders>
            <w:shd w:val="clear" w:color="000000" w:fill="376091"/>
            <w:noWrap/>
            <w:vAlign w:val="center"/>
            <w:hideMark/>
          </w:tcPr>
          <w:p w:rsidR="00284347" w:rsidRPr="003B3A7D" w:rsidRDefault="000761CF" w:rsidP="003B3A7D">
            <w:pPr>
              <w:pStyle w:val="TableHeader"/>
            </w:pPr>
            <w:r>
              <w:t>Day-Of</w:t>
            </w:r>
          </w:p>
        </w:tc>
      </w:tr>
      <w:tr w:rsidR="00284347" w:rsidRPr="00284347" w:rsidTr="00A14074">
        <w:trPr>
          <w:trHeight w:val="732"/>
        </w:trPr>
        <w:tc>
          <w:tcPr>
            <w:tcW w:w="960" w:type="dxa"/>
            <w:vMerge/>
            <w:tcBorders>
              <w:right w:val="single" w:sz="4" w:space="0" w:color="FFFFFF" w:themeColor="background1"/>
            </w:tcBorders>
            <w:vAlign w:val="center"/>
            <w:hideMark/>
          </w:tcPr>
          <w:p w:rsidR="00284347" w:rsidRPr="00284347" w:rsidRDefault="00284347" w:rsidP="003B3A7D">
            <w:pPr>
              <w:pStyle w:val="TableHeader"/>
              <w:rPr>
                <w:rFonts w:eastAsia="Times New Roman"/>
              </w:rPr>
            </w:pPr>
          </w:p>
        </w:tc>
        <w:tc>
          <w:tcPr>
            <w:tcW w:w="3200" w:type="dxa"/>
            <w:vMerge/>
            <w:tcBorders>
              <w:left w:val="single" w:sz="4" w:space="0" w:color="FFFFFF" w:themeColor="background1"/>
              <w:right w:val="single" w:sz="4" w:space="0" w:color="FFFFFF" w:themeColor="background1"/>
            </w:tcBorders>
            <w:vAlign w:val="center"/>
            <w:hideMark/>
          </w:tcPr>
          <w:p w:rsidR="00284347" w:rsidRPr="00284347" w:rsidRDefault="00284347" w:rsidP="003B3A7D">
            <w:pPr>
              <w:pStyle w:val="TableHeader"/>
              <w:rPr>
                <w:rFonts w:eastAsia="Times New Roman"/>
              </w:rPr>
            </w:pPr>
          </w:p>
        </w:tc>
        <w:tc>
          <w:tcPr>
            <w:tcW w:w="11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284347" w:rsidRPr="00284347" w:rsidRDefault="00284347" w:rsidP="003B3A7D">
            <w:pPr>
              <w:pStyle w:val="TableHeader"/>
              <w:rPr>
                <w:rFonts w:eastAsia="Times New Roman"/>
              </w:rPr>
            </w:pPr>
            <w:r w:rsidRPr="00284347">
              <w:rPr>
                <w:rFonts w:eastAsia="Times New Roman"/>
              </w:rPr>
              <w:t>Acc</w:t>
            </w:r>
            <w:r w:rsidR="000761CF">
              <w:rPr>
                <w:rFonts w:eastAsia="Times New Roman"/>
              </w:rPr>
              <w:t>oun</w:t>
            </w:r>
            <w:r w:rsidRPr="00284347">
              <w:rPr>
                <w:rFonts w:eastAsia="Times New Roman"/>
              </w:rPr>
              <w:t>ts</w:t>
            </w:r>
          </w:p>
        </w:tc>
        <w:tc>
          <w:tcPr>
            <w:tcW w:w="1532"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284347" w:rsidRPr="00284347" w:rsidRDefault="005C1492" w:rsidP="003B3A7D">
            <w:pPr>
              <w:pStyle w:val="TableHeader"/>
              <w:rPr>
                <w:rFonts w:eastAsia="Times New Roman"/>
              </w:rPr>
            </w:pPr>
            <w:r w:rsidRPr="005C1492">
              <w:rPr>
                <w:rFonts w:eastAsia="Times New Roman" w:cs="Arial"/>
                <w:bCs/>
                <w:color w:val="FFFFFF"/>
                <w:sz w:val="18"/>
                <w:szCs w:val="18"/>
              </w:rPr>
              <w:t>Aggregate Avg. Summer Max Demand (MW)</w:t>
            </w:r>
          </w:p>
        </w:tc>
        <w:tc>
          <w:tcPr>
            <w:tcW w:w="135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284347" w:rsidRPr="00284347" w:rsidRDefault="00284347" w:rsidP="003B3A7D">
            <w:pPr>
              <w:pStyle w:val="TableHeader"/>
              <w:rPr>
                <w:rFonts w:eastAsia="Times New Roman"/>
              </w:rPr>
            </w:pPr>
            <w:r w:rsidRPr="00284347">
              <w:rPr>
                <w:rFonts w:eastAsia="Times New Roman"/>
              </w:rPr>
              <w:t>Acc</w:t>
            </w:r>
            <w:r w:rsidR="000761CF">
              <w:rPr>
                <w:rFonts w:eastAsia="Times New Roman"/>
              </w:rPr>
              <w:t>oun</w:t>
            </w:r>
            <w:r w:rsidRPr="00284347">
              <w:rPr>
                <w:rFonts w:eastAsia="Times New Roman"/>
              </w:rPr>
              <w:t>ts</w:t>
            </w:r>
          </w:p>
        </w:tc>
        <w:tc>
          <w:tcPr>
            <w:tcW w:w="1440" w:type="dxa"/>
            <w:tcBorders>
              <w:top w:val="single" w:sz="4" w:space="0" w:color="FFFFFF" w:themeColor="background1"/>
              <w:left w:val="single" w:sz="4" w:space="0" w:color="FFFFFF" w:themeColor="background1"/>
            </w:tcBorders>
            <w:shd w:val="clear" w:color="000000" w:fill="376091"/>
            <w:vAlign w:val="center"/>
            <w:hideMark/>
          </w:tcPr>
          <w:p w:rsidR="00284347" w:rsidRPr="00284347" w:rsidRDefault="005C1492" w:rsidP="003B3A7D">
            <w:pPr>
              <w:pStyle w:val="TableHeader"/>
              <w:rPr>
                <w:rFonts w:eastAsia="Times New Roman"/>
              </w:rPr>
            </w:pPr>
            <w:r w:rsidRPr="005C1492">
              <w:rPr>
                <w:rFonts w:eastAsia="Times New Roman" w:cs="Arial"/>
                <w:bCs/>
                <w:color w:val="FFFFFF"/>
                <w:sz w:val="18"/>
                <w:szCs w:val="18"/>
              </w:rPr>
              <w:t>Aggregate Avg. Summer Max Demand (MW)</w:t>
            </w:r>
          </w:p>
        </w:tc>
      </w:tr>
      <w:tr w:rsidR="00284347" w:rsidRPr="00284347" w:rsidTr="00A14074">
        <w:trPr>
          <w:trHeight w:val="288"/>
        </w:trPr>
        <w:tc>
          <w:tcPr>
            <w:tcW w:w="960" w:type="dxa"/>
            <w:vMerge w:val="restart"/>
            <w:shd w:val="clear" w:color="auto" w:fill="auto"/>
            <w:noWrap/>
            <w:vAlign w:val="center"/>
            <w:hideMark/>
          </w:tcPr>
          <w:p w:rsidR="00284347" w:rsidRPr="003B3A7D" w:rsidRDefault="008808E4" w:rsidP="0028434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SC</w:t>
            </w:r>
            <w:r w:rsidR="00284347" w:rsidRPr="003B3A7D">
              <w:rPr>
                <w:rFonts w:ascii="Arial" w:eastAsia="Times New Roman" w:hAnsi="Arial" w:cs="Arial"/>
                <w:color w:val="000000"/>
                <w:sz w:val="18"/>
                <w:szCs w:val="18"/>
              </w:rPr>
              <w:t>E</w:t>
            </w:r>
          </w:p>
        </w:tc>
        <w:tc>
          <w:tcPr>
            <w:tcW w:w="320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b/>
                <w:bCs/>
                <w:color w:val="000000"/>
                <w:sz w:val="18"/>
                <w:szCs w:val="18"/>
              </w:rPr>
            </w:pPr>
            <w:r w:rsidRPr="003B3A7D">
              <w:rPr>
                <w:rFonts w:ascii="Arial" w:eastAsia="Times New Roman" w:hAnsi="Arial" w:cs="Arial"/>
                <w:b/>
                <w:bCs/>
                <w:color w:val="000000"/>
                <w:sz w:val="18"/>
                <w:szCs w:val="18"/>
              </w:rPr>
              <w:t>All Customers</w:t>
            </w:r>
          </w:p>
        </w:tc>
        <w:tc>
          <w:tcPr>
            <w:tcW w:w="116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b/>
                <w:bCs/>
                <w:color w:val="000000"/>
                <w:sz w:val="18"/>
                <w:szCs w:val="18"/>
              </w:rPr>
            </w:pPr>
            <w:r w:rsidRPr="003B3A7D">
              <w:rPr>
                <w:rFonts w:ascii="Arial" w:eastAsia="Times New Roman" w:hAnsi="Arial" w:cs="Arial"/>
                <w:b/>
                <w:bCs/>
                <w:color w:val="000000"/>
                <w:sz w:val="18"/>
                <w:szCs w:val="18"/>
              </w:rPr>
              <w:t>292</w:t>
            </w:r>
          </w:p>
        </w:tc>
        <w:tc>
          <w:tcPr>
            <w:tcW w:w="1532"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b/>
                <w:bCs/>
                <w:color w:val="000000"/>
                <w:sz w:val="18"/>
                <w:szCs w:val="18"/>
              </w:rPr>
            </w:pPr>
            <w:r w:rsidRPr="003B3A7D">
              <w:rPr>
                <w:rFonts w:ascii="Arial" w:eastAsia="Times New Roman" w:hAnsi="Arial" w:cs="Arial"/>
                <w:b/>
                <w:bCs/>
                <w:color w:val="000000"/>
                <w:sz w:val="18"/>
                <w:szCs w:val="18"/>
              </w:rPr>
              <w:t>64.6</w:t>
            </w:r>
          </w:p>
        </w:tc>
        <w:tc>
          <w:tcPr>
            <w:tcW w:w="135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b/>
                <w:bCs/>
                <w:color w:val="000000"/>
                <w:sz w:val="18"/>
                <w:szCs w:val="18"/>
              </w:rPr>
            </w:pPr>
            <w:r w:rsidRPr="003B3A7D">
              <w:rPr>
                <w:rFonts w:ascii="Arial" w:eastAsia="Times New Roman" w:hAnsi="Arial" w:cs="Arial"/>
                <w:b/>
                <w:bCs/>
                <w:color w:val="000000"/>
                <w:sz w:val="18"/>
                <w:szCs w:val="18"/>
              </w:rPr>
              <w:t>1399</w:t>
            </w:r>
          </w:p>
        </w:tc>
        <w:tc>
          <w:tcPr>
            <w:tcW w:w="144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b/>
                <w:bCs/>
                <w:color w:val="000000"/>
                <w:sz w:val="18"/>
                <w:szCs w:val="18"/>
              </w:rPr>
            </w:pPr>
            <w:r w:rsidRPr="003B3A7D">
              <w:rPr>
                <w:rFonts w:ascii="Arial" w:eastAsia="Times New Roman" w:hAnsi="Arial" w:cs="Arial"/>
                <w:b/>
                <w:bCs/>
                <w:color w:val="000000"/>
                <w:sz w:val="18"/>
                <w:szCs w:val="18"/>
              </w:rPr>
              <w:t>482.9</w:t>
            </w:r>
          </w:p>
        </w:tc>
      </w:tr>
      <w:tr w:rsidR="00284347" w:rsidRPr="00284347" w:rsidTr="00A14074">
        <w:trPr>
          <w:trHeight w:val="288"/>
        </w:trPr>
        <w:tc>
          <w:tcPr>
            <w:tcW w:w="960" w:type="dxa"/>
            <w:vMerge/>
            <w:vAlign w:val="center"/>
            <w:hideMark/>
          </w:tcPr>
          <w:p w:rsidR="00284347" w:rsidRPr="003B3A7D" w:rsidRDefault="00284347" w:rsidP="00284347">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Agriculture, Mining &amp; Construction</w:t>
            </w:r>
          </w:p>
        </w:tc>
        <w:tc>
          <w:tcPr>
            <w:tcW w:w="116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100</w:t>
            </w:r>
          </w:p>
        </w:tc>
        <w:tc>
          <w:tcPr>
            <w:tcW w:w="1532"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7.1</w:t>
            </w:r>
          </w:p>
        </w:tc>
        <w:tc>
          <w:tcPr>
            <w:tcW w:w="135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55</w:t>
            </w:r>
          </w:p>
        </w:tc>
        <w:tc>
          <w:tcPr>
            <w:tcW w:w="144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10.0</w:t>
            </w:r>
          </w:p>
        </w:tc>
      </w:tr>
      <w:tr w:rsidR="00284347" w:rsidRPr="00284347" w:rsidTr="00A14074">
        <w:trPr>
          <w:trHeight w:val="288"/>
        </w:trPr>
        <w:tc>
          <w:tcPr>
            <w:tcW w:w="960" w:type="dxa"/>
            <w:vMerge/>
            <w:vAlign w:val="center"/>
            <w:hideMark/>
          </w:tcPr>
          <w:p w:rsidR="00284347" w:rsidRPr="003B3A7D" w:rsidRDefault="00284347" w:rsidP="00284347">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Institutional/Government</w:t>
            </w:r>
          </w:p>
        </w:tc>
        <w:tc>
          <w:tcPr>
            <w:tcW w:w="116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3</w:t>
            </w:r>
          </w:p>
        </w:tc>
        <w:tc>
          <w:tcPr>
            <w:tcW w:w="1532"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0.2</w:t>
            </w:r>
          </w:p>
        </w:tc>
        <w:tc>
          <w:tcPr>
            <w:tcW w:w="135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19</w:t>
            </w:r>
          </w:p>
        </w:tc>
        <w:tc>
          <w:tcPr>
            <w:tcW w:w="144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19.3</w:t>
            </w:r>
          </w:p>
        </w:tc>
      </w:tr>
      <w:tr w:rsidR="00284347" w:rsidRPr="00284347" w:rsidTr="00A14074">
        <w:trPr>
          <w:trHeight w:val="288"/>
        </w:trPr>
        <w:tc>
          <w:tcPr>
            <w:tcW w:w="960" w:type="dxa"/>
            <w:vMerge/>
            <w:vAlign w:val="center"/>
            <w:hideMark/>
          </w:tcPr>
          <w:p w:rsidR="00284347" w:rsidRPr="003B3A7D" w:rsidRDefault="00284347" w:rsidP="00284347">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Manufacturing</w:t>
            </w:r>
          </w:p>
        </w:tc>
        <w:tc>
          <w:tcPr>
            <w:tcW w:w="116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16</w:t>
            </w:r>
          </w:p>
        </w:tc>
        <w:tc>
          <w:tcPr>
            <w:tcW w:w="1532"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9.1</w:t>
            </w:r>
          </w:p>
        </w:tc>
        <w:tc>
          <w:tcPr>
            <w:tcW w:w="135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118</w:t>
            </w:r>
          </w:p>
        </w:tc>
        <w:tc>
          <w:tcPr>
            <w:tcW w:w="144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105.5</w:t>
            </w:r>
          </w:p>
        </w:tc>
      </w:tr>
      <w:tr w:rsidR="00284347" w:rsidRPr="00284347" w:rsidTr="00A14074">
        <w:trPr>
          <w:trHeight w:val="288"/>
        </w:trPr>
        <w:tc>
          <w:tcPr>
            <w:tcW w:w="960" w:type="dxa"/>
            <w:vMerge/>
            <w:vAlign w:val="center"/>
            <w:hideMark/>
          </w:tcPr>
          <w:p w:rsidR="00284347" w:rsidRPr="003B3A7D" w:rsidRDefault="00284347" w:rsidP="00284347">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Offices, Finance, Services</w:t>
            </w:r>
          </w:p>
        </w:tc>
        <w:tc>
          <w:tcPr>
            <w:tcW w:w="116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19</w:t>
            </w:r>
          </w:p>
        </w:tc>
        <w:tc>
          <w:tcPr>
            <w:tcW w:w="1532"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8.3</w:t>
            </w:r>
          </w:p>
        </w:tc>
        <w:tc>
          <w:tcPr>
            <w:tcW w:w="135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119</w:t>
            </w:r>
          </w:p>
        </w:tc>
        <w:tc>
          <w:tcPr>
            <w:tcW w:w="144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36.8</w:t>
            </w:r>
          </w:p>
        </w:tc>
      </w:tr>
      <w:tr w:rsidR="00284347" w:rsidRPr="00284347" w:rsidTr="00A14074">
        <w:trPr>
          <w:trHeight w:val="288"/>
        </w:trPr>
        <w:tc>
          <w:tcPr>
            <w:tcW w:w="960" w:type="dxa"/>
            <w:vMerge/>
            <w:vAlign w:val="center"/>
            <w:hideMark/>
          </w:tcPr>
          <w:p w:rsidR="00284347" w:rsidRPr="003B3A7D" w:rsidRDefault="00284347" w:rsidP="00284347">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Other or unknown</w:t>
            </w:r>
          </w:p>
        </w:tc>
        <w:tc>
          <w:tcPr>
            <w:tcW w:w="116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4</w:t>
            </w:r>
          </w:p>
        </w:tc>
        <w:tc>
          <w:tcPr>
            <w:tcW w:w="1532"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0.2</w:t>
            </w:r>
          </w:p>
        </w:tc>
        <w:tc>
          <w:tcPr>
            <w:tcW w:w="1350" w:type="dxa"/>
            <w:shd w:val="clear" w:color="auto" w:fill="auto"/>
            <w:noWrap/>
            <w:vAlign w:val="center"/>
            <w:hideMark/>
          </w:tcPr>
          <w:p w:rsidR="00284347" w:rsidRPr="003B3A7D" w:rsidRDefault="008808E4" w:rsidP="0028434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p>
        </w:tc>
        <w:tc>
          <w:tcPr>
            <w:tcW w:w="1440" w:type="dxa"/>
            <w:shd w:val="clear" w:color="auto" w:fill="auto"/>
            <w:noWrap/>
            <w:vAlign w:val="center"/>
            <w:hideMark/>
          </w:tcPr>
          <w:p w:rsidR="00284347" w:rsidRPr="003B3A7D" w:rsidRDefault="008808E4" w:rsidP="0028434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w:t>
            </w:r>
          </w:p>
        </w:tc>
      </w:tr>
      <w:tr w:rsidR="00284347" w:rsidRPr="00284347" w:rsidTr="00A14074">
        <w:trPr>
          <w:trHeight w:val="288"/>
        </w:trPr>
        <w:tc>
          <w:tcPr>
            <w:tcW w:w="960" w:type="dxa"/>
            <w:vMerge/>
            <w:vAlign w:val="center"/>
            <w:hideMark/>
          </w:tcPr>
          <w:p w:rsidR="00284347" w:rsidRPr="003B3A7D" w:rsidRDefault="00284347" w:rsidP="00284347">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Retail stores</w:t>
            </w:r>
          </w:p>
        </w:tc>
        <w:tc>
          <w:tcPr>
            <w:tcW w:w="116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85</w:t>
            </w:r>
          </w:p>
        </w:tc>
        <w:tc>
          <w:tcPr>
            <w:tcW w:w="1532"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22.9</w:t>
            </w:r>
          </w:p>
        </w:tc>
        <w:tc>
          <w:tcPr>
            <w:tcW w:w="135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622</w:t>
            </w:r>
          </w:p>
        </w:tc>
        <w:tc>
          <w:tcPr>
            <w:tcW w:w="144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177.2</w:t>
            </w:r>
          </w:p>
        </w:tc>
      </w:tr>
      <w:tr w:rsidR="00284347" w:rsidRPr="00284347" w:rsidTr="00A14074">
        <w:trPr>
          <w:trHeight w:val="288"/>
        </w:trPr>
        <w:tc>
          <w:tcPr>
            <w:tcW w:w="960" w:type="dxa"/>
            <w:vMerge/>
            <w:vAlign w:val="center"/>
            <w:hideMark/>
          </w:tcPr>
          <w:p w:rsidR="00284347" w:rsidRPr="003B3A7D" w:rsidRDefault="00284347" w:rsidP="00284347">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Schools</w:t>
            </w:r>
          </w:p>
        </w:tc>
        <w:tc>
          <w:tcPr>
            <w:tcW w:w="1160" w:type="dxa"/>
            <w:shd w:val="clear" w:color="auto" w:fill="auto"/>
            <w:noWrap/>
            <w:vAlign w:val="center"/>
            <w:hideMark/>
          </w:tcPr>
          <w:p w:rsidR="00284347" w:rsidRPr="003B3A7D" w:rsidRDefault="008808E4" w:rsidP="0028434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0</w:t>
            </w:r>
          </w:p>
        </w:tc>
        <w:tc>
          <w:tcPr>
            <w:tcW w:w="1532" w:type="dxa"/>
            <w:shd w:val="clear" w:color="auto" w:fill="auto"/>
            <w:noWrap/>
            <w:vAlign w:val="center"/>
            <w:hideMark/>
          </w:tcPr>
          <w:p w:rsidR="00284347" w:rsidRPr="003B3A7D" w:rsidRDefault="008808E4" w:rsidP="00284347">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w:t>
            </w:r>
          </w:p>
        </w:tc>
        <w:tc>
          <w:tcPr>
            <w:tcW w:w="135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31</w:t>
            </w:r>
          </w:p>
        </w:tc>
        <w:tc>
          <w:tcPr>
            <w:tcW w:w="144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40.0</w:t>
            </w:r>
          </w:p>
        </w:tc>
      </w:tr>
      <w:tr w:rsidR="00284347" w:rsidRPr="00284347" w:rsidTr="00A14074">
        <w:trPr>
          <w:trHeight w:val="288"/>
        </w:trPr>
        <w:tc>
          <w:tcPr>
            <w:tcW w:w="960" w:type="dxa"/>
            <w:vMerge/>
            <w:vAlign w:val="center"/>
            <w:hideMark/>
          </w:tcPr>
          <w:p w:rsidR="00284347" w:rsidRPr="003B3A7D" w:rsidRDefault="00284347" w:rsidP="00284347">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Water Districts</w:t>
            </w:r>
          </w:p>
        </w:tc>
        <w:tc>
          <w:tcPr>
            <w:tcW w:w="116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57</w:t>
            </w:r>
          </w:p>
        </w:tc>
        <w:tc>
          <w:tcPr>
            <w:tcW w:w="1532"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4.9</w:t>
            </w:r>
          </w:p>
        </w:tc>
        <w:tc>
          <w:tcPr>
            <w:tcW w:w="135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392</w:t>
            </w:r>
          </w:p>
        </w:tc>
        <w:tc>
          <w:tcPr>
            <w:tcW w:w="144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75.2</w:t>
            </w:r>
          </w:p>
        </w:tc>
      </w:tr>
      <w:tr w:rsidR="00284347" w:rsidRPr="00284347" w:rsidTr="00A14074">
        <w:trPr>
          <w:trHeight w:val="288"/>
        </w:trPr>
        <w:tc>
          <w:tcPr>
            <w:tcW w:w="960" w:type="dxa"/>
            <w:vMerge/>
            <w:vAlign w:val="center"/>
            <w:hideMark/>
          </w:tcPr>
          <w:p w:rsidR="00284347" w:rsidRPr="003B3A7D" w:rsidRDefault="00284347" w:rsidP="00284347">
            <w:pPr>
              <w:spacing w:after="0" w:line="240" w:lineRule="auto"/>
              <w:rPr>
                <w:rFonts w:ascii="Arial" w:eastAsia="Times New Roman" w:hAnsi="Arial" w:cs="Arial"/>
                <w:color w:val="000000"/>
                <w:sz w:val="18"/>
                <w:szCs w:val="18"/>
              </w:rPr>
            </w:pPr>
          </w:p>
        </w:tc>
        <w:tc>
          <w:tcPr>
            <w:tcW w:w="320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Wholesale, Transport, other utilities</w:t>
            </w:r>
          </w:p>
        </w:tc>
        <w:tc>
          <w:tcPr>
            <w:tcW w:w="116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8</w:t>
            </w:r>
          </w:p>
        </w:tc>
        <w:tc>
          <w:tcPr>
            <w:tcW w:w="1532"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11.8</w:t>
            </w:r>
          </w:p>
        </w:tc>
        <w:tc>
          <w:tcPr>
            <w:tcW w:w="135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43</w:t>
            </w:r>
          </w:p>
        </w:tc>
        <w:tc>
          <w:tcPr>
            <w:tcW w:w="1440" w:type="dxa"/>
            <w:shd w:val="clear" w:color="auto" w:fill="auto"/>
            <w:noWrap/>
            <w:vAlign w:val="center"/>
            <w:hideMark/>
          </w:tcPr>
          <w:p w:rsidR="00284347" w:rsidRPr="003B3A7D" w:rsidRDefault="00284347" w:rsidP="00284347">
            <w:pPr>
              <w:spacing w:after="0" w:line="240" w:lineRule="auto"/>
              <w:jc w:val="center"/>
              <w:rPr>
                <w:rFonts w:ascii="Arial" w:eastAsia="Times New Roman" w:hAnsi="Arial" w:cs="Arial"/>
                <w:color w:val="000000"/>
                <w:sz w:val="18"/>
                <w:szCs w:val="18"/>
              </w:rPr>
            </w:pPr>
            <w:r w:rsidRPr="003B3A7D">
              <w:rPr>
                <w:rFonts w:ascii="Arial" w:eastAsia="Times New Roman" w:hAnsi="Arial" w:cs="Arial"/>
                <w:color w:val="000000"/>
                <w:sz w:val="18"/>
                <w:szCs w:val="18"/>
              </w:rPr>
              <w:t>18.9</w:t>
            </w:r>
          </w:p>
        </w:tc>
      </w:tr>
    </w:tbl>
    <w:p w:rsidR="005310C6" w:rsidRDefault="00307DD1">
      <w:pPr>
        <w:pStyle w:val="Heading2"/>
        <w:spacing w:before="360"/>
        <w:ind w:left="547" w:hanging="547"/>
      </w:pPr>
      <w:bookmarkStart w:id="68" w:name="_Toc318805714"/>
      <w:bookmarkStart w:id="69" w:name="_Toc326074003"/>
      <w:bookmarkEnd w:id="68"/>
      <w:r>
        <w:t>Report Organization</w:t>
      </w:r>
      <w:bookmarkEnd w:id="69"/>
    </w:p>
    <w:p w:rsidR="00A73F2B" w:rsidRDefault="00307DD1">
      <w:pPr>
        <w:pStyle w:val="BodyBeforeBullet"/>
      </w:pPr>
      <w:r>
        <w:t xml:space="preserve">This report is the first of two volumes.  This volume addresses </w:t>
      </w:r>
      <w:r w:rsidR="00901955">
        <w:t xml:space="preserve">the following </w:t>
      </w:r>
      <w:r w:rsidR="003E7761" w:rsidRPr="00050374">
        <w:rPr>
          <w:rFonts w:eastAsiaTheme="minorHAnsi"/>
        </w:rPr>
        <w:t>research</w:t>
      </w:r>
      <w:r w:rsidR="000761CF">
        <w:rPr>
          <w:rFonts w:eastAsiaTheme="minorHAnsi"/>
        </w:rPr>
        <w:t xml:space="preserve"> questions</w:t>
      </w:r>
      <w:r w:rsidR="000761CF">
        <w:t xml:space="preserve">:  </w:t>
      </w:r>
    </w:p>
    <w:p w:rsidR="009555F5" w:rsidRDefault="00345F96">
      <w:pPr>
        <w:pStyle w:val="Bullets"/>
      </w:pPr>
      <w:r w:rsidRPr="00345F96">
        <w:t xml:space="preserve">What demand reductions were delivered for each </w:t>
      </w:r>
      <w:r w:rsidR="00F56ADB">
        <w:t xml:space="preserve">utility and program for </w:t>
      </w:r>
      <w:r w:rsidRPr="00345F96">
        <w:t>event in 2011?</w:t>
      </w:r>
    </w:p>
    <w:p w:rsidR="00011137" w:rsidRDefault="001F3105">
      <w:pPr>
        <w:pStyle w:val="BulletLast"/>
      </w:pPr>
      <w:r>
        <w:t xml:space="preserve">How </w:t>
      </w:r>
      <w:r w:rsidR="00345F96" w:rsidRPr="00345F96">
        <w:t>do</w:t>
      </w:r>
      <w:r>
        <w:t xml:space="preserve"> impacts </w:t>
      </w:r>
      <w:r w:rsidR="003E7761" w:rsidRPr="00050374">
        <w:t xml:space="preserve">vary by industry, geographic area, customer size, type of dispatch (day-of versus day-ahead) </w:t>
      </w:r>
      <w:r>
        <w:t>and program type</w:t>
      </w:r>
      <w:r w:rsidR="003E7761" w:rsidRPr="00050374">
        <w:t>?</w:t>
      </w:r>
    </w:p>
    <w:p w:rsidR="009555F5" w:rsidRDefault="00F9297F">
      <w:pPr>
        <w:pStyle w:val="BodyParagraph"/>
      </w:pPr>
      <w:r w:rsidRPr="00050374">
        <w:t xml:space="preserve">The remainder of this </w:t>
      </w:r>
      <w:r w:rsidR="00956AA6">
        <w:t>v</w:t>
      </w:r>
      <w:r>
        <w:t xml:space="preserve">olume </w:t>
      </w:r>
      <w:r w:rsidRPr="00050374">
        <w:t xml:space="preserve">is organized as follows.  Section </w:t>
      </w:r>
      <w:r w:rsidR="00767E42">
        <w:t>3</w:t>
      </w:r>
      <w:r w:rsidRPr="00050374">
        <w:t xml:space="preserve"> summarizes the methodology used to </w:t>
      </w:r>
      <w:r>
        <w:t xml:space="preserve">develop </w:t>
      </w:r>
      <w:r w:rsidRPr="00050374">
        <w:t xml:space="preserve">the ex post </w:t>
      </w:r>
      <w:r>
        <w:t xml:space="preserve">load </w:t>
      </w:r>
      <w:r w:rsidRPr="00050374">
        <w:t>impact estimates</w:t>
      </w:r>
      <w:r>
        <w:t>.  It also contains a high level summary of</w:t>
      </w:r>
      <w:r w:rsidRPr="00050374">
        <w:t xml:space="preserve"> the results of validation tests </w:t>
      </w:r>
      <w:r>
        <w:t xml:space="preserve">that were conducted </w:t>
      </w:r>
      <w:r w:rsidRPr="00050374">
        <w:t xml:space="preserve">to determine the best model specification and approach.  Sections </w:t>
      </w:r>
      <w:r w:rsidR="00767E42">
        <w:t>4</w:t>
      </w:r>
      <w:r w:rsidRPr="00050374">
        <w:t xml:space="preserve"> through </w:t>
      </w:r>
      <w:r w:rsidR="00767E42">
        <w:t>6</w:t>
      </w:r>
      <w:r w:rsidRPr="00050374">
        <w:t xml:space="preserve"> contain the 2011 ex post results for each utility</w:t>
      </w:r>
      <w:r>
        <w:t xml:space="preserve"> and program</w:t>
      </w:r>
      <w:r w:rsidRPr="00050374">
        <w:t xml:space="preserve">.  </w:t>
      </w:r>
      <w:r>
        <w:t xml:space="preserve">The three appendices </w:t>
      </w:r>
      <w:r w:rsidRPr="00050374">
        <w:t xml:space="preserve">contain detailed information on the validation </w:t>
      </w:r>
      <w:r>
        <w:t xml:space="preserve">process.  </w:t>
      </w:r>
      <w:r w:rsidRPr="00050374">
        <w:t xml:space="preserve">In addition, electronic spreadsheet files containing draft hourly load impact estimates for </w:t>
      </w:r>
      <w:r>
        <w:t xml:space="preserve">each utility </w:t>
      </w:r>
      <w:r w:rsidRPr="00050374">
        <w:t>for the day types and event conditions required by the CPUC Load Impact Protocols</w:t>
      </w:r>
      <w:r w:rsidRPr="00FF5308">
        <w:t xml:space="preserve"> </w:t>
      </w:r>
      <w:r w:rsidRPr="00050374">
        <w:t xml:space="preserve">have been provided along </w:t>
      </w:r>
      <w:r>
        <w:t xml:space="preserve">with </w:t>
      </w:r>
      <w:r w:rsidRPr="00050374">
        <w:t>this report.</w:t>
      </w:r>
      <w:r>
        <w:t xml:space="preserve">  </w:t>
      </w:r>
    </w:p>
    <w:p w:rsidR="00A84697" w:rsidRPr="00050374" w:rsidRDefault="007B31BC" w:rsidP="00A84697">
      <w:pPr>
        <w:pStyle w:val="Heading1"/>
      </w:pPr>
      <w:bookmarkStart w:id="70" w:name="_Toc320785076"/>
      <w:bookmarkStart w:id="71" w:name="_Toc320785078"/>
      <w:bookmarkStart w:id="72" w:name="_Toc320785079"/>
      <w:bookmarkStart w:id="73" w:name="_Toc318644920"/>
      <w:bookmarkStart w:id="74" w:name="_Toc318718227"/>
      <w:bookmarkStart w:id="75" w:name="_Toc318805716"/>
      <w:bookmarkStart w:id="76" w:name="_Toc318644921"/>
      <w:bookmarkStart w:id="77" w:name="_Toc318718228"/>
      <w:bookmarkStart w:id="78" w:name="_Toc318805717"/>
      <w:bookmarkEnd w:id="70"/>
      <w:bookmarkEnd w:id="71"/>
      <w:bookmarkEnd w:id="72"/>
      <w:bookmarkEnd w:id="73"/>
      <w:bookmarkEnd w:id="74"/>
      <w:bookmarkEnd w:id="75"/>
      <w:bookmarkEnd w:id="76"/>
      <w:bookmarkEnd w:id="77"/>
      <w:bookmarkEnd w:id="78"/>
      <w:r>
        <w:br w:type="column"/>
      </w:r>
      <w:bookmarkStart w:id="79" w:name="_Toc326074004"/>
      <w:r w:rsidR="001017C6">
        <w:lastRenderedPageBreak/>
        <w:t>Method</w:t>
      </w:r>
      <w:r w:rsidR="00124750">
        <w:t>ology</w:t>
      </w:r>
      <w:bookmarkEnd w:id="79"/>
    </w:p>
    <w:p w:rsidR="00A84697" w:rsidRPr="00050374" w:rsidRDefault="00A84697" w:rsidP="00A84697">
      <w:pPr>
        <w:pStyle w:val="BodyParagraph"/>
      </w:pPr>
      <w:r w:rsidRPr="00050374">
        <w:t>The protocols governing the development of load impact</w:t>
      </w:r>
      <w:r w:rsidR="00F56ADB">
        <w:t xml:space="preserve"> estimate</w:t>
      </w:r>
      <w:r w:rsidRPr="00050374">
        <w:t xml:space="preserve">s were designed to help ensure that demand response </w:t>
      </w:r>
      <w:r w:rsidR="00F56ADB">
        <w:t>resources c</w:t>
      </w:r>
      <w:r w:rsidRPr="00050374">
        <w:t>ould be directly compar</w:t>
      </w:r>
      <w:r w:rsidR="00F56ADB">
        <w:t>ed</w:t>
      </w:r>
      <w:r w:rsidRPr="00050374">
        <w:t xml:space="preserve"> with other resource alternatives (</w:t>
      </w:r>
      <w:r w:rsidR="001D5412" w:rsidRPr="001D5412">
        <w:rPr>
          <w:i/>
        </w:rPr>
        <w:t>i.e</w:t>
      </w:r>
      <w:r w:rsidRPr="00050374">
        <w:t xml:space="preserve">., other DR resources, energy efficiency, </w:t>
      </w:r>
      <w:proofErr w:type="spellStart"/>
      <w:r w:rsidRPr="00050374">
        <w:t>renewables</w:t>
      </w:r>
      <w:proofErr w:type="spellEnd"/>
      <w:r w:rsidRPr="00050374">
        <w:t xml:space="preserve"> and generation).  The </w:t>
      </w:r>
      <w:r w:rsidR="0049796A" w:rsidRPr="00050374">
        <w:rPr>
          <w:iCs/>
        </w:rPr>
        <w:t>ex post</w:t>
      </w:r>
      <w:r w:rsidRPr="00050374">
        <w:t xml:space="preserve"> evaluation results reflect the demand reductions delivered during historical events, based on the conditions that were in effect during that time.  In contrast, </w:t>
      </w:r>
      <w:r w:rsidR="0049796A" w:rsidRPr="00050374">
        <w:rPr>
          <w:iCs/>
        </w:rPr>
        <w:t>ex ante</w:t>
      </w:r>
      <w:r w:rsidRPr="00050374">
        <w:t xml:space="preserve"> </w:t>
      </w:r>
      <w:r w:rsidR="000761CF">
        <w:t xml:space="preserve">load impact estimates </w:t>
      </w:r>
      <w:r w:rsidRPr="00050374">
        <w:t>are designed to reflect the full load reduction capability of a DR resource under a standard set of weather conditions that drive the need for additional</w:t>
      </w:r>
      <w:r w:rsidR="00AA39FA">
        <w:t> </w:t>
      </w:r>
      <w:r w:rsidRPr="00050374">
        <w:t>capacity.</w:t>
      </w:r>
    </w:p>
    <w:p w:rsidR="00A84697" w:rsidRPr="00050374" w:rsidRDefault="000761CF" w:rsidP="00A84697">
      <w:pPr>
        <w:pStyle w:val="BodyParagraph"/>
      </w:pPr>
      <w:r>
        <w:t xml:space="preserve">Load impact estimates </w:t>
      </w:r>
      <w:r w:rsidR="00A84697" w:rsidRPr="00050374">
        <w:t>for historical events do not necessarily reflect the full demand reduction capability of aggregator programs.</w:t>
      </w:r>
      <w:r w:rsidR="004F6B7C" w:rsidRPr="00050374">
        <w:t xml:space="preserve"> </w:t>
      </w:r>
      <w:r w:rsidR="00A84697" w:rsidRPr="00050374">
        <w:t xml:space="preserve"> For many historical events</w:t>
      </w:r>
      <w:r w:rsidR="001F3105">
        <w:t xml:space="preserve">, </w:t>
      </w:r>
      <w:r w:rsidR="00E33849">
        <w:t xml:space="preserve">not all of </w:t>
      </w:r>
      <w:r w:rsidR="00A84697" w:rsidRPr="00050374">
        <w:t xml:space="preserve">the </w:t>
      </w:r>
      <w:r w:rsidR="001F3105">
        <w:t xml:space="preserve">available </w:t>
      </w:r>
      <w:r w:rsidR="00A84697" w:rsidRPr="00050374">
        <w:t xml:space="preserve">resources were dispatched.  Because historical demand reductions are tied to past conditions such as dispatch strategy, enrollment levels and customer mix, </w:t>
      </w:r>
      <w:r w:rsidR="00A84697" w:rsidRPr="00050374">
        <w:rPr>
          <w:iCs/>
        </w:rPr>
        <w:t>they</w:t>
      </w:r>
      <w:r w:rsidR="00A84697" w:rsidRPr="00050374">
        <w:t xml:space="preserve"> may not reflect the full option value of a DR</w:t>
      </w:r>
      <w:r w:rsidR="005C1492">
        <w:t xml:space="preserve"> </w:t>
      </w:r>
      <w:r w:rsidR="00A84697" w:rsidRPr="00050374">
        <w:t>resource.</w:t>
      </w:r>
    </w:p>
    <w:p w:rsidR="00A84697" w:rsidRPr="00050374" w:rsidRDefault="009C67DD" w:rsidP="00BA25E2">
      <w:pPr>
        <w:pStyle w:val="Heading2"/>
      </w:pPr>
      <w:bookmarkStart w:id="80" w:name="_Toc326074005"/>
      <w:r w:rsidRPr="00050374">
        <w:t>Regression Model Selection</w:t>
      </w:r>
      <w:bookmarkEnd w:id="80"/>
    </w:p>
    <w:p w:rsidR="001D14F7" w:rsidRDefault="001D14F7" w:rsidP="001D14F7">
      <w:pPr>
        <w:pStyle w:val="BodyParagraph"/>
      </w:pPr>
      <w:r>
        <w:t xml:space="preserve">To calculate load reductions for demand response programs, customer’s load patterns in the absence of program participation – the reference load – must be estimated.  Reference loads can be estimated </w:t>
      </w:r>
      <w:r w:rsidRPr="000A294F">
        <w:t>using pre-enrollment data</w:t>
      </w:r>
      <w:r>
        <w:t>, by observing</w:t>
      </w:r>
      <w:r w:rsidRPr="000A294F">
        <w:t xml:space="preserve"> </w:t>
      </w:r>
      <w:r>
        <w:t xml:space="preserve">differences in </w:t>
      </w:r>
      <w:r w:rsidRPr="000A294F">
        <w:t xml:space="preserve">behavior during </w:t>
      </w:r>
      <w:r>
        <w:t xml:space="preserve">event and </w:t>
      </w:r>
      <w:r w:rsidRPr="000A294F">
        <w:t>non-event d</w:t>
      </w:r>
      <w:r>
        <w:t>ays (</w:t>
      </w:r>
      <w:r w:rsidR="001D5412" w:rsidRPr="001D5412">
        <w:rPr>
          <w:i/>
        </w:rPr>
        <w:t>i.e</w:t>
      </w:r>
      <w:r>
        <w:t>., a “within subjects” design), by using an external control group or through a combination of the above.  The most rigorous method for impact evaluatio</w:t>
      </w:r>
      <w:r w:rsidR="001F3105">
        <w:t>n</w:t>
      </w:r>
      <w:r>
        <w:t xml:space="preserve"> is a well executed experiment with random assignment to control and treatment conditions.  Randomized experiments are rarely feasible for actual programs.  In the absence of a controlled experiment, the best available method is a function of program characteristics, available data and the ability to incorporate research design elements into the analysis and statistical</w:t>
      </w:r>
      <w:r w:rsidR="00A00B41">
        <w:t> </w:t>
      </w:r>
      <w:r>
        <w:t>modeling.</w:t>
      </w:r>
    </w:p>
    <w:p w:rsidR="001D14F7" w:rsidRDefault="001D14F7" w:rsidP="001D14F7">
      <w:pPr>
        <w:pStyle w:val="BodyParagraph"/>
      </w:pPr>
      <w:r>
        <w:t>With the aggregator programs, t</w:t>
      </w:r>
      <w:r w:rsidRPr="009F4670">
        <w:t xml:space="preserve">he </w:t>
      </w:r>
      <w:r>
        <w:t xml:space="preserve">primary </w:t>
      </w:r>
      <w:r w:rsidRPr="009F4670">
        <w:t>in</w:t>
      </w:r>
      <w:r>
        <w:t>tervention is</w:t>
      </w:r>
      <w:r w:rsidRPr="009F4670">
        <w:t xml:space="preserve"> </w:t>
      </w:r>
      <w:r>
        <w:t>present o</w:t>
      </w:r>
      <w:r w:rsidRPr="009F4670">
        <w:t xml:space="preserve">n some days and not </w:t>
      </w:r>
      <w:r>
        <w:t>o</w:t>
      </w:r>
      <w:r w:rsidRPr="009F4670">
        <w:t>n others, making it possible to observe behavior with and without events</w:t>
      </w:r>
      <w:r>
        <w:t xml:space="preserve"> under similar conditions</w:t>
      </w:r>
      <w:r w:rsidRPr="009F4670">
        <w:t xml:space="preserve">.  </w:t>
      </w:r>
      <w:r>
        <w:t xml:space="preserve">This type of repeated treatment supports a “within subjects” </w:t>
      </w:r>
      <w:r w:rsidR="000761CF">
        <w:t xml:space="preserve">analysis </w:t>
      </w:r>
      <w:r>
        <w:t>design in which impacts are determined by comparing differences in peak period e</w:t>
      </w:r>
      <w:r w:rsidR="00E33849">
        <w:t>lectricit</w:t>
      </w:r>
      <w:r>
        <w:t xml:space="preserve">y use on event days and </w:t>
      </w:r>
      <w:r w:rsidR="000761CF">
        <w:t xml:space="preserve">on </w:t>
      </w:r>
      <w:r>
        <w:t>similar days when events are not called.  This approach works</w:t>
      </w:r>
      <w:r w:rsidRPr="009F4670">
        <w:t xml:space="preserve"> if</w:t>
      </w:r>
      <w:r w:rsidRPr="00050374">
        <w:t xml:space="preserve"> </w:t>
      </w:r>
      <w:r>
        <w:t>customer behavior on “event-like”</w:t>
      </w:r>
      <w:r w:rsidRPr="00050374">
        <w:t xml:space="preserve"> days is similar to</w:t>
      </w:r>
      <w:r>
        <w:t xml:space="preserve"> their behavior on</w:t>
      </w:r>
      <w:r w:rsidRPr="00050374">
        <w:t xml:space="preserve"> event days.  </w:t>
      </w:r>
      <w:r>
        <w:t>This underlying assumption can be made with reasonable confidence</w:t>
      </w:r>
      <w:r w:rsidRPr="00050374">
        <w:t xml:space="preserve"> for w</w:t>
      </w:r>
      <w:r>
        <w:t>eather insensitive customers.  H</w:t>
      </w:r>
      <w:r w:rsidRPr="00050374">
        <w:t>owever, more caution is req</w:t>
      </w:r>
      <w:r w:rsidR="000761CF">
        <w:t>uired in evaluating impacts for</w:t>
      </w:r>
      <w:r w:rsidRPr="00050374">
        <w:t xml:space="preserve"> weather sensitive customers. </w:t>
      </w:r>
      <w:r>
        <w:t xml:space="preserve"> The aggregator programs tend to be dispatched </w:t>
      </w:r>
      <w:r w:rsidR="001F3105">
        <w:t xml:space="preserve">on </w:t>
      </w:r>
      <w:r>
        <w:t>high system load d</w:t>
      </w:r>
      <w:r w:rsidR="000761CF">
        <w:t>ays when temperatures are well above average</w:t>
      </w:r>
      <w:r>
        <w:t xml:space="preserve">.  </w:t>
      </w:r>
      <w:r w:rsidRPr="00050374">
        <w:t xml:space="preserve">A critical task of the evaluation is to ensure </w:t>
      </w:r>
      <w:r>
        <w:t xml:space="preserve">that </w:t>
      </w:r>
      <w:r w:rsidRPr="00050374">
        <w:t>factors that may correlate with</w:t>
      </w:r>
      <w:r w:rsidR="00E33849">
        <w:t xml:space="preserve"> hotter temperatures</w:t>
      </w:r>
      <w:r w:rsidRPr="00050374">
        <w:t xml:space="preserve"> are not confounded with demand reductions.</w:t>
      </w:r>
    </w:p>
    <w:p w:rsidR="00A84697" w:rsidRPr="00050374" w:rsidRDefault="001D14F7" w:rsidP="00A84697">
      <w:pPr>
        <w:pStyle w:val="BodyParagraph"/>
      </w:pPr>
      <w:r>
        <w:t xml:space="preserve">Individual customer regressions were the primary </w:t>
      </w:r>
      <w:r w:rsidR="008808E4">
        <w:t>method</w:t>
      </w:r>
      <w:r>
        <w:t xml:space="preserve"> </w:t>
      </w:r>
      <w:r w:rsidR="000761CF">
        <w:t xml:space="preserve">used to </w:t>
      </w:r>
      <w:r>
        <w:t>estimat</w:t>
      </w:r>
      <w:r w:rsidR="000761CF">
        <w:t>e</w:t>
      </w:r>
      <w:r>
        <w:t xml:space="preserve"> ex post load impacts.  </w:t>
      </w:r>
      <w:r>
        <w:rPr>
          <w:rFonts w:cs="Arial"/>
          <w:szCs w:val="20"/>
        </w:rPr>
        <w:t>The analysis consisted</w:t>
      </w:r>
      <w:r w:rsidRPr="00050374">
        <w:rPr>
          <w:rFonts w:cs="Arial"/>
          <w:szCs w:val="20"/>
        </w:rPr>
        <w:t xml:space="preserve"> of applying regression models separately to each set of customer load data at the </w:t>
      </w:r>
      <w:r w:rsidR="008808E4">
        <w:rPr>
          <w:rFonts w:cs="Arial"/>
          <w:szCs w:val="20"/>
        </w:rPr>
        <w:t>half-</w:t>
      </w:r>
      <w:r w:rsidRPr="00050374">
        <w:rPr>
          <w:rFonts w:cs="Arial"/>
          <w:szCs w:val="20"/>
        </w:rPr>
        <w:t>hourly leve</w:t>
      </w:r>
      <w:r>
        <w:rPr>
          <w:rFonts w:cs="Arial"/>
          <w:szCs w:val="20"/>
        </w:rPr>
        <w:t xml:space="preserve">l – </w:t>
      </w:r>
      <w:r w:rsidR="008808E4">
        <w:rPr>
          <w:rFonts w:cs="Arial"/>
          <w:szCs w:val="20"/>
        </w:rPr>
        <w:t>48</w:t>
      </w:r>
      <w:r>
        <w:rPr>
          <w:rFonts w:cs="Arial"/>
          <w:szCs w:val="20"/>
        </w:rPr>
        <w:t xml:space="preserve"> models for each customer.</w:t>
      </w:r>
      <w:r w:rsidR="008808E4">
        <w:rPr>
          <w:rStyle w:val="FootnoteReference"/>
          <w:rFonts w:cs="Arial"/>
          <w:szCs w:val="20"/>
        </w:rPr>
        <w:footnoteReference w:id="6"/>
      </w:r>
      <w:r w:rsidRPr="00050374">
        <w:rPr>
          <w:rFonts w:cs="Arial"/>
          <w:szCs w:val="20"/>
        </w:rPr>
        <w:t xml:space="preserve"> </w:t>
      </w:r>
      <w:r>
        <w:rPr>
          <w:rFonts w:cs="Arial"/>
          <w:szCs w:val="20"/>
        </w:rPr>
        <w:t xml:space="preserve"> An alternative specification would be to run a single model for each customer with every term interacted with </w:t>
      </w:r>
      <w:r w:rsidR="000761CF">
        <w:rPr>
          <w:rFonts w:cs="Arial"/>
          <w:szCs w:val="20"/>
        </w:rPr>
        <w:t xml:space="preserve">each </w:t>
      </w:r>
      <w:r w:rsidR="008808E4">
        <w:rPr>
          <w:rFonts w:cs="Arial"/>
          <w:szCs w:val="20"/>
        </w:rPr>
        <w:t>half-</w:t>
      </w:r>
      <w:r>
        <w:rPr>
          <w:rFonts w:cs="Arial"/>
          <w:szCs w:val="20"/>
        </w:rPr>
        <w:t xml:space="preserve">hour </w:t>
      </w:r>
      <w:r w:rsidR="000761CF">
        <w:rPr>
          <w:rFonts w:cs="Arial"/>
          <w:szCs w:val="20"/>
        </w:rPr>
        <w:t>interval</w:t>
      </w:r>
      <w:r>
        <w:rPr>
          <w:rFonts w:cs="Arial"/>
          <w:szCs w:val="20"/>
        </w:rPr>
        <w:t xml:space="preserve">.  Running </w:t>
      </w:r>
      <w:r w:rsidR="008808E4">
        <w:rPr>
          <w:rFonts w:cs="Arial"/>
          <w:szCs w:val="20"/>
        </w:rPr>
        <w:t>48</w:t>
      </w:r>
      <w:r>
        <w:rPr>
          <w:rFonts w:cs="Arial"/>
          <w:szCs w:val="20"/>
        </w:rPr>
        <w:t xml:space="preserve"> separate models produces coefficients and standard errors that are arithmetically equivalent to the </w:t>
      </w:r>
      <w:r>
        <w:rPr>
          <w:rFonts w:cs="Arial"/>
          <w:szCs w:val="20"/>
        </w:rPr>
        <w:lastRenderedPageBreak/>
        <w:t xml:space="preserve">outputs produced by the single model with </w:t>
      </w:r>
      <w:r w:rsidR="008808E4">
        <w:rPr>
          <w:rFonts w:cs="Arial"/>
          <w:szCs w:val="20"/>
        </w:rPr>
        <w:t>half-</w:t>
      </w:r>
      <w:r>
        <w:rPr>
          <w:rFonts w:cs="Arial"/>
          <w:szCs w:val="20"/>
        </w:rPr>
        <w:t xml:space="preserve">hourly interactions, but the </w:t>
      </w:r>
      <w:r w:rsidR="008808E4">
        <w:rPr>
          <w:rFonts w:cs="Arial"/>
          <w:szCs w:val="20"/>
        </w:rPr>
        <w:t>48</w:t>
      </w:r>
      <w:r>
        <w:rPr>
          <w:rFonts w:cs="Arial"/>
          <w:szCs w:val="20"/>
        </w:rPr>
        <w:t xml:space="preserve"> separate models are easier to interpret and using this approach produces intermediate outputs that can be synthesized more quickly.  </w:t>
      </w:r>
      <w:r w:rsidRPr="00050374">
        <w:rPr>
          <w:rFonts w:cs="Arial"/>
          <w:szCs w:val="20"/>
        </w:rPr>
        <w:t xml:space="preserve">The regression </w:t>
      </w:r>
      <w:r>
        <w:rPr>
          <w:rFonts w:cs="Arial"/>
          <w:szCs w:val="20"/>
        </w:rPr>
        <w:t xml:space="preserve">coefficients are specific to </w:t>
      </w:r>
      <w:r w:rsidRPr="00050374">
        <w:rPr>
          <w:rFonts w:cs="Arial"/>
          <w:szCs w:val="20"/>
        </w:rPr>
        <w:t xml:space="preserve">each customer and </w:t>
      </w:r>
      <w:r w:rsidR="008808E4">
        <w:rPr>
          <w:rFonts w:cs="Arial"/>
          <w:szCs w:val="20"/>
        </w:rPr>
        <w:t>half-</w:t>
      </w:r>
      <w:r w:rsidRPr="00050374">
        <w:rPr>
          <w:rFonts w:cs="Arial"/>
          <w:szCs w:val="20"/>
        </w:rPr>
        <w:t xml:space="preserve">hour.  </w:t>
      </w:r>
      <w:r w:rsidR="00263101">
        <w:rPr>
          <w:rFonts w:cs="Arial"/>
          <w:szCs w:val="20"/>
        </w:rPr>
        <w:t>Since</w:t>
      </w:r>
      <w:r w:rsidRPr="00050374">
        <w:rPr>
          <w:rFonts w:cs="Arial"/>
          <w:szCs w:val="20"/>
        </w:rPr>
        <w:t xml:space="preserve"> each customer is analyzed individually</w:t>
      </w:r>
      <w:r w:rsidR="00263101">
        <w:rPr>
          <w:rFonts w:cs="Arial"/>
          <w:szCs w:val="20"/>
        </w:rPr>
        <w:t>, the approach</w:t>
      </w:r>
      <w:r w:rsidRPr="00050374">
        <w:rPr>
          <w:rFonts w:cs="Arial"/>
          <w:szCs w:val="20"/>
        </w:rPr>
        <w:t xml:space="preserve"> accounts for factors </w:t>
      </w:r>
      <w:proofErr w:type="gramStart"/>
      <w:r w:rsidRPr="00050374">
        <w:rPr>
          <w:rFonts w:cs="Arial"/>
          <w:szCs w:val="20"/>
        </w:rPr>
        <w:t>that are</w:t>
      </w:r>
      <w:proofErr w:type="gramEnd"/>
      <w:r w:rsidRPr="00050374">
        <w:rPr>
          <w:rFonts w:cs="Arial"/>
          <w:szCs w:val="20"/>
        </w:rPr>
        <w:t xml:space="preserve"> constant for each cus</w:t>
      </w:r>
      <w:r>
        <w:rPr>
          <w:rFonts w:cs="Arial"/>
          <w:szCs w:val="20"/>
        </w:rPr>
        <w:t>tomer</w:t>
      </w:r>
      <w:r w:rsidR="00263101">
        <w:rPr>
          <w:rFonts w:cs="Arial"/>
          <w:szCs w:val="20"/>
        </w:rPr>
        <w:t>,</w:t>
      </w:r>
      <w:r w:rsidRPr="00050374">
        <w:rPr>
          <w:rFonts w:cs="Arial"/>
          <w:szCs w:val="20"/>
        </w:rPr>
        <w:t xml:space="preserve"> such as industry and geographic location.  </w:t>
      </w:r>
      <w:r>
        <w:rPr>
          <w:rFonts w:cs="Arial"/>
          <w:szCs w:val="20"/>
        </w:rPr>
        <w:t xml:space="preserve">It also </w:t>
      </w:r>
      <w:r w:rsidRPr="00050374">
        <w:t>better explain</w:t>
      </w:r>
      <w:r>
        <w:t>s</w:t>
      </w:r>
      <w:r w:rsidRPr="00050374">
        <w:t xml:space="preserve"> the variation in individual customer production and/or occupancy patterns, weather sensitivity, price responsiveness, enrollment dates and event day dispatch pattern</w:t>
      </w:r>
      <w:r>
        <w:t>s</w:t>
      </w:r>
      <w:r w:rsidRPr="00050374">
        <w:t xml:space="preserve"> (which </w:t>
      </w:r>
      <w:r>
        <w:t xml:space="preserve">can </w:t>
      </w:r>
      <w:r w:rsidRPr="00050374">
        <w:t xml:space="preserve">vary </w:t>
      </w:r>
      <w:r>
        <w:t>by customer</w:t>
      </w:r>
      <w:r w:rsidRPr="00050374">
        <w:t>).</w:t>
      </w:r>
    </w:p>
    <w:p w:rsidR="00B10954" w:rsidRDefault="00E51A05" w:rsidP="00A84697">
      <w:pPr>
        <w:pStyle w:val="BodyParagraph"/>
      </w:pPr>
      <w:r w:rsidRPr="00050374">
        <w:t xml:space="preserve">To </w:t>
      </w:r>
      <w:r w:rsidR="001D14F7">
        <w:t xml:space="preserve">determine </w:t>
      </w:r>
      <w:r w:rsidR="009C67DD" w:rsidRPr="00050374">
        <w:t>the most accurate model</w:t>
      </w:r>
      <w:r w:rsidR="001D14F7">
        <w:t xml:space="preserve"> specification</w:t>
      </w:r>
      <w:r w:rsidR="009C67DD" w:rsidRPr="00050374">
        <w:t xml:space="preserve">, </w:t>
      </w:r>
      <w:r w:rsidR="00263101">
        <w:t>a two-</w:t>
      </w:r>
      <w:r w:rsidRPr="00050374">
        <w:t>st</w:t>
      </w:r>
      <w:r w:rsidR="001D14F7">
        <w:t>ep</w:t>
      </w:r>
      <w:r w:rsidRPr="00050374">
        <w:t xml:space="preserve"> process</w:t>
      </w:r>
      <w:r w:rsidR="009C67DD" w:rsidRPr="00050374">
        <w:t xml:space="preserve"> </w:t>
      </w:r>
      <w:r w:rsidR="001D14F7">
        <w:t>wa</w:t>
      </w:r>
      <w:r w:rsidR="009C67DD" w:rsidRPr="00050374">
        <w:t xml:space="preserve">s implemented.  In </w:t>
      </w:r>
      <w:r w:rsidR="001D14F7">
        <w:t xml:space="preserve">step 1, </w:t>
      </w:r>
      <w:r w:rsidR="009C67DD" w:rsidRPr="00050374">
        <w:t>the</w:t>
      </w:r>
      <w:r w:rsidR="00263101">
        <w:t xml:space="preserve"> goal wa</w:t>
      </w:r>
      <w:r w:rsidRPr="00050374">
        <w:t>s to select the model that best explain</w:t>
      </w:r>
      <w:r w:rsidR="00263101">
        <w:t>ed</w:t>
      </w:r>
      <w:r w:rsidRPr="00050374">
        <w:t xml:space="preserve"> electricity use patterns under event-like conditions using out-of-</w:t>
      </w:r>
      <w:r w:rsidR="004F6B7C" w:rsidRPr="00050374">
        <w:t>s</w:t>
      </w:r>
      <w:r w:rsidRPr="00050374">
        <w:t>ample te</w:t>
      </w:r>
      <w:r w:rsidR="009C67DD" w:rsidRPr="00050374">
        <w:t xml:space="preserve">sting.  In </w:t>
      </w:r>
      <w:r w:rsidR="001D14F7">
        <w:t>step 2</w:t>
      </w:r>
      <w:r w:rsidR="009C67DD" w:rsidRPr="00050374">
        <w:t xml:space="preserve">, </w:t>
      </w:r>
      <w:r w:rsidR="00B22379">
        <w:t xml:space="preserve">a false experiment </w:t>
      </w:r>
      <w:r w:rsidR="00263101">
        <w:t>wa</w:t>
      </w:r>
      <w:r w:rsidR="001D14F7">
        <w:t xml:space="preserve">s used </w:t>
      </w:r>
      <w:r w:rsidR="00B22379">
        <w:t xml:space="preserve">to ensure </w:t>
      </w:r>
      <w:r w:rsidR="001D14F7">
        <w:t xml:space="preserve">that </w:t>
      </w:r>
      <w:r w:rsidR="00B22379">
        <w:t>bias was minimized in the selected model</w:t>
      </w:r>
      <w:r w:rsidR="00C65D07" w:rsidRPr="00050374">
        <w:t xml:space="preserve">. </w:t>
      </w:r>
      <w:r w:rsidR="001D14F7">
        <w:t xml:space="preserve"> A false experiment model </w:t>
      </w:r>
      <w:r w:rsidR="00B10954">
        <w:t>includes a treatment variable</w:t>
      </w:r>
      <w:r w:rsidR="001D14F7">
        <w:t>, like an aggregator dispatch day, for event</w:t>
      </w:r>
      <w:r w:rsidR="00263101">
        <w:t>-</w:t>
      </w:r>
      <w:r w:rsidR="001D14F7">
        <w:t xml:space="preserve">like days.  </w:t>
      </w:r>
      <w:r w:rsidR="00FA5A23">
        <w:t>If the model is correctly specified, t</w:t>
      </w:r>
      <w:r w:rsidR="00B10954" w:rsidRPr="00844288">
        <w:t>he coefficients for false event-day variables should be</w:t>
      </w:r>
      <w:r w:rsidR="00B10954">
        <w:t xml:space="preserve"> </w:t>
      </w:r>
      <w:r w:rsidR="00B10954" w:rsidRPr="00844288">
        <w:t>insignificant and centered around zero because, in fact, there are no events.</w:t>
      </w:r>
      <w:r w:rsidR="00B10954">
        <w:rPr>
          <w:rStyle w:val="FootnoteReference"/>
        </w:rPr>
        <w:footnoteReference w:id="7"/>
      </w:r>
      <w:r w:rsidR="00B10954" w:rsidRPr="00844288">
        <w:t xml:space="preserve">  </w:t>
      </w:r>
      <w:r w:rsidR="00B10954">
        <w:t>If the</w:t>
      </w:r>
      <w:r w:rsidR="00FA5A23">
        <w:t xml:space="preserve"> coefficients</w:t>
      </w:r>
      <w:r w:rsidR="00B10954">
        <w:t xml:space="preserve"> are </w:t>
      </w:r>
      <w:r w:rsidR="00FA5A23">
        <w:t>significantly different from zero</w:t>
      </w:r>
      <w:r w:rsidR="00B10954">
        <w:t>, the regression model is confounding error with event impacts, leading to bias in the impact estimates.</w:t>
      </w:r>
    </w:p>
    <w:p w:rsidR="009555F5" w:rsidRDefault="001D14F7">
      <w:pPr>
        <w:pStyle w:val="BodyBeforeBullet"/>
      </w:pPr>
      <w:r>
        <w:t>T</w:t>
      </w:r>
      <w:r w:rsidR="009C67DD" w:rsidRPr="00050374">
        <w:t xml:space="preserve">he following </w:t>
      </w:r>
      <w:r w:rsidR="00C65D07" w:rsidRPr="00050374">
        <w:t xml:space="preserve">model </w:t>
      </w:r>
      <w:r w:rsidR="009C67DD" w:rsidRPr="00050374">
        <w:t xml:space="preserve">specification </w:t>
      </w:r>
      <w:r>
        <w:t xml:space="preserve">was used </w:t>
      </w:r>
      <w:r w:rsidR="00B22379">
        <w:t xml:space="preserve">for ex post impact </w:t>
      </w:r>
      <w:r>
        <w:t>estimation</w:t>
      </w:r>
      <w:r w:rsidR="00B22379">
        <w:t xml:space="preserve">: </w:t>
      </w:r>
    </w:p>
    <w:p w:rsidR="00C65D07" w:rsidRPr="00050374" w:rsidRDefault="00C61D83" w:rsidP="009C67DD">
      <w:pPr>
        <w:pStyle w:val="BodyParagraph"/>
      </w:pPr>
      <m:oMath>
        <m:sSub>
          <m:sSubPr>
            <m:ctrlPr>
              <w:rPr>
                <w:rFonts w:ascii="Cambria Math" w:hAnsi="Cambria Math"/>
                <w:i/>
              </w:rPr>
            </m:ctrlPr>
          </m:sSubPr>
          <m:e>
            <m:r>
              <w:rPr>
                <w:rFonts w:ascii="Cambria Math" w:hAnsi="Cambria Math"/>
              </w:rPr>
              <m:t>kw</m:t>
            </m:r>
          </m:e>
          <m:sub>
            <m:r>
              <w:rPr>
                <w:rFonts w:ascii="Cambria Math" w:hAnsi="Cambria Math"/>
              </w:rPr>
              <m:t>h</m:t>
            </m:r>
          </m:sub>
        </m:sSub>
        <m:r>
          <m:rPr>
            <m:sty m:val="p"/>
          </m:rPr>
          <w:rPr>
            <w:rFonts w:ascii="Cambria Math" w:hAnsi="Cambria Math"/>
          </w:rPr>
          <w:softHyphen/>
        </m:r>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h</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h</m:t>
            </m:r>
          </m:sub>
        </m:sSub>
        <m:r>
          <w:rPr>
            <w:rFonts w:ascii="Cambria Math" w:hAnsi="Cambria Math"/>
          </w:rPr>
          <m:t>∙24</m:t>
        </m:r>
        <m:r>
          <w:rPr>
            <w:rFonts w:ascii="Cambria Math" w:hAnsi="Cambria Math"/>
          </w:rPr>
          <m:t>hr</m:t>
        </m:r>
        <m:sSub>
          <m:sSubPr>
            <m:ctrlPr>
              <w:rPr>
                <w:rFonts w:ascii="Cambria Math" w:hAnsi="Cambria Math"/>
                <w:i/>
              </w:rPr>
            </m:ctrlPr>
          </m:sSubPr>
          <m:e>
            <m:r>
              <w:rPr>
                <w:rFonts w:ascii="Cambria Math" w:hAnsi="Cambria Math"/>
              </w:rPr>
              <m:t>CDH</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CDH</m:t>
            </m:r>
          </m:e>
          <m:sub>
            <m:r>
              <w:rPr>
                <w:rFonts w:ascii="Cambria Math" w:hAnsi="Cambria Math"/>
              </w:rPr>
              <m:t>h</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3</m:t>
            </m:r>
          </m:sup>
          <m:e>
            <m:sSub>
              <m:sSubPr>
                <m:ctrlPr>
                  <w:rPr>
                    <w:rFonts w:ascii="Cambria Math" w:hAnsi="Cambria Math"/>
                    <w:i/>
                  </w:rPr>
                </m:ctrlPr>
              </m:sSubPr>
              <m:e>
                <m:r>
                  <w:rPr>
                    <w:rFonts w:ascii="Cambria Math" w:hAnsi="Cambria Math"/>
                  </w:rPr>
                  <m:t>β</m:t>
                </m:r>
              </m:e>
              <m:sub>
                <m:r>
                  <w:rPr>
                    <w:rFonts w:ascii="Cambria Math" w:hAnsi="Cambria Math"/>
                  </w:rPr>
                  <m:t>i,h</m:t>
                </m:r>
              </m:sub>
            </m:sSub>
            <m:r>
              <w:rPr>
                <w:rFonts w:ascii="Cambria Math" w:hAnsi="Cambria Math"/>
              </w:rPr>
              <m:t>∙</m:t>
            </m:r>
            <m:sSub>
              <m:sSubPr>
                <m:ctrlPr>
                  <w:rPr>
                    <w:rFonts w:ascii="Cambria Math" w:hAnsi="Cambria Math"/>
                    <w:i/>
                  </w:rPr>
                </m:ctrlPr>
              </m:sSubPr>
              <m:e>
                <m:r>
                  <w:rPr>
                    <w:rFonts w:ascii="Cambria Math" w:hAnsi="Cambria Math"/>
                  </w:rPr>
                  <m:t>daytype</m:t>
                </m:r>
              </m:e>
              <m:sub>
                <m:r>
                  <w:rPr>
                    <w:rFonts w:ascii="Cambria Math" w:hAnsi="Cambria Math"/>
                  </w:rPr>
                  <m:t>i</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i=5</m:t>
            </m:r>
          </m:sub>
          <m:sup>
            <m:r>
              <w:rPr>
                <w:rFonts w:ascii="Cambria Math" w:hAnsi="Cambria Math"/>
              </w:rPr>
              <m:t>10</m:t>
            </m:r>
          </m:sup>
          <m:e>
            <m:sSub>
              <m:sSubPr>
                <m:ctrlPr>
                  <w:rPr>
                    <w:rFonts w:ascii="Cambria Math" w:hAnsi="Cambria Math"/>
                    <w:i/>
                  </w:rPr>
                </m:ctrlPr>
              </m:sSubPr>
              <m:e>
                <m:r>
                  <w:rPr>
                    <w:rFonts w:ascii="Cambria Math" w:hAnsi="Cambria Math"/>
                  </w:rPr>
                  <m:t>β</m:t>
                </m:r>
              </m:e>
              <m:sub>
                <m:r>
                  <w:rPr>
                    <w:rFonts w:ascii="Cambria Math" w:hAnsi="Cambria Math"/>
                  </w:rPr>
                  <m:t>i,h</m:t>
                </m:r>
              </m:sub>
            </m:sSub>
            <m:r>
              <w:rPr>
                <w:rFonts w:ascii="Cambria Math" w:hAnsi="Cambria Math"/>
              </w:rPr>
              <m:t>∙</m:t>
            </m:r>
            <m:sSub>
              <m:sSubPr>
                <m:ctrlPr>
                  <w:rPr>
                    <w:rFonts w:ascii="Cambria Math" w:hAnsi="Cambria Math"/>
                    <w:i/>
                  </w:rPr>
                </m:ctrlPr>
              </m:sSubPr>
              <m:e>
                <m:r>
                  <w:rPr>
                    <w:rFonts w:ascii="Cambria Math" w:hAnsi="Cambria Math"/>
                  </w:rPr>
                  <m:t>month</m:t>
                </m:r>
              </m:e>
              <m:sub>
                <m:r>
                  <w:rPr>
                    <w:rFonts w:ascii="Cambria Math" w:hAnsi="Cambria Math"/>
                  </w:rPr>
                  <m:t>i</m:t>
                </m:r>
              </m:sub>
            </m:sSub>
          </m:e>
        </m:nary>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daylight</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morningload</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twoweekavg</m:t>
            </m:r>
          </m:e>
          <m:sub>
            <m:r>
              <w:rPr>
                <w:rFonts w:ascii="Cambria Math" w:hAnsi="Cambria Math"/>
              </w:rPr>
              <m:t>h</m:t>
            </m:r>
          </m:sub>
        </m:sSub>
        <m:r>
          <w:rPr>
            <w:rFonts w:ascii="Cambria Math" w:hAnsi="Cambria Math"/>
          </w:rPr>
          <m:t>+</m:t>
        </m:r>
        <m:sSub>
          <m:sSubPr>
            <m:ctrlPr>
              <w:rPr>
                <w:rFonts w:ascii="Cambria Math" w:hAnsi="Cambria Math"/>
                <w:i/>
              </w:rPr>
            </m:ctrlPr>
          </m:sSubPr>
          <m:e>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β</m:t>
                    </m:r>
                  </m:e>
                  <m:sub>
                    <m:r>
                      <w:rPr>
                        <w:rFonts w:ascii="Cambria Math" w:hAnsi="Cambria Math"/>
                      </w:rPr>
                      <m:t>i,h</m:t>
                    </m:r>
                  </m:sub>
                </m:sSub>
                <m:r>
                  <w:rPr>
                    <w:rFonts w:ascii="Cambria Math" w:hAnsi="Cambria Math"/>
                  </w:rPr>
                  <m:t>∙AMPorDRRCevent</m:t>
                </m:r>
              </m:e>
            </m:nary>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m</m:t>
            </m:r>
          </m:sup>
          <m:e>
            <m:sSub>
              <m:sSubPr>
                <m:ctrlPr>
                  <w:rPr>
                    <w:rFonts w:ascii="Cambria Math" w:hAnsi="Cambria Math"/>
                    <w:i/>
                  </w:rPr>
                </m:ctrlPr>
              </m:sSubPr>
              <m:e>
                <m:r>
                  <w:rPr>
                    <w:rFonts w:ascii="Cambria Math" w:hAnsi="Cambria Math"/>
                  </w:rPr>
                  <m:t>β</m:t>
                </m:r>
              </m:e>
              <m:sub>
                <m:r>
                  <w:rPr>
                    <w:rFonts w:ascii="Cambria Math" w:hAnsi="Cambria Math"/>
                  </w:rPr>
                  <m:t>i,h</m:t>
                </m:r>
              </m:sub>
            </m:sSub>
            <m:r>
              <w:rPr>
                <w:rFonts w:ascii="Cambria Math" w:hAnsi="Cambria Math"/>
              </w:rPr>
              <m:t>∙</m:t>
            </m:r>
            <m:sSub>
              <m:sSubPr>
                <m:ctrlPr>
                  <w:rPr>
                    <w:rFonts w:ascii="Cambria Math" w:hAnsi="Cambria Math"/>
                    <w:i/>
                  </w:rPr>
                </m:ctrlPr>
              </m:sSubPr>
              <m:e>
                <m:r>
                  <w:rPr>
                    <w:rFonts w:ascii="Cambria Math" w:hAnsi="Cambria Math"/>
                  </w:rPr>
                  <m:t>CBPevent</m:t>
                </m:r>
              </m:e>
              <m:sub>
                <m:r>
                  <w:rPr>
                    <w:rFonts w:ascii="Cambria Math" w:hAnsi="Cambria Math"/>
                  </w:rPr>
                  <m:t>i</m:t>
                </m:r>
              </m:sub>
            </m:sSub>
          </m:e>
        </m:nary>
        <m:r>
          <w:rPr>
            <w:rFonts w:ascii="Cambria Math" w:hAnsi="Cambria Math"/>
          </w:rPr>
          <m:t xml:space="preserve">+ </m:t>
        </m:r>
        <m:sSub>
          <m:sSubPr>
            <m:ctrlPr>
              <w:rPr>
                <w:rFonts w:ascii="Cambria Math" w:hAnsi="Cambria Math"/>
                <w:i/>
              </w:rPr>
            </m:ctrlPr>
          </m:sSubPr>
          <m:e>
            <m:r>
              <w:rPr>
                <w:rFonts w:ascii="Cambria Math" w:hAnsi="Cambria Math"/>
              </w:rPr>
              <m:t>ε</m:t>
            </m:r>
          </m:e>
          <m:sub>
            <m:r>
              <w:rPr>
                <w:rFonts w:ascii="Cambria Math" w:hAnsi="Cambria Math"/>
              </w:rPr>
              <m:t>h</m:t>
            </m:r>
          </m:sub>
        </m:sSub>
      </m:oMath>
      <w:r w:rsidR="009C67DD" w:rsidRPr="00050374">
        <w:t xml:space="preserve"> </w:t>
      </w:r>
    </w:p>
    <w:tbl>
      <w:tblPr>
        <w:tblW w:w="9481" w:type="dxa"/>
        <w:tblInd w:w="95" w:type="dxa"/>
        <w:tblLook w:val="04A0"/>
      </w:tblPr>
      <w:tblGrid>
        <w:gridCol w:w="1723"/>
        <w:gridCol w:w="7758"/>
      </w:tblGrid>
      <w:tr w:rsidR="00C65D07" w:rsidRPr="00050374" w:rsidTr="00427D56">
        <w:trPr>
          <w:cantSplit/>
          <w:trHeight w:val="521"/>
          <w:tblHeader/>
        </w:trPr>
        <w:tc>
          <w:tcPr>
            <w:tcW w:w="1723" w:type="dxa"/>
            <w:tcBorders>
              <w:top w:val="single" w:sz="4" w:space="0" w:color="1F497D"/>
              <w:left w:val="single" w:sz="4" w:space="0" w:color="1F497D"/>
              <w:bottom w:val="single" w:sz="4" w:space="0" w:color="auto"/>
              <w:right w:val="single" w:sz="4" w:space="0" w:color="FFFFFF"/>
            </w:tcBorders>
            <w:shd w:val="clear" w:color="000000" w:fill="1F497D" w:themeFill="text2"/>
            <w:vAlign w:val="center"/>
            <w:hideMark/>
          </w:tcPr>
          <w:p w:rsidR="00C65D07" w:rsidRPr="00050374" w:rsidRDefault="00C65D07" w:rsidP="00FE0E2B">
            <w:pPr>
              <w:pStyle w:val="TableHeader"/>
              <w:rPr>
                <w:rFonts w:eastAsia="Times New Roman"/>
              </w:rPr>
            </w:pPr>
            <w:r w:rsidRPr="00050374">
              <w:rPr>
                <w:rFonts w:eastAsia="Times New Roman"/>
              </w:rPr>
              <w:t>Term</w:t>
            </w:r>
          </w:p>
        </w:tc>
        <w:tc>
          <w:tcPr>
            <w:tcW w:w="7758" w:type="dxa"/>
            <w:tcBorders>
              <w:top w:val="single" w:sz="4" w:space="0" w:color="1F497D"/>
              <w:left w:val="nil"/>
              <w:bottom w:val="single" w:sz="4" w:space="0" w:color="auto"/>
              <w:right w:val="single" w:sz="4" w:space="0" w:color="auto"/>
            </w:tcBorders>
            <w:shd w:val="clear" w:color="000000" w:fill="1F497D" w:themeFill="text2"/>
            <w:vAlign w:val="center"/>
            <w:hideMark/>
          </w:tcPr>
          <w:p w:rsidR="00C65D07" w:rsidRPr="00050374" w:rsidRDefault="00C65D07" w:rsidP="00FE0E2B">
            <w:pPr>
              <w:pStyle w:val="TableHeader"/>
              <w:rPr>
                <w:rFonts w:eastAsia="Times New Roman"/>
              </w:rPr>
            </w:pPr>
            <w:r w:rsidRPr="00050374">
              <w:rPr>
                <w:rFonts w:eastAsia="Times New Roman"/>
              </w:rPr>
              <w:t>Description</w:t>
            </w:r>
          </w:p>
        </w:tc>
      </w:tr>
      <w:tr w:rsidR="00C65D07" w:rsidRPr="00050374" w:rsidTr="00994A5C">
        <w:trPr>
          <w:trHeight w:val="107"/>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F2B" w:rsidRDefault="00C65D07">
            <w:pPr>
              <w:spacing w:after="0" w:line="240" w:lineRule="auto"/>
              <w:jc w:val="center"/>
              <w:rPr>
                <w:color w:val="000000"/>
                <w:sz w:val="20"/>
              </w:rPr>
            </w:pPr>
            <m:oMathPara>
              <m:oMath>
                <m:r>
                  <w:rPr>
                    <w:rFonts w:ascii="Cambria Math" w:eastAsia="Times New Roman" w:hAnsi="Cambria Math" w:cs="Calibri"/>
                    <w:color w:val="000000"/>
                    <w:sz w:val="20"/>
                    <w:szCs w:val="20"/>
                  </w:rPr>
                  <m:t>α</m:t>
                </m:r>
              </m:oMath>
            </m:oMathPara>
          </w:p>
        </w:tc>
        <w:tc>
          <w:tcPr>
            <w:tcW w:w="7758" w:type="dxa"/>
            <w:tcBorders>
              <w:top w:val="single" w:sz="4" w:space="0" w:color="auto"/>
              <w:left w:val="nil"/>
              <w:bottom w:val="single" w:sz="4" w:space="0" w:color="auto"/>
              <w:right w:val="single" w:sz="4" w:space="0" w:color="auto"/>
            </w:tcBorders>
            <w:shd w:val="clear" w:color="auto" w:fill="auto"/>
            <w:noWrap/>
            <w:vAlign w:val="center"/>
            <w:hideMark/>
          </w:tcPr>
          <w:p w:rsidR="00C65D07" w:rsidRPr="00050374" w:rsidRDefault="00C65D07" w:rsidP="00FE0E2B">
            <w:pPr>
              <w:pStyle w:val="TableText"/>
              <w:jc w:val="left"/>
              <w:rPr>
                <w:rFonts w:eastAsia="Times New Roman"/>
              </w:rPr>
            </w:pPr>
            <w:r w:rsidRPr="00050374">
              <w:rPr>
                <w:rFonts w:eastAsia="Times New Roman"/>
              </w:rPr>
              <w:t>Represent</w:t>
            </w:r>
            <w:r w:rsidR="004F6B7C" w:rsidRPr="00050374">
              <w:rPr>
                <w:rFonts w:eastAsia="Times New Roman"/>
              </w:rPr>
              <w:t>s</w:t>
            </w:r>
            <w:r w:rsidRPr="00050374">
              <w:rPr>
                <w:rFonts w:eastAsia="Times New Roman"/>
              </w:rPr>
              <w:t xml:space="preserve"> the regression model constant for the interval</w:t>
            </w:r>
            <w:r w:rsidR="004F6B7C" w:rsidRPr="00050374">
              <w:rPr>
                <w:rFonts w:eastAsia="Times New Roman"/>
              </w:rPr>
              <w:t>.</w:t>
            </w:r>
          </w:p>
        </w:tc>
      </w:tr>
      <w:tr w:rsidR="00C65D07" w:rsidRPr="00050374" w:rsidTr="00994A5C">
        <w:trPr>
          <w:trHeight w:val="63"/>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F2B" w:rsidRDefault="00C65D07">
            <w:pPr>
              <w:spacing w:after="0" w:line="240" w:lineRule="auto"/>
              <w:jc w:val="center"/>
              <w:rPr>
                <w:color w:val="000000"/>
                <w:sz w:val="20"/>
              </w:rPr>
            </w:pPr>
            <m:oMathPara>
              <m:oMath>
                <m:r>
                  <w:rPr>
                    <w:rFonts w:ascii="Cambria Math" w:eastAsia="Times New Roman" w:hAnsi="Cambria Math" w:cs="Calibri"/>
                    <w:color w:val="000000"/>
                    <w:sz w:val="20"/>
                    <w:szCs w:val="20"/>
                  </w:rPr>
                  <m:t>β</m:t>
                </m:r>
              </m:oMath>
            </m:oMathPara>
          </w:p>
        </w:tc>
        <w:tc>
          <w:tcPr>
            <w:tcW w:w="7758" w:type="dxa"/>
            <w:tcBorders>
              <w:top w:val="single" w:sz="4" w:space="0" w:color="auto"/>
              <w:left w:val="nil"/>
              <w:bottom w:val="single" w:sz="4" w:space="0" w:color="auto"/>
              <w:right w:val="single" w:sz="4" w:space="0" w:color="auto"/>
            </w:tcBorders>
            <w:shd w:val="clear" w:color="auto" w:fill="auto"/>
            <w:noWrap/>
            <w:vAlign w:val="center"/>
            <w:hideMark/>
          </w:tcPr>
          <w:p w:rsidR="00C65D07" w:rsidRPr="00050374" w:rsidRDefault="00C65D07" w:rsidP="00FE0E2B">
            <w:pPr>
              <w:pStyle w:val="TableText"/>
              <w:jc w:val="left"/>
              <w:rPr>
                <w:rFonts w:eastAsia="Times New Roman"/>
              </w:rPr>
            </w:pPr>
            <w:r w:rsidRPr="00050374">
              <w:rPr>
                <w:rFonts w:eastAsia="Times New Roman"/>
              </w:rPr>
              <w:t>Represents regression model coefficients</w:t>
            </w:r>
            <w:r w:rsidR="004F6B7C" w:rsidRPr="00050374">
              <w:rPr>
                <w:rFonts w:eastAsia="Times New Roman"/>
              </w:rPr>
              <w:t>.</w:t>
            </w:r>
            <w:r w:rsidRPr="00050374">
              <w:rPr>
                <w:rFonts w:eastAsia="Times New Roman"/>
              </w:rPr>
              <w:t xml:space="preserve"> </w:t>
            </w:r>
          </w:p>
        </w:tc>
      </w:tr>
      <w:tr w:rsidR="00C65D07" w:rsidRPr="00050374" w:rsidTr="00994A5C">
        <w:trPr>
          <w:trHeight w:val="323"/>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5D07" w:rsidRPr="00050374" w:rsidRDefault="001D5412" w:rsidP="00534341">
            <w:pPr>
              <w:spacing w:after="0" w:line="240" w:lineRule="auto"/>
              <w:jc w:val="center"/>
              <w:rPr>
                <w:rFonts w:ascii="Calibri" w:hAnsi="Calibri"/>
                <w:i/>
                <w:color w:val="000000"/>
                <w:sz w:val="20"/>
              </w:rPr>
            </w:pPr>
            <w:r w:rsidRPr="001D5412">
              <w:rPr>
                <w:rFonts w:ascii="Calibri" w:hAnsi="Calibri"/>
                <w:i/>
                <w:color w:val="000000"/>
                <w:sz w:val="20"/>
              </w:rPr>
              <w:t>24hrCDH</w:t>
            </w:r>
          </w:p>
        </w:tc>
        <w:tc>
          <w:tcPr>
            <w:tcW w:w="7758" w:type="dxa"/>
            <w:tcBorders>
              <w:top w:val="single" w:sz="4" w:space="0" w:color="auto"/>
              <w:left w:val="nil"/>
              <w:bottom w:val="single" w:sz="4" w:space="0" w:color="auto"/>
              <w:right w:val="single" w:sz="4" w:space="0" w:color="auto"/>
            </w:tcBorders>
            <w:shd w:val="clear" w:color="auto" w:fill="auto"/>
            <w:noWrap/>
            <w:vAlign w:val="center"/>
            <w:hideMark/>
          </w:tcPr>
          <w:p w:rsidR="00D112F5" w:rsidRPr="00050374" w:rsidRDefault="00C65D07" w:rsidP="00FE0E2B">
            <w:pPr>
              <w:pStyle w:val="TableText"/>
              <w:jc w:val="left"/>
              <w:rPr>
                <w:rFonts w:eastAsia="Times New Roman"/>
              </w:rPr>
            </w:pPr>
            <w:r w:rsidRPr="00050374">
              <w:rPr>
                <w:rFonts w:eastAsia="Times New Roman"/>
              </w:rPr>
              <w:t xml:space="preserve">Reflects </w:t>
            </w:r>
            <w:r w:rsidR="001147E5" w:rsidRPr="00050374">
              <w:rPr>
                <w:rFonts w:eastAsia="Times New Roman"/>
              </w:rPr>
              <w:t>the effect of heat build-up over the past 24 hours on electricity use.  This is captured by calculating the total</w:t>
            </w:r>
            <w:r w:rsidR="00533A93" w:rsidRPr="00050374">
              <w:rPr>
                <w:rFonts w:eastAsia="Times New Roman"/>
              </w:rPr>
              <w:t xml:space="preserve"> cooling degree hours over the </w:t>
            </w:r>
            <w:r w:rsidR="001147E5" w:rsidRPr="00050374">
              <w:rPr>
                <w:rFonts w:eastAsia="Times New Roman"/>
              </w:rPr>
              <w:t>past 24 hours, using a base of 65˚F</w:t>
            </w:r>
            <w:r w:rsidR="004F6B7C" w:rsidRPr="00050374">
              <w:rPr>
                <w:rFonts w:eastAsia="Times New Roman"/>
              </w:rPr>
              <w:t>.</w:t>
            </w:r>
            <w:r w:rsidR="001147E5" w:rsidRPr="00050374">
              <w:rPr>
                <w:rFonts w:eastAsia="Times New Roman"/>
              </w:rPr>
              <w:t xml:space="preserve">  </w:t>
            </w:r>
          </w:p>
        </w:tc>
      </w:tr>
      <w:tr w:rsidR="00533A93" w:rsidRPr="00050374" w:rsidTr="00994A5C">
        <w:trPr>
          <w:trHeight w:val="63"/>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A93" w:rsidRPr="00050374" w:rsidRDefault="001D5412" w:rsidP="00534341">
            <w:pPr>
              <w:spacing w:after="0" w:line="240" w:lineRule="auto"/>
              <w:jc w:val="center"/>
              <w:rPr>
                <w:rFonts w:ascii="Calibri" w:hAnsi="Calibri"/>
                <w:i/>
                <w:color w:val="000000"/>
                <w:sz w:val="20"/>
              </w:rPr>
            </w:pPr>
            <w:r w:rsidRPr="001D5412">
              <w:rPr>
                <w:rFonts w:ascii="Calibri" w:hAnsi="Calibri"/>
                <w:i/>
                <w:color w:val="000000"/>
                <w:sz w:val="20"/>
              </w:rPr>
              <w:t>CDH</w:t>
            </w:r>
          </w:p>
        </w:tc>
        <w:tc>
          <w:tcPr>
            <w:tcW w:w="7758" w:type="dxa"/>
            <w:tcBorders>
              <w:top w:val="single" w:sz="4" w:space="0" w:color="auto"/>
              <w:left w:val="nil"/>
              <w:bottom w:val="single" w:sz="4" w:space="0" w:color="auto"/>
              <w:right w:val="single" w:sz="4" w:space="0" w:color="auto"/>
            </w:tcBorders>
            <w:shd w:val="clear" w:color="auto" w:fill="auto"/>
            <w:noWrap/>
            <w:vAlign w:val="center"/>
            <w:hideMark/>
          </w:tcPr>
          <w:p w:rsidR="00533A93" w:rsidRPr="00050374" w:rsidRDefault="00533A93" w:rsidP="00FE0E2B">
            <w:pPr>
              <w:pStyle w:val="TableText"/>
              <w:jc w:val="left"/>
            </w:pPr>
            <w:r w:rsidRPr="00050374">
              <w:t xml:space="preserve">Reflects current temperature by calculating current cooling degree hours, using a base of </w:t>
            </w:r>
            <w:r w:rsidRPr="00050374">
              <w:rPr>
                <w:rFonts w:eastAsia="Times New Roman"/>
              </w:rPr>
              <w:t>65˚F.</w:t>
            </w:r>
          </w:p>
        </w:tc>
      </w:tr>
      <w:tr w:rsidR="001147E5" w:rsidRPr="00050374" w:rsidTr="00994A5C">
        <w:trPr>
          <w:trHeight w:val="143"/>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47E5" w:rsidRPr="00050374" w:rsidRDefault="001D5412" w:rsidP="00534341">
            <w:pPr>
              <w:spacing w:after="0" w:line="240" w:lineRule="auto"/>
              <w:jc w:val="center"/>
              <w:rPr>
                <w:rFonts w:ascii="Calibri" w:hAnsi="Calibri"/>
                <w:i/>
                <w:color w:val="000000"/>
                <w:sz w:val="20"/>
              </w:rPr>
            </w:pPr>
            <w:proofErr w:type="spellStart"/>
            <w:r w:rsidRPr="001D5412">
              <w:rPr>
                <w:rFonts w:ascii="Calibri" w:hAnsi="Calibri"/>
                <w:i/>
                <w:color w:val="000000"/>
                <w:sz w:val="20"/>
              </w:rPr>
              <w:t>daytype</w:t>
            </w:r>
            <w:proofErr w:type="spellEnd"/>
          </w:p>
        </w:tc>
        <w:tc>
          <w:tcPr>
            <w:tcW w:w="7758" w:type="dxa"/>
            <w:tcBorders>
              <w:top w:val="single" w:sz="4" w:space="0" w:color="auto"/>
              <w:left w:val="nil"/>
              <w:bottom w:val="single" w:sz="4" w:space="0" w:color="auto"/>
              <w:right w:val="single" w:sz="4" w:space="0" w:color="auto"/>
            </w:tcBorders>
            <w:shd w:val="clear" w:color="auto" w:fill="auto"/>
            <w:noWrap/>
            <w:vAlign w:val="center"/>
            <w:hideMark/>
          </w:tcPr>
          <w:p w:rsidR="001147E5" w:rsidRPr="00050374" w:rsidRDefault="001147E5" w:rsidP="00FE0E2B">
            <w:pPr>
              <w:pStyle w:val="TableText"/>
              <w:jc w:val="left"/>
              <w:rPr>
                <w:rFonts w:eastAsia="Times New Roman"/>
              </w:rPr>
            </w:pPr>
            <w:r w:rsidRPr="00050374">
              <w:t xml:space="preserve">Is an indicator of whether the interval in question falls on </w:t>
            </w:r>
            <w:r w:rsidR="004F6B7C" w:rsidRPr="00050374">
              <w:t xml:space="preserve">the </w:t>
            </w:r>
            <w:r w:rsidRPr="00050374">
              <w:t xml:space="preserve">first </w:t>
            </w:r>
            <w:r w:rsidR="00F95446">
              <w:t>day</w:t>
            </w:r>
            <w:r w:rsidR="00AF36B6">
              <w:t xml:space="preserve"> </w:t>
            </w:r>
            <w:r w:rsidR="00F95446">
              <w:t>of</w:t>
            </w:r>
            <w:r w:rsidRPr="00050374">
              <w:t xml:space="preserve"> the business week, mid-week, or on the last </w:t>
            </w:r>
            <w:r w:rsidR="00F95446">
              <w:t>day</w:t>
            </w:r>
            <w:r w:rsidR="00AF36B6">
              <w:t xml:space="preserve"> </w:t>
            </w:r>
            <w:r w:rsidR="00F95446">
              <w:t>of</w:t>
            </w:r>
            <w:r w:rsidRPr="00050374">
              <w:t xml:space="preserve"> the business </w:t>
            </w:r>
            <w:proofErr w:type="gramStart"/>
            <w:r w:rsidRPr="00050374">
              <w:t>week.</w:t>
            </w:r>
            <w:proofErr w:type="gramEnd"/>
            <w:r w:rsidRPr="00050374">
              <w:t xml:space="preserve">  Weekends and holidays were excluded from the ex post regression.</w:t>
            </w:r>
          </w:p>
        </w:tc>
      </w:tr>
      <w:tr w:rsidR="001147E5" w:rsidRPr="00050374" w:rsidTr="00994A5C">
        <w:trPr>
          <w:trHeight w:val="63"/>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47E5" w:rsidRPr="00050374" w:rsidRDefault="001D5412" w:rsidP="00534341">
            <w:pPr>
              <w:spacing w:after="0" w:line="240" w:lineRule="auto"/>
              <w:jc w:val="center"/>
              <w:rPr>
                <w:rFonts w:ascii="Calibri" w:hAnsi="Calibri"/>
                <w:i/>
                <w:color w:val="000000"/>
                <w:sz w:val="20"/>
              </w:rPr>
            </w:pPr>
            <w:r w:rsidRPr="001D5412">
              <w:rPr>
                <w:rFonts w:ascii="Calibri" w:hAnsi="Calibri"/>
                <w:i/>
                <w:color w:val="000000"/>
                <w:sz w:val="20"/>
              </w:rPr>
              <w:t>month</w:t>
            </w:r>
          </w:p>
        </w:tc>
        <w:tc>
          <w:tcPr>
            <w:tcW w:w="7758" w:type="dxa"/>
            <w:tcBorders>
              <w:top w:val="single" w:sz="4" w:space="0" w:color="auto"/>
              <w:left w:val="nil"/>
              <w:bottom w:val="single" w:sz="4" w:space="0" w:color="auto"/>
              <w:right w:val="single" w:sz="4" w:space="0" w:color="auto"/>
            </w:tcBorders>
            <w:shd w:val="clear" w:color="auto" w:fill="auto"/>
            <w:noWrap/>
            <w:vAlign w:val="center"/>
            <w:hideMark/>
          </w:tcPr>
          <w:p w:rsidR="001147E5" w:rsidRPr="00050374" w:rsidRDefault="001147E5" w:rsidP="00FE0E2B">
            <w:pPr>
              <w:pStyle w:val="TableText"/>
              <w:jc w:val="left"/>
              <w:rPr>
                <w:rFonts w:eastAsia="Times New Roman"/>
              </w:rPr>
            </w:pPr>
            <w:r w:rsidRPr="00050374">
              <w:rPr>
                <w:rFonts w:eastAsia="Times New Roman"/>
              </w:rPr>
              <w:t xml:space="preserve">Is an indicator of the month of the </w:t>
            </w:r>
            <w:proofErr w:type="gramStart"/>
            <w:r w:rsidRPr="00050374">
              <w:rPr>
                <w:rFonts w:eastAsia="Times New Roman"/>
              </w:rPr>
              <w:t>year.</w:t>
            </w:r>
            <w:proofErr w:type="gramEnd"/>
            <w:r w:rsidRPr="00050374">
              <w:rPr>
                <w:rFonts w:eastAsia="Times New Roman"/>
              </w:rPr>
              <w:t xml:space="preserve">  It is included to capture seasonal variations in non-weather sensitive electricity use. </w:t>
            </w:r>
          </w:p>
        </w:tc>
      </w:tr>
      <w:tr w:rsidR="0041271C" w:rsidRPr="00050374" w:rsidTr="00994A5C">
        <w:trPr>
          <w:trHeight w:val="116"/>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271C" w:rsidRPr="00050374" w:rsidRDefault="001D5412" w:rsidP="00534341">
            <w:pPr>
              <w:spacing w:after="0" w:line="240" w:lineRule="auto"/>
              <w:jc w:val="center"/>
              <w:rPr>
                <w:rFonts w:ascii="Calibri" w:hAnsi="Calibri"/>
                <w:i/>
                <w:color w:val="000000"/>
                <w:sz w:val="20"/>
              </w:rPr>
            </w:pPr>
            <w:r w:rsidRPr="001D5412">
              <w:rPr>
                <w:rFonts w:ascii="Calibri" w:hAnsi="Calibri"/>
                <w:i/>
                <w:color w:val="000000"/>
                <w:sz w:val="20"/>
              </w:rPr>
              <w:t>daylight</w:t>
            </w:r>
          </w:p>
        </w:tc>
        <w:tc>
          <w:tcPr>
            <w:tcW w:w="7758" w:type="dxa"/>
            <w:tcBorders>
              <w:top w:val="single" w:sz="4" w:space="0" w:color="auto"/>
              <w:left w:val="nil"/>
              <w:bottom w:val="single" w:sz="4" w:space="0" w:color="auto"/>
              <w:right w:val="single" w:sz="4" w:space="0" w:color="auto"/>
            </w:tcBorders>
            <w:shd w:val="clear" w:color="auto" w:fill="auto"/>
            <w:noWrap/>
            <w:vAlign w:val="center"/>
            <w:hideMark/>
          </w:tcPr>
          <w:p w:rsidR="0041271C" w:rsidRPr="00050374" w:rsidRDefault="0041271C" w:rsidP="00FE0E2B">
            <w:pPr>
              <w:pStyle w:val="TableText"/>
              <w:jc w:val="left"/>
              <w:rPr>
                <w:rFonts w:eastAsia="Times New Roman"/>
              </w:rPr>
            </w:pPr>
            <w:r w:rsidRPr="00050374">
              <w:t>An indication of the percent of the interval in daylight (1 = full day, 0 = full night, fractions are during dusk and dawn)</w:t>
            </w:r>
            <w:r w:rsidR="004F6B7C" w:rsidRPr="00050374">
              <w:t>.</w:t>
            </w:r>
          </w:p>
        </w:tc>
      </w:tr>
      <w:tr w:rsidR="0041271C" w:rsidRPr="00050374" w:rsidTr="00994A5C">
        <w:trPr>
          <w:trHeight w:val="377"/>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271C" w:rsidRPr="00050374" w:rsidRDefault="001D5412" w:rsidP="00534341">
            <w:pPr>
              <w:spacing w:after="0" w:line="240" w:lineRule="auto"/>
              <w:jc w:val="center"/>
              <w:rPr>
                <w:rFonts w:ascii="Calibri" w:hAnsi="Calibri"/>
                <w:i/>
                <w:color w:val="000000"/>
                <w:sz w:val="20"/>
              </w:rPr>
            </w:pPr>
            <w:proofErr w:type="spellStart"/>
            <w:r w:rsidRPr="001D5412">
              <w:rPr>
                <w:rFonts w:ascii="Calibri" w:hAnsi="Calibri"/>
                <w:i/>
                <w:color w:val="000000"/>
                <w:sz w:val="20"/>
              </w:rPr>
              <w:t>morningload</w:t>
            </w:r>
            <w:proofErr w:type="spellEnd"/>
          </w:p>
        </w:tc>
        <w:tc>
          <w:tcPr>
            <w:tcW w:w="7758" w:type="dxa"/>
            <w:tcBorders>
              <w:top w:val="single" w:sz="4" w:space="0" w:color="auto"/>
              <w:left w:val="nil"/>
              <w:bottom w:val="single" w:sz="4" w:space="0" w:color="auto"/>
              <w:right w:val="single" w:sz="4" w:space="0" w:color="auto"/>
            </w:tcBorders>
            <w:shd w:val="clear" w:color="auto" w:fill="auto"/>
            <w:noWrap/>
            <w:vAlign w:val="center"/>
            <w:hideMark/>
          </w:tcPr>
          <w:p w:rsidR="0041271C" w:rsidRPr="00050374" w:rsidRDefault="0041271C" w:rsidP="00427D56">
            <w:pPr>
              <w:pStyle w:val="TableText"/>
              <w:jc w:val="left"/>
              <w:rPr>
                <w:rFonts w:eastAsia="Times New Roman"/>
              </w:rPr>
            </w:pPr>
            <w:r w:rsidRPr="00050374">
              <w:rPr>
                <w:rFonts w:eastAsia="Times New Roman"/>
              </w:rPr>
              <w:t>Reflects the total kWh consumed between midnight and 9 AM</w:t>
            </w:r>
            <w:r w:rsidR="00427D56">
              <w:rPr>
                <w:rFonts w:eastAsia="Times New Roman"/>
              </w:rPr>
              <w:t>;</w:t>
            </w:r>
            <w:r w:rsidRPr="00050374">
              <w:rPr>
                <w:rFonts w:eastAsia="Times New Roman"/>
              </w:rPr>
              <w:t xml:space="preserve"> the same </w:t>
            </w:r>
            <w:r w:rsidR="00F95446">
              <w:rPr>
                <w:rFonts w:eastAsia="Times New Roman"/>
              </w:rPr>
              <w:t>day</w:t>
            </w:r>
            <w:r w:rsidR="00427D56">
              <w:rPr>
                <w:rFonts w:eastAsia="Times New Roman"/>
              </w:rPr>
              <w:t xml:space="preserve"> </w:t>
            </w:r>
            <w:r w:rsidR="00F95446">
              <w:rPr>
                <w:rFonts w:eastAsia="Times New Roman"/>
              </w:rPr>
              <w:t>of</w:t>
            </w:r>
            <w:r w:rsidRPr="00050374">
              <w:rPr>
                <w:rFonts w:eastAsia="Times New Roman"/>
              </w:rPr>
              <w:t xml:space="preserve"> the interval in</w:t>
            </w:r>
            <w:r w:rsidR="00427D56">
              <w:rPr>
                <w:rFonts w:eastAsia="Times New Roman"/>
              </w:rPr>
              <w:t> </w:t>
            </w:r>
            <w:r w:rsidRPr="00050374">
              <w:rPr>
                <w:rFonts w:eastAsia="Times New Roman"/>
              </w:rPr>
              <w:t>question</w:t>
            </w:r>
            <w:r w:rsidR="004F6B7C" w:rsidRPr="00050374">
              <w:rPr>
                <w:rFonts w:eastAsia="Times New Roman"/>
              </w:rPr>
              <w:t>.</w:t>
            </w:r>
          </w:p>
        </w:tc>
      </w:tr>
      <w:tr w:rsidR="0041271C" w:rsidRPr="00050374" w:rsidTr="00994A5C">
        <w:trPr>
          <w:trHeight w:val="188"/>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271C" w:rsidRPr="00050374" w:rsidRDefault="001D5412" w:rsidP="00534341">
            <w:pPr>
              <w:spacing w:after="0" w:line="240" w:lineRule="auto"/>
              <w:jc w:val="center"/>
              <w:rPr>
                <w:rFonts w:ascii="Calibri" w:hAnsi="Calibri"/>
                <w:i/>
                <w:color w:val="000000"/>
                <w:sz w:val="20"/>
              </w:rPr>
            </w:pPr>
            <w:proofErr w:type="spellStart"/>
            <w:r w:rsidRPr="001D5412">
              <w:rPr>
                <w:rFonts w:ascii="Calibri" w:hAnsi="Calibri"/>
                <w:i/>
                <w:color w:val="000000"/>
                <w:sz w:val="20"/>
              </w:rPr>
              <w:t>twoweekavg</w:t>
            </w:r>
            <w:proofErr w:type="spellEnd"/>
          </w:p>
        </w:tc>
        <w:tc>
          <w:tcPr>
            <w:tcW w:w="7758" w:type="dxa"/>
            <w:tcBorders>
              <w:top w:val="single" w:sz="4" w:space="0" w:color="auto"/>
              <w:left w:val="nil"/>
              <w:bottom w:val="single" w:sz="4" w:space="0" w:color="auto"/>
              <w:right w:val="single" w:sz="4" w:space="0" w:color="auto"/>
            </w:tcBorders>
            <w:shd w:val="clear" w:color="auto" w:fill="auto"/>
            <w:noWrap/>
            <w:vAlign w:val="center"/>
            <w:hideMark/>
          </w:tcPr>
          <w:p w:rsidR="0041271C" w:rsidRPr="00050374" w:rsidRDefault="0041271C" w:rsidP="00FE0E2B">
            <w:pPr>
              <w:pStyle w:val="TableText"/>
              <w:jc w:val="left"/>
              <w:rPr>
                <w:rFonts w:eastAsia="Times New Roman"/>
              </w:rPr>
            </w:pPr>
            <w:r w:rsidRPr="00050374">
              <w:t>The average kW for the interval in question during all non-holiday, non-weekend, non-event days in the past two weeks.</w:t>
            </w:r>
          </w:p>
        </w:tc>
      </w:tr>
      <w:tr w:rsidR="0041271C" w:rsidRPr="00050374" w:rsidTr="000761CF">
        <w:trPr>
          <w:cantSplit/>
          <w:trHeight w:val="359"/>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271C" w:rsidRPr="00050374" w:rsidRDefault="001D5412" w:rsidP="00534341">
            <w:pPr>
              <w:spacing w:after="0" w:line="240" w:lineRule="auto"/>
              <w:jc w:val="center"/>
              <w:rPr>
                <w:rFonts w:ascii="Calibri" w:hAnsi="Calibri"/>
                <w:i/>
                <w:color w:val="000000"/>
                <w:sz w:val="20"/>
              </w:rPr>
            </w:pPr>
            <w:proofErr w:type="spellStart"/>
            <w:r w:rsidRPr="001D5412">
              <w:rPr>
                <w:rFonts w:ascii="Calibri" w:hAnsi="Calibri"/>
                <w:i/>
                <w:color w:val="000000"/>
                <w:sz w:val="20"/>
              </w:rPr>
              <w:lastRenderedPageBreak/>
              <w:t>AMPorDRRCevent</w:t>
            </w:r>
            <w:proofErr w:type="spellEnd"/>
          </w:p>
        </w:tc>
        <w:tc>
          <w:tcPr>
            <w:tcW w:w="7758" w:type="dxa"/>
            <w:tcBorders>
              <w:top w:val="single" w:sz="4" w:space="0" w:color="auto"/>
              <w:left w:val="nil"/>
              <w:bottom w:val="single" w:sz="4" w:space="0" w:color="auto"/>
              <w:right w:val="single" w:sz="4" w:space="0" w:color="auto"/>
            </w:tcBorders>
            <w:shd w:val="clear" w:color="auto" w:fill="auto"/>
            <w:noWrap/>
            <w:vAlign w:val="center"/>
            <w:hideMark/>
          </w:tcPr>
          <w:p w:rsidR="0041271C" w:rsidRPr="00050374" w:rsidRDefault="0041271C" w:rsidP="00124750">
            <w:pPr>
              <w:pStyle w:val="TableText"/>
              <w:jc w:val="left"/>
              <w:rPr>
                <w:rFonts w:eastAsia="Times New Roman"/>
              </w:rPr>
            </w:pPr>
            <w:r w:rsidRPr="00050374">
              <w:t xml:space="preserve">An indicator of whether an AMP or </w:t>
            </w:r>
            <w:r w:rsidR="00534341" w:rsidRPr="00050374">
              <w:t>DRRC</w:t>
            </w:r>
            <w:r w:rsidRPr="00050374">
              <w:t xml:space="preserve"> event was called that day.  </w:t>
            </w:r>
            <w:r w:rsidR="00124750">
              <w:t>There is an indicator for each event specifically (</w:t>
            </w:r>
            <w:r w:rsidR="001D5412" w:rsidRPr="001D5412">
              <w:rPr>
                <w:i/>
              </w:rPr>
              <w:t>i.e.</w:t>
            </w:r>
            <w:r w:rsidR="00124750">
              <w:t xml:space="preserve">, AMP event 1, AMP event 2).  </w:t>
            </w:r>
            <w:r w:rsidR="00124750" w:rsidRPr="00050374">
              <w:t>Th</w:t>
            </w:r>
            <w:r w:rsidR="00124750">
              <w:t>is</w:t>
            </w:r>
            <w:r w:rsidR="00124750" w:rsidRPr="00050374">
              <w:t xml:space="preserve"> </w:t>
            </w:r>
            <w:r w:rsidRPr="00050374">
              <w:t>variable take</w:t>
            </w:r>
            <w:r w:rsidR="00124750">
              <w:t>s</w:t>
            </w:r>
            <w:r w:rsidRPr="00050374">
              <w:t xml:space="preserve"> into account whether the customer was nominated for participation.  A customer that is not nominated for participation is assumed not to have been activated for the event.</w:t>
            </w:r>
          </w:p>
        </w:tc>
      </w:tr>
      <w:tr w:rsidR="0041271C" w:rsidRPr="00050374" w:rsidTr="00994A5C">
        <w:trPr>
          <w:trHeight w:val="431"/>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271C" w:rsidRPr="00050374" w:rsidRDefault="001D5412" w:rsidP="00534341">
            <w:pPr>
              <w:spacing w:after="0" w:line="240" w:lineRule="auto"/>
              <w:jc w:val="center"/>
              <w:rPr>
                <w:rFonts w:ascii="Calibri" w:hAnsi="Calibri"/>
                <w:i/>
                <w:color w:val="000000"/>
                <w:sz w:val="20"/>
              </w:rPr>
            </w:pPr>
            <w:proofErr w:type="spellStart"/>
            <w:r w:rsidRPr="001D5412">
              <w:rPr>
                <w:rFonts w:ascii="Calibri" w:hAnsi="Calibri"/>
                <w:i/>
                <w:color w:val="000000"/>
                <w:sz w:val="20"/>
              </w:rPr>
              <w:t>CBPEvent</w:t>
            </w:r>
            <w:proofErr w:type="spellEnd"/>
          </w:p>
        </w:tc>
        <w:tc>
          <w:tcPr>
            <w:tcW w:w="7758" w:type="dxa"/>
            <w:tcBorders>
              <w:top w:val="single" w:sz="4" w:space="0" w:color="auto"/>
              <w:left w:val="nil"/>
              <w:bottom w:val="single" w:sz="4" w:space="0" w:color="auto"/>
              <w:right w:val="single" w:sz="4" w:space="0" w:color="auto"/>
            </w:tcBorders>
            <w:shd w:val="clear" w:color="auto" w:fill="auto"/>
            <w:noWrap/>
            <w:vAlign w:val="center"/>
            <w:hideMark/>
          </w:tcPr>
          <w:p w:rsidR="0041271C" w:rsidRPr="00050374" w:rsidRDefault="0041271C" w:rsidP="00124750">
            <w:pPr>
              <w:pStyle w:val="TableText"/>
              <w:jc w:val="left"/>
              <w:rPr>
                <w:rFonts w:eastAsia="Times New Roman"/>
              </w:rPr>
            </w:pPr>
            <w:r w:rsidRPr="00050374">
              <w:t xml:space="preserve">An indicator of whether </w:t>
            </w:r>
            <w:r w:rsidR="00534341" w:rsidRPr="00050374">
              <w:t>a</w:t>
            </w:r>
            <w:r w:rsidRPr="00050374">
              <w:t xml:space="preserve"> CBP event was called that day.  </w:t>
            </w:r>
            <w:r w:rsidR="00124750">
              <w:t>There is an indicator for each event specifically (</w:t>
            </w:r>
            <w:r w:rsidR="001D5412" w:rsidRPr="001D5412">
              <w:rPr>
                <w:i/>
              </w:rPr>
              <w:t>i.e.</w:t>
            </w:r>
            <w:r w:rsidR="00B60E82">
              <w:t>,</w:t>
            </w:r>
            <w:r w:rsidR="00124750">
              <w:t xml:space="preserve"> CBP event 1, CBP event 2).  </w:t>
            </w:r>
            <w:r w:rsidR="00534341" w:rsidRPr="00050374">
              <w:t>This variable</w:t>
            </w:r>
            <w:r w:rsidRPr="00050374">
              <w:t xml:space="preserve"> take</w:t>
            </w:r>
            <w:r w:rsidR="00534341" w:rsidRPr="00050374">
              <w:t>s</w:t>
            </w:r>
            <w:r w:rsidRPr="00050374">
              <w:t xml:space="preserve"> into account whether the customer was nominated for participation.  A customer that is not nominated for participation is assumed not to have been activated for the event.</w:t>
            </w:r>
          </w:p>
        </w:tc>
      </w:tr>
    </w:tbl>
    <w:p w:rsidR="00D56B6F" w:rsidRPr="00050374" w:rsidRDefault="0041271C" w:rsidP="00263101">
      <w:pPr>
        <w:pStyle w:val="BodyParaAfterTableFigure"/>
      </w:pPr>
      <w:r w:rsidRPr="00050374">
        <w:t>Despite the math, the model is relatively intuitive.  Electricity use</w:t>
      </w:r>
      <w:r w:rsidR="00B22379" w:rsidRPr="00B22379">
        <w:t xml:space="preserve"> </w:t>
      </w:r>
      <w:r w:rsidR="00B22379" w:rsidRPr="00050374">
        <w:t>at each interval of the day</w:t>
      </w:r>
      <w:r w:rsidR="00B22379">
        <w:t xml:space="preserve"> is </w:t>
      </w:r>
      <w:r w:rsidRPr="00050374">
        <w:t>predicted as a function of prior customer load pattern</w:t>
      </w:r>
      <w:r w:rsidR="001D14F7">
        <w:t>s</w:t>
      </w:r>
      <w:r w:rsidRPr="00050374">
        <w:t xml:space="preserve">, weather, seasonality, rates and DR events.  The above model estimates impacts for </w:t>
      </w:r>
      <w:r w:rsidR="007A0BD9">
        <w:t>each</w:t>
      </w:r>
      <w:r w:rsidRPr="00050374">
        <w:t xml:space="preserve"> event</w:t>
      </w:r>
      <w:r w:rsidR="007A0BD9">
        <w:t xml:space="preserve"> separately</w:t>
      </w:r>
      <w:r w:rsidRPr="00050374">
        <w:t xml:space="preserve">. </w:t>
      </w:r>
      <w:r w:rsidR="00D01530" w:rsidRPr="00050374">
        <w:t xml:space="preserve"> </w:t>
      </w:r>
      <w:r w:rsidR="007E7246">
        <w:t xml:space="preserve">Since error terms in this regression model are serially correlated, </w:t>
      </w:r>
      <w:r w:rsidR="00B10954">
        <w:t>a ge</w:t>
      </w:r>
      <w:r w:rsidR="007E7246">
        <w:t>neralized least-squares</w:t>
      </w:r>
      <w:r w:rsidR="00085927">
        <w:t xml:space="preserve"> approach</w:t>
      </w:r>
      <w:r w:rsidR="007E7246">
        <w:t xml:space="preserve"> </w:t>
      </w:r>
      <w:r w:rsidR="001F3105">
        <w:t xml:space="preserve">was used </w:t>
      </w:r>
      <w:r w:rsidR="007E7246">
        <w:t xml:space="preserve">to estimate the </w:t>
      </w:r>
      <w:proofErr w:type="gramStart"/>
      <w:r w:rsidR="007E7246">
        <w:t>model</w:t>
      </w:r>
      <w:r w:rsidR="00D649A8">
        <w:t xml:space="preserve"> </w:t>
      </w:r>
      <w:r w:rsidR="00136632">
        <w:t> </w:t>
      </w:r>
      <w:r w:rsidR="007E7246">
        <w:t>parameters</w:t>
      </w:r>
      <w:proofErr w:type="gramEnd"/>
      <w:r w:rsidR="007E7246">
        <w:t>.</w:t>
      </w:r>
    </w:p>
    <w:p w:rsidR="00A84697" w:rsidRPr="00050374" w:rsidRDefault="00A84697" w:rsidP="00BA25E2">
      <w:pPr>
        <w:pStyle w:val="Heading2"/>
      </w:pPr>
      <w:bookmarkStart w:id="81" w:name="_Toc285282262"/>
      <w:bookmarkStart w:id="82" w:name="_Toc285283976"/>
      <w:bookmarkStart w:id="83" w:name="_Toc285282263"/>
      <w:bookmarkStart w:id="84" w:name="_Toc285283977"/>
      <w:bookmarkStart w:id="85" w:name="_Toc288992458"/>
      <w:bookmarkStart w:id="86" w:name="_Toc326074006"/>
      <w:bookmarkEnd w:id="81"/>
      <w:bookmarkEnd w:id="82"/>
      <w:bookmarkEnd w:id="83"/>
      <w:bookmarkEnd w:id="84"/>
      <w:r w:rsidRPr="00050374">
        <w:t>Accuracy of Regression Models</w:t>
      </w:r>
      <w:bookmarkEnd w:id="85"/>
      <w:bookmarkEnd w:id="86"/>
    </w:p>
    <w:p w:rsidR="00D56B6F" w:rsidRPr="00050374" w:rsidRDefault="00A84697" w:rsidP="00D56B6F">
      <w:pPr>
        <w:pStyle w:val="BodyParagraph"/>
      </w:pPr>
      <w:r w:rsidRPr="00050374">
        <w:t xml:space="preserve">This section contains a high-level overview of the </w:t>
      </w:r>
      <w:r w:rsidR="001F3105">
        <w:t xml:space="preserve">model </w:t>
      </w:r>
      <w:r w:rsidRPr="00050374">
        <w:t xml:space="preserve">validation results and their implications.  </w:t>
      </w:r>
      <w:r w:rsidR="000761CF">
        <w:t xml:space="preserve">The appendices contain </w:t>
      </w:r>
      <w:r w:rsidRPr="00050374">
        <w:t xml:space="preserve">detailed results of the validity assessment </w:t>
      </w:r>
      <w:r w:rsidR="007963C8">
        <w:t xml:space="preserve">that was done </w:t>
      </w:r>
      <w:r w:rsidR="00B22379">
        <w:t>for all</w:t>
      </w:r>
      <w:r w:rsidRPr="00050374">
        <w:t xml:space="preserve"> three utilities.</w:t>
      </w:r>
      <w:r w:rsidR="000E1ACA">
        <w:t xml:space="preserve">  </w:t>
      </w:r>
      <w:r w:rsidR="007963C8">
        <w:t xml:space="preserve">As </w:t>
      </w:r>
      <w:r w:rsidR="00400288">
        <w:t>mentioned</w:t>
      </w:r>
      <w:r w:rsidR="007963C8">
        <w:t xml:space="preserve"> </w:t>
      </w:r>
      <w:r w:rsidR="003D652A">
        <w:t>previously</w:t>
      </w:r>
      <w:r w:rsidR="007963C8">
        <w:t xml:space="preserve">, </w:t>
      </w:r>
      <w:r w:rsidR="00D56B6F" w:rsidRPr="00050374">
        <w:t xml:space="preserve">two primary approaches </w:t>
      </w:r>
      <w:r w:rsidR="007963C8">
        <w:t xml:space="preserve">were used to </w:t>
      </w:r>
      <w:r w:rsidR="00124750" w:rsidRPr="00050374">
        <w:t xml:space="preserve">assess </w:t>
      </w:r>
      <w:r w:rsidR="007963C8">
        <w:t xml:space="preserve">model </w:t>
      </w:r>
      <w:r w:rsidR="00D56B6F" w:rsidRPr="00050374">
        <w:t xml:space="preserve">accuracy: out-of-sample testing and false experiments. </w:t>
      </w:r>
      <w:r w:rsidR="004F6B7C" w:rsidRPr="00050374">
        <w:t xml:space="preserve"> </w:t>
      </w:r>
      <w:r w:rsidR="00D56B6F" w:rsidRPr="00050374">
        <w:t>In both cases, the “true” answers are known and we effectively test if the regression models produce correct results</w:t>
      </w:r>
      <w:r w:rsidR="00427D56">
        <w:t>.</w:t>
      </w:r>
      <w:r w:rsidR="00D56B6F" w:rsidRPr="00050374">
        <w:t xml:space="preserve"> </w:t>
      </w:r>
    </w:p>
    <w:p w:rsidR="004C53CE" w:rsidRDefault="005E54FF" w:rsidP="00C815E0">
      <w:pPr>
        <w:pStyle w:val="BodyParagraph"/>
      </w:pPr>
      <w:r w:rsidRPr="00050374">
        <w:t xml:space="preserve">Out-of-sample testing helps assess how well </w:t>
      </w:r>
      <w:r>
        <w:t xml:space="preserve">the </w:t>
      </w:r>
      <w:r w:rsidRPr="00050374">
        <w:t xml:space="preserve">regressions predict electricity use patterns during event-like days </w:t>
      </w:r>
      <w:r>
        <w:t xml:space="preserve">(also referred to as “proxy days”) </w:t>
      </w:r>
      <w:r w:rsidRPr="00050374">
        <w:t xml:space="preserve">and </w:t>
      </w:r>
      <w:r>
        <w:t xml:space="preserve">helps </w:t>
      </w:r>
      <w:r w:rsidRPr="00050374">
        <w:t xml:space="preserve">ensure </w:t>
      </w:r>
      <w:r>
        <w:t xml:space="preserve">that </w:t>
      </w:r>
      <w:r w:rsidRPr="00050374">
        <w:t xml:space="preserve">the results are not </w:t>
      </w:r>
      <w:r>
        <w:t>an</w:t>
      </w:r>
      <w:r w:rsidRPr="00050374">
        <w:t xml:space="preserve"> artifact of model over-fitting.  </w:t>
      </w:r>
      <w:r>
        <w:t xml:space="preserve">It </w:t>
      </w:r>
      <w:r w:rsidR="002B6DFE">
        <w:t xml:space="preserve">is conducted by first estimating the regression models on a database that excludes selected </w:t>
      </w:r>
      <w:r w:rsidR="008F73EE">
        <w:t xml:space="preserve">proxy </w:t>
      </w:r>
      <w:r w:rsidR="00D56B6F" w:rsidRPr="00050374">
        <w:t xml:space="preserve">days from the </w:t>
      </w:r>
      <w:r w:rsidR="002B6DFE">
        <w:t xml:space="preserve">estimation process.  The estimated model is then used to predict loads on the excluded days to see how accurate the predictions are.  </w:t>
      </w:r>
      <w:r w:rsidR="00D56B6F" w:rsidRPr="00050374">
        <w:t xml:space="preserve">If the predictions are close to the </w:t>
      </w:r>
      <w:r w:rsidR="00124750">
        <w:t>observed</w:t>
      </w:r>
      <w:r w:rsidR="00124750" w:rsidRPr="00050374">
        <w:t xml:space="preserve"> </w:t>
      </w:r>
      <w:r w:rsidR="00D56B6F" w:rsidRPr="00050374">
        <w:t>load</w:t>
      </w:r>
      <w:r w:rsidR="002B6DFE">
        <w:t xml:space="preserve"> on the days that are excluded from the estimation process</w:t>
      </w:r>
      <w:r w:rsidR="00D56B6F" w:rsidRPr="00050374">
        <w:t xml:space="preserve">, </w:t>
      </w:r>
      <w:r w:rsidR="002B6DFE">
        <w:t xml:space="preserve">it illustrates that the model can predict </w:t>
      </w:r>
      <w:r w:rsidR="00D56B6F" w:rsidRPr="00050374">
        <w:t xml:space="preserve">accurately for </w:t>
      </w:r>
      <w:r w:rsidR="002B6DFE">
        <w:t>days</w:t>
      </w:r>
      <w:r w:rsidR="00400288">
        <w:t xml:space="preserve"> similar to those</w:t>
      </w:r>
      <w:r w:rsidR="002B6DFE">
        <w:t xml:space="preserve"> on which events are typically called.  </w:t>
      </w:r>
    </w:p>
    <w:p w:rsidR="00AA39FA" w:rsidRDefault="00912C55" w:rsidP="00C815E0">
      <w:pPr>
        <w:pStyle w:val="BodyParagraph"/>
        <w:rPr>
          <w:highlight w:val="yellow"/>
        </w:rPr>
      </w:pPr>
      <w:r>
        <w:t xml:space="preserve">Table </w:t>
      </w:r>
      <w:r w:rsidR="00A52143">
        <w:t>3</w:t>
      </w:r>
      <w:r>
        <w:t xml:space="preserve">-1 </w:t>
      </w:r>
      <w:r w:rsidR="004C53CE">
        <w:t>compares the system loads and temperatures for proxy days and actual event days for the various AMP</w:t>
      </w:r>
      <w:r w:rsidR="003D652A">
        <w:t>, DRRC</w:t>
      </w:r>
      <w:r w:rsidR="004C53CE">
        <w:t xml:space="preserve"> and CBP products that are available to be called by each utility.  </w:t>
      </w:r>
      <w:r w:rsidR="003D652A">
        <w:t>The</w:t>
      </w:r>
      <w:r w:rsidR="004C53CE">
        <w:t xml:space="preserve"> table show</w:t>
      </w:r>
      <w:r w:rsidR="003D652A">
        <w:t>s</w:t>
      </w:r>
      <w:r w:rsidR="004C53CE">
        <w:t xml:space="preserve"> that the proxy days chosen for out-of-sample testing have similar system loads </w:t>
      </w:r>
      <w:r w:rsidR="001F3105">
        <w:t>and average temperatures as th</w:t>
      </w:r>
      <w:r w:rsidR="004C53CE">
        <w:t xml:space="preserve">e </w:t>
      </w:r>
      <w:r w:rsidR="001F3105">
        <w:t xml:space="preserve">days on which </w:t>
      </w:r>
      <w:r w:rsidR="004C53CE">
        <w:t>events</w:t>
      </w:r>
      <w:r w:rsidR="001F3105">
        <w:t xml:space="preserve"> actually occurred</w:t>
      </w:r>
      <w:r w:rsidR="004C53CE">
        <w:t xml:space="preserve">.  </w:t>
      </w:r>
      <w:r w:rsidR="006141BC">
        <w:t xml:space="preserve">Because SCE called as few as 2 or as many as 19 events for each program and notification type (DA or DO), results are presented in a different format </w:t>
      </w:r>
      <w:r w:rsidR="001F3105">
        <w:t xml:space="preserve">for SCE </w:t>
      </w:r>
      <w:r w:rsidR="006141BC">
        <w:t xml:space="preserve">than for SDG&amp;E and PG&amp;E.  For greater detail, see </w:t>
      </w:r>
      <w:r w:rsidR="006141BC" w:rsidRPr="0055245E">
        <w:t xml:space="preserve">Appendix </w:t>
      </w:r>
      <w:r w:rsidR="003D652A">
        <w:t>B</w:t>
      </w:r>
      <w:r w:rsidR="006141BC">
        <w:t xml:space="preserve">.  As seen in the table, both system load and average temperatures are comparable on proxy and actual event days, suggesting that the out-of-sample testing </w:t>
      </w:r>
      <w:r w:rsidR="001F3105">
        <w:t xml:space="preserve">using the selected proxy days </w:t>
      </w:r>
      <w:r w:rsidR="006141BC">
        <w:t xml:space="preserve">is </w:t>
      </w:r>
      <w:r w:rsidR="001F3105">
        <w:t>a valid approach for assessing model</w:t>
      </w:r>
      <w:r w:rsidR="006141BC">
        <w:t xml:space="preserve"> accuracy under typical event conditions.</w:t>
      </w:r>
      <w:r w:rsidR="004C53CE">
        <w:t xml:space="preserve">  </w:t>
      </w:r>
    </w:p>
    <w:p w:rsidR="00AA39FA" w:rsidRDefault="00AA39FA">
      <w:pPr>
        <w:rPr>
          <w:rFonts w:ascii="Arial" w:hAnsi="Arial"/>
          <w:sz w:val="20"/>
          <w:highlight w:val="yellow"/>
        </w:rPr>
      </w:pPr>
      <w:r>
        <w:rPr>
          <w:highlight w:val="yellow"/>
        </w:rPr>
        <w:br w:type="page"/>
      </w:r>
    </w:p>
    <w:p w:rsidR="00912C55" w:rsidRDefault="00912C55" w:rsidP="00BA25E2">
      <w:pPr>
        <w:pStyle w:val="TableFigureCaption"/>
      </w:pPr>
      <w:r>
        <w:lastRenderedPageBreak/>
        <w:t xml:space="preserve">Table </w:t>
      </w:r>
      <w:r w:rsidR="00A52143">
        <w:t>3</w:t>
      </w:r>
      <w:r>
        <w:t>-1:</w:t>
      </w:r>
      <w:r w:rsidR="00270ED1">
        <w:t xml:space="preserve"> </w:t>
      </w:r>
      <w:r w:rsidR="00BA25E2">
        <w:t xml:space="preserve"> </w:t>
      </w:r>
      <w:r>
        <w:t xml:space="preserve">Comparison of Event Day and Proxy Day </w:t>
      </w:r>
      <w:r w:rsidR="008D2898">
        <w:t>System L</w:t>
      </w:r>
      <w:r>
        <w:t>oads and Temperatures</w:t>
      </w:r>
    </w:p>
    <w:tbl>
      <w:tblPr>
        <w:tblW w:w="8861" w:type="dxa"/>
        <w:jc w:val="center"/>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95"/>
        <w:gridCol w:w="1117"/>
        <w:gridCol w:w="989"/>
        <w:gridCol w:w="920"/>
        <w:gridCol w:w="2410"/>
        <w:gridCol w:w="2430"/>
      </w:tblGrid>
      <w:tr w:rsidR="002B1DFB" w:rsidRPr="00912C55" w:rsidTr="00A14074">
        <w:trPr>
          <w:trHeight w:val="510"/>
          <w:jc w:val="center"/>
        </w:trPr>
        <w:tc>
          <w:tcPr>
            <w:tcW w:w="995" w:type="dxa"/>
            <w:tcBorders>
              <w:right w:val="single" w:sz="4" w:space="0" w:color="FFFFFF" w:themeColor="background1"/>
            </w:tcBorders>
            <w:shd w:val="clear" w:color="auto" w:fill="1F497D" w:themeFill="text2"/>
            <w:tcMar>
              <w:top w:w="0" w:type="dxa"/>
              <w:left w:w="108" w:type="dxa"/>
              <w:bottom w:w="0" w:type="dxa"/>
              <w:right w:w="108" w:type="dxa"/>
            </w:tcMar>
            <w:vAlign w:val="center"/>
            <w:hideMark/>
          </w:tcPr>
          <w:p w:rsidR="008F73EE" w:rsidRPr="00912C55" w:rsidRDefault="008F73EE" w:rsidP="00912C55">
            <w:pPr>
              <w:spacing w:after="0" w:line="240" w:lineRule="auto"/>
              <w:jc w:val="center"/>
              <w:rPr>
                <w:rFonts w:ascii="Arial" w:eastAsiaTheme="minorHAnsi" w:hAnsi="Arial" w:cs="Arial"/>
                <w:b/>
                <w:bCs/>
                <w:color w:val="FFFFFF"/>
                <w:sz w:val="20"/>
                <w:szCs w:val="20"/>
              </w:rPr>
            </w:pPr>
            <w:r w:rsidRPr="00912C55">
              <w:rPr>
                <w:rFonts w:ascii="Arial" w:eastAsiaTheme="minorHAnsi" w:hAnsi="Arial" w:cs="Arial"/>
                <w:b/>
                <w:bCs/>
                <w:color w:val="FFFFFF"/>
                <w:sz w:val="20"/>
                <w:szCs w:val="20"/>
              </w:rPr>
              <w:t>Utility</w:t>
            </w:r>
          </w:p>
        </w:tc>
        <w:tc>
          <w:tcPr>
            <w:tcW w:w="1117" w:type="dxa"/>
            <w:tcBorders>
              <w:left w:val="single" w:sz="4" w:space="0" w:color="FFFFFF" w:themeColor="background1"/>
              <w:right w:val="single" w:sz="4" w:space="0" w:color="FFFFFF" w:themeColor="background1"/>
            </w:tcBorders>
            <w:shd w:val="clear" w:color="auto" w:fill="1F497D" w:themeFill="text2"/>
            <w:tcMar>
              <w:top w:w="0" w:type="dxa"/>
              <w:left w:w="108" w:type="dxa"/>
              <w:bottom w:w="0" w:type="dxa"/>
              <w:right w:w="108" w:type="dxa"/>
            </w:tcMar>
            <w:vAlign w:val="center"/>
            <w:hideMark/>
          </w:tcPr>
          <w:p w:rsidR="008F73EE" w:rsidRPr="00912C55" w:rsidRDefault="008F73EE" w:rsidP="00912C55">
            <w:pPr>
              <w:spacing w:after="0" w:line="240" w:lineRule="auto"/>
              <w:jc w:val="center"/>
              <w:rPr>
                <w:rFonts w:ascii="Arial" w:eastAsiaTheme="minorHAnsi" w:hAnsi="Arial" w:cs="Arial"/>
                <w:b/>
                <w:bCs/>
                <w:color w:val="FFFFFF"/>
                <w:sz w:val="20"/>
                <w:szCs w:val="20"/>
              </w:rPr>
            </w:pPr>
            <w:r w:rsidRPr="00912C55">
              <w:rPr>
                <w:rFonts w:ascii="Arial" w:eastAsiaTheme="minorHAnsi" w:hAnsi="Arial" w:cs="Arial"/>
                <w:b/>
                <w:bCs/>
                <w:color w:val="FFFFFF"/>
                <w:sz w:val="20"/>
                <w:szCs w:val="20"/>
              </w:rPr>
              <w:t>Program</w:t>
            </w:r>
          </w:p>
        </w:tc>
        <w:tc>
          <w:tcPr>
            <w:tcW w:w="989" w:type="dxa"/>
            <w:tcBorders>
              <w:left w:val="single" w:sz="4" w:space="0" w:color="FFFFFF" w:themeColor="background1"/>
              <w:right w:val="single" w:sz="4" w:space="0" w:color="FFFFFF" w:themeColor="background1"/>
            </w:tcBorders>
            <w:shd w:val="clear" w:color="auto" w:fill="1F497D" w:themeFill="text2"/>
            <w:tcMar>
              <w:top w:w="0" w:type="dxa"/>
              <w:left w:w="108" w:type="dxa"/>
              <w:bottom w:w="0" w:type="dxa"/>
              <w:right w:w="108" w:type="dxa"/>
            </w:tcMar>
            <w:vAlign w:val="center"/>
            <w:hideMark/>
          </w:tcPr>
          <w:p w:rsidR="008F73EE" w:rsidRPr="00912C55" w:rsidRDefault="008F73EE" w:rsidP="00912C55">
            <w:pPr>
              <w:spacing w:after="0" w:line="240" w:lineRule="auto"/>
              <w:jc w:val="center"/>
              <w:rPr>
                <w:rFonts w:ascii="Arial" w:eastAsiaTheme="minorHAnsi" w:hAnsi="Arial" w:cs="Arial"/>
                <w:b/>
                <w:bCs/>
                <w:color w:val="FFFFFF"/>
                <w:sz w:val="20"/>
                <w:szCs w:val="20"/>
              </w:rPr>
            </w:pPr>
            <w:r>
              <w:rPr>
                <w:rFonts w:ascii="Arial" w:eastAsiaTheme="minorHAnsi" w:hAnsi="Arial" w:cs="Arial"/>
                <w:b/>
                <w:bCs/>
                <w:color w:val="FFFFFF"/>
                <w:sz w:val="20"/>
                <w:szCs w:val="20"/>
              </w:rPr>
              <w:t>Type</w:t>
            </w:r>
          </w:p>
        </w:tc>
        <w:tc>
          <w:tcPr>
            <w:tcW w:w="920" w:type="dxa"/>
            <w:tcBorders>
              <w:left w:val="single" w:sz="4" w:space="0" w:color="FFFFFF" w:themeColor="background1"/>
              <w:right w:val="single" w:sz="4" w:space="0" w:color="FFFFFF" w:themeColor="background1"/>
            </w:tcBorders>
            <w:shd w:val="clear" w:color="auto" w:fill="1F497D" w:themeFill="text2"/>
            <w:tcMar>
              <w:top w:w="0" w:type="dxa"/>
              <w:left w:w="108" w:type="dxa"/>
              <w:bottom w:w="0" w:type="dxa"/>
              <w:right w:w="108" w:type="dxa"/>
            </w:tcMar>
            <w:vAlign w:val="center"/>
            <w:hideMark/>
          </w:tcPr>
          <w:p w:rsidR="008F73EE" w:rsidRPr="00912C55" w:rsidRDefault="008F73EE" w:rsidP="00912C55">
            <w:pPr>
              <w:spacing w:after="0" w:line="240" w:lineRule="auto"/>
              <w:jc w:val="center"/>
              <w:rPr>
                <w:rFonts w:ascii="Arial" w:eastAsiaTheme="minorHAnsi" w:hAnsi="Arial" w:cs="Arial"/>
                <w:b/>
                <w:bCs/>
                <w:color w:val="FFFFFF"/>
                <w:sz w:val="20"/>
                <w:szCs w:val="20"/>
              </w:rPr>
            </w:pPr>
            <w:r w:rsidRPr="00912C55">
              <w:rPr>
                <w:rFonts w:ascii="Arial" w:eastAsiaTheme="minorHAnsi" w:hAnsi="Arial" w:cs="Arial"/>
                <w:b/>
                <w:bCs/>
                <w:color w:val="FFFFFF"/>
                <w:sz w:val="20"/>
                <w:szCs w:val="20"/>
              </w:rPr>
              <w:t>Day Type</w:t>
            </w:r>
          </w:p>
        </w:tc>
        <w:tc>
          <w:tcPr>
            <w:tcW w:w="2410" w:type="dxa"/>
            <w:tcBorders>
              <w:left w:val="single" w:sz="4" w:space="0" w:color="FFFFFF" w:themeColor="background1"/>
              <w:right w:val="single" w:sz="4" w:space="0" w:color="FFFFFF" w:themeColor="background1"/>
            </w:tcBorders>
            <w:shd w:val="clear" w:color="auto" w:fill="1F497D" w:themeFill="text2"/>
            <w:tcMar>
              <w:top w:w="0" w:type="dxa"/>
              <w:left w:w="108" w:type="dxa"/>
              <w:bottom w:w="0" w:type="dxa"/>
              <w:right w:w="108" w:type="dxa"/>
            </w:tcMar>
            <w:vAlign w:val="center"/>
            <w:hideMark/>
          </w:tcPr>
          <w:p w:rsidR="008F73EE" w:rsidRPr="00912C55" w:rsidRDefault="008F73EE" w:rsidP="00912C55">
            <w:pPr>
              <w:spacing w:after="0" w:line="240" w:lineRule="auto"/>
              <w:jc w:val="center"/>
              <w:rPr>
                <w:rFonts w:ascii="Arial" w:eastAsiaTheme="minorHAnsi" w:hAnsi="Arial" w:cs="Arial"/>
                <w:b/>
                <w:bCs/>
                <w:color w:val="FFFFFF"/>
                <w:sz w:val="20"/>
                <w:szCs w:val="20"/>
              </w:rPr>
            </w:pPr>
            <w:r>
              <w:rPr>
                <w:rFonts w:ascii="Arial" w:eastAsiaTheme="minorHAnsi" w:hAnsi="Arial" w:cs="Arial"/>
                <w:b/>
                <w:bCs/>
                <w:color w:val="FFFFFF"/>
                <w:sz w:val="20"/>
                <w:szCs w:val="20"/>
              </w:rPr>
              <w:t>Av</w:t>
            </w:r>
            <w:r w:rsidR="000761CF">
              <w:rPr>
                <w:rFonts w:ascii="Arial" w:eastAsiaTheme="minorHAnsi" w:hAnsi="Arial" w:cs="Arial"/>
                <w:b/>
                <w:bCs/>
                <w:color w:val="FFFFFF"/>
                <w:sz w:val="20"/>
                <w:szCs w:val="20"/>
              </w:rPr>
              <w:t>erage</w:t>
            </w:r>
            <w:r>
              <w:rPr>
                <w:rFonts w:ascii="Arial" w:eastAsiaTheme="minorHAnsi" w:hAnsi="Arial" w:cs="Arial"/>
                <w:b/>
                <w:bCs/>
                <w:color w:val="FFFFFF"/>
                <w:sz w:val="20"/>
                <w:szCs w:val="20"/>
              </w:rPr>
              <w:t xml:space="preserve"> Max </w:t>
            </w:r>
            <w:r w:rsidRPr="00912C55">
              <w:rPr>
                <w:rFonts w:ascii="Arial" w:eastAsiaTheme="minorHAnsi" w:hAnsi="Arial" w:cs="Arial"/>
                <w:b/>
                <w:bCs/>
                <w:color w:val="FFFFFF"/>
                <w:sz w:val="20"/>
                <w:szCs w:val="20"/>
              </w:rPr>
              <w:t>MW</w:t>
            </w:r>
          </w:p>
        </w:tc>
        <w:tc>
          <w:tcPr>
            <w:tcW w:w="2430" w:type="dxa"/>
            <w:tcBorders>
              <w:left w:val="single" w:sz="4" w:space="0" w:color="FFFFFF" w:themeColor="background1"/>
            </w:tcBorders>
            <w:shd w:val="clear" w:color="auto" w:fill="1F497D" w:themeFill="text2"/>
            <w:tcMar>
              <w:top w:w="0" w:type="dxa"/>
              <w:left w:w="108" w:type="dxa"/>
              <w:bottom w:w="0" w:type="dxa"/>
              <w:right w:w="108" w:type="dxa"/>
            </w:tcMar>
            <w:vAlign w:val="center"/>
            <w:hideMark/>
          </w:tcPr>
          <w:p w:rsidR="008F73EE" w:rsidRPr="00912C55" w:rsidRDefault="008F73EE" w:rsidP="00912C55">
            <w:pPr>
              <w:spacing w:after="0" w:line="240" w:lineRule="auto"/>
              <w:jc w:val="center"/>
              <w:rPr>
                <w:rFonts w:ascii="Arial" w:eastAsiaTheme="minorHAnsi" w:hAnsi="Arial" w:cs="Arial"/>
                <w:b/>
                <w:bCs/>
                <w:color w:val="FFFFFF"/>
                <w:sz w:val="20"/>
                <w:szCs w:val="20"/>
              </w:rPr>
            </w:pPr>
            <w:r>
              <w:rPr>
                <w:rFonts w:ascii="Arial" w:eastAsiaTheme="minorHAnsi" w:hAnsi="Arial" w:cs="Arial"/>
                <w:b/>
                <w:bCs/>
                <w:color w:val="FFFFFF"/>
                <w:sz w:val="20"/>
                <w:szCs w:val="20"/>
              </w:rPr>
              <w:t>Av</w:t>
            </w:r>
            <w:r w:rsidR="000761CF">
              <w:rPr>
                <w:rFonts w:ascii="Arial" w:eastAsiaTheme="minorHAnsi" w:hAnsi="Arial" w:cs="Arial"/>
                <w:b/>
                <w:bCs/>
                <w:color w:val="FFFFFF"/>
                <w:sz w:val="20"/>
                <w:szCs w:val="20"/>
              </w:rPr>
              <w:t>erage</w:t>
            </w:r>
            <w:r>
              <w:rPr>
                <w:rFonts w:ascii="Arial" w:eastAsiaTheme="minorHAnsi" w:hAnsi="Arial" w:cs="Arial"/>
                <w:b/>
                <w:bCs/>
                <w:color w:val="FFFFFF"/>
                <w:sz w:val="20"/>
                <w:szCs w:val="20"/>
              </w:rPr>
              <w:t xml:space="preserve"> Max </w:t>
            </w:r>
            <w:r w:rsidRPr="00912C55">
              <w:rPr>
                <w:rFonts w:ascii="Arial" w:eastAsiaTheme="minorHAnsi" w:hAnsi="Arial" w:cs="Arial"/>
                <w:b/>
                <w:bCs/>
                <w:color w:val="FFFFFF"/>
                <w:sz w:val="20"/>
                <w:szCs w:val="20"/>
              </w:rPr>
              <w:t>Temp</w:t>
            </w:r>
            <w:r>
              <w:rPr>
                <w:rFonts w:ascii="Arial" w:eastAsiaTheme="minorHAnsi" w:hAnsi="Arial" w:cs="Arial"/>
                <w:b/>
                <w:bCs/>
                <w:color w:val="FFFFFF"/>
                <w:sz w:val="20"/>
                <w:szCs w:val="20"/>
              </w:rPr>
              <w:t>erature</w:t>
            </w:r>
          </w:p>
        </w:tc>
      </w:tr>
      <w:tr w:rsidR="008F73EE" w:rsidRPr="00912C55" w:rsidTr="00A14074">
        <w:trPr>
          <w:trHeight w:val="300"/>
          <w:jc w:val="center"/>
        </w:trPr>
        <w:tc>
          <w:tcPr>
            <w:tcW w:w="995" w:type="dxa"/>
            <w:vMerge w:val="restart"/>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SCE</w:t>
            </w:r>
          </w:p>
        </w:tc>
        <w:tc>
          <w:tcPr>
            <w:tcW w:w="1117" w:type="dxa"/>
            <w:vMerge w:val="restart"/>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CBP</w:t>
            </w:r>
          </w:p>
        </w:tc>
        <w:tc>
          <w:tcPr>
            <w:tcW w:w="989" w:type="dxa"/>
            <w:vMerge w:val="restart"/>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DA</w:t>
            </w:r>
          </w:p>
        </w:tc>
        <w:tc>
          <w:tcPr>
            <w:tcW w:w="92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Proxy</w:t>
            </w:r>
          </w:p>
        </w:tc>
        <w:tc>
          <w:tcPr>
            <w:tcW w:w="241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18,679</w:t>
            </w:r>
          </w:p>
        </w:tc>
        <w:tc>
          <w:tcPr>
            <w:tcW w:w="243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77.7</w:t>
            </w:r>
          </w:p>
        </w:tc>
      </w:tr>
      <w:tr w:rsidR="008F73EE" w:rsidRPr="00912C55" w:rsidTr="00A14074">
        <w:trPr>
          <w:trHeight w:val="300"/>
          <w:jc w:val="center"/>
        </w:trPr>
        <w:tc>
          <w:tcPr>
            <w:tcW w:w="0" w:type="auto"/>
            <w:vMerge/>
            <w:vAlign w:val="center"/>
            <w:hideMark/>
          </w:tcPr>
          <w:p w:rsidR="008F73EE" w:rsidRPr="00912C55" w:rsidRDefault="008F73EE" w:rsidP="00994A5C">
            <w:pPr>
              <w:pStyle w:val="TableText"/>
              <w:rPr>
                <w:rFonts w:eastAsiaTheme="minorHAnsi"/>
              </w:rPr>
            </w:pPr>
          </w:p>
        </w:tc>
        <w:tc>
          <w:tcPr>
            <w:tcW w:w="0" w:type="auto"/>
            <w:vMerge/>
            <w:vAlign w:val="center"/>
            <w:hideMark/>
          </w:tcPr>
          <w:p w:rsidR="008F73EE" w:rsidRPr="00912C55" w:rsidRDefault="008F73EE" w:rsidP="00994A5C">
            <w:pPr>
              <w:pStyle w:val="TableText"/>
              <w:rPr>
                <w:rFonts w:eastAsiaTheme="minorHAnsi"/>
              </w:rPr>
            </w:pPr>
          </w:p>
        </w:tc>
        <w:tc>
          <w:tcPr>
            <w:tcW w:w="989" w:type="dxa"/>
            <w:vMerge/>
            <w:vAlign w:val="center"/>
            <w:hideMark/>
          </w:tcPr>
          <w:p w:rsidR="008F73EE" w:rsidRPr="00912C55" w:rsidRDefault="008F73EE" w:rsidP="00994A5C">
            <w:pPr>
              <w:pStyle w:val="TableText"/>
              <w:rPr>
                <w:rFonts w:eastAsiaTheme="minorHAnsi"/>
              </w:rPr>
            </w:pPr>
          </w:p>
        </w:tc>
        <w:tc>
          <w:tcPr>
            <w:tcW w:w="92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Actual</w:t>
            </w:r>
          </w:p>
        </w:tc>
        <w:tc>
          <w:tcPr>
            <w:tcW w:w="241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18,552</w:t>
            </w:r>
          </w:p>
        </w:tc>
        <w:tc>
          <w:tcPr>
            <w:tcW w:w="243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77.2</w:t>
            </w:r>
          </w:p>
        </w:tc>
      </w:tr>
      <w:tr w:rsidR="008F73EE" w:rsidRPr="00912C55" w:rsidTr="00A14074">
        <w:trPr>
          <w:trHeight w:val="315"/>
          <w:jc w:val="center"/>
        </w:trPr>
        <w:tc>
          <w:tcPr>
            <w:tcW w:w="0" w:type="auto"/>
            <w:vMerge/>
            <w:vAlign w:val="center"/>
            <w:hideMark/>
          </w:tcPr>
          <w:p w:rsidR="008F73EE" w:rsidRPr="00912C55" w:rsidRDefault="008F73EE" w:rsidP="00994A5C">
            <w:pPr>
              <w:pStyle w:val="TableText"/>
              <w:rPr>
                <w:rFonts w:eastAsiaTheme="minorHAnsi"/>
              </w:rPr>
            </w:pPr>
          </w:p>
        </w:tc>
        <w:tc>
          <w:tcPr>
            <w:tcW w:w="0" w:type="auto"/>
            <w:vMerge/>
            <w:vAlign w:val="center"/>
            <w:hideMark/>
          </w:tcPr>
          <w:p w:rsidR="008F73EE" w:rsidRPr="00912C55" w:rsidRDefault="008F73EE" w:rsidP="00994A5C">
            <w:pPr>
              <w:pStyle w:val="TableText"/>
              <w:rPr>
                <w:rFonts w:eastAsiaTheme="minorHAnsi"/>
              </w:rPr>
            </w:pPr>
          </w:p>
        </w:tc>
        <w:tc>
          <w:tcPr>
            <w:tcW w:w="989" w:type="dxa"/>
            <w:vMerge w:val="restart"/>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DO</w:t>
            </w:r>
          </w:p>
        </w:tc>
        <w:tc>
          <w:tcPr>
            <w:tcW w:w="92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Proxy</w:t>
            </w:r>
          </w:p>
        </w:tc>
        <w:tc>
          <w:tcPr>
            <w:tcW w:w="241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18,621</w:t>
            </w:r>
          </w:p>
        </w:tc>
        <w:tc>
          <w:tcPr>
            <w:tcW w:w="243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77.1</w:t>
            </w:r>
          </w:p>
        </w:tc>
      </w:tr>
      <w:tr w:rsidR="008F73EE" w:rsidRPr="00912C55" w:rsidTr="00A14074">
        <w:trPr>
          <w:trHeight w:val="315"/>
          <w:jc w:val="center"/>
        </w:trPr>
        <w:tc>
          <w:tcPr>
            <w:tcW w:w="0" w:type="auto"/>
            <w:vMerge/>
            <w:vAlign w:val="center"/>
            <w:hideMark/>
          </w:tcPr>
          <w:p w:rsidR="008F73EE" w:rsidRPr="00912C55" w:rsidRDefault="008F73EE" w:rsidP="00994A5C">
            <w:pPr>
              <w:pStyle w:val="TableText"/>
              <w:rPr>
                <w:rFonts w:eastAsiaTheme="minorHAnsi"/>
              </w:rPr>
            </w:pPr>
          </w:p>
        </w:tc>
        <w:tc>
          <w:tcPr>
            <w:tcW w:w="0" w:type="auto"/>
            <w:vMerge/>
            <w:vAlign w:val="center"/>
            <w:hideMark/>
          </w:tcPr>
          <w:p w:rsidR="008F73EE" w:rsidRPr="00912C55" w:rsidRDefault="008F73EE" w:rsidP="00994A5C">
            <w:pPr>
              <w:pStyle w:val="TableText"/>
              <w:rPr>
                <w:rFonts w:eastAsiaTheme="minorHAnsi"/>
              </w:rPr>
            </w:pPr>
          </w:p>
        </w:tc>
        <w:tc>
          <w:tcPr>
            <w:tcW w:w="989" w:type="dxa"/>
            <w:vMerge/>
            <w:vAlign w:val="center"/>
            <w:hideMark/>
          </w:tcPr>
          <w:p w:rsidR="008F73EE" w:rsidRPr="00912C55" w:rsidRDefault="008F73EE" w:rsidP="00994A5C">
            <w:pPr>
              <w:pStyle w:val="TableText"/>
              <w:rPr>
                <w:rFonts w:eastAsiaTheme="minorHAnsi"/>
              </w:rPr>
            </w:pPr>
          </w:p>
        </w:tc>
        <w:tc>
          <w:tcPr>
            <w:tcW w:w="92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Actual</w:t>
            </w:r>
          </w:p>
        </w:tc>
        <w:tc>
          <w:tcPr>
            <w:tcW w:w="241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19,782</w:t>
            </w:r>
          </w:p>
        </w:tc>
        <w:tc>
          <w:tcPr>
            <w:tcW w:w="243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78.9</w:t>
            </w:r>
          </w:p>
        </w:tc>
      </w:tr>
      <w:tr w:rsidR="008F73EE" w:rsidRPr="00912C55" w:rsidTr="00A14074">
        <w:trPr>
          <w:trHeight w:val="300"/>
          <w:jc w:val="center"/>
        </w:trPr>
        <w:tc>
          <w:tcPr>
            <w:tcW w:w="0" w:type="auto"/>
            <w:vMerge/>
            <w:vAlign w:val="center"/>
            <w:hideMark/>
          </w:tcPr>
          <w:p w:rsidR="008F73EE" w:rsidRPr="00912C55" w:rsidRDefault="008F73EE" w:rsidP="00994A5C">
            <w:pPr>
              <w:pStyle w:val="TableText"/>
              <w:rPr>
                <w:rFonts w:eastAsiaTheme="minorHAnsi"/>
              </w:rPr>
            </w:pPr>
          </w:p>
        </w:tc>
        <w:tc>
          <w:tcPr>
            <w:tcW w:w="1117" w:type="dxa"/>
            <w:vMerge w:val="restart"/>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DRRC</w:t>
            </w:r>
          </w:p>
        </w:tc>
        <w:tc>
          <w:tcPr>
            <w:tcW w:w="989" w:type="dxa"/>
            <w:vMerge w:val="restart"/>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DA</w:t>
            </w:r>
          </w:p>
        </w:tc>
        <w:tc>
          <w:tcPr>
            <w:tcW w:w="92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Proxy</w:t>
            </w:r>
          </w:p>
        </w:tc>
        <w:tc>
          <w:tcPr>
            <w:tcW w:w="241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18,644</w:t>
            </w:r>
          </w:p>
        </w:tc>
        <w:tc>
          <w:tcPr>
            <w:tcW w:w="243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77.1</w:t>
            </w:r>
          </w:p>
        </w:tc>
      </w:tr>
      <w:tr w:rsidR="008F73EE" w:rsidRPr="00912C55" w:rsidTr="00A14074">
        <w:trPr>
          <w:trHeight w:val="300"/>
          <w:jc w:val="center"/>
        </w:trPr>
        <w:tc>
          <w:tcPr>
            <w:tcW w:w="0" w:type="auto"/>
            <w:vMerge/>
            <w:vAlign w:val="center"/>
            <w:hideMark/>
          </w:tcPr>
          <w:p w:rsidR="008F73EE" w:rsidRPr="00912C55" w:rsidRDefault="008F73EE" w:rsidP="00994A5C">
            <w:pPr>
              <w:pStyle w:val="TableText"/>
              <w:rPr>
                <w:rFonts w:eastAsiaTheme="minorHAnsi"/>
              </w:rPr>
            </w:pPr>
          </w:p>
        </w:tc>
        <w:tc>
          <w:tcPr>
            <w:tcW w:w="0" w:type="auto"/>
            <w:vMerge/>
            <w:vAlign w:val="center"/>
            <w:hideMark/>
          </w:tcPr>
          <w:p w:rsidR="008F73EE" w:rsidRPr="00912C55" w:rsidRDefault="008F73EE" w:rsidP="00994A5C">
            <w:pPr>
              <w:pStyle w:val="TableText"/>
              <w:rPr>
                <w:rFonts w:eastAsiaTheme="minorHAnsi"/>
              </w:rPr>
            </w:pPr>
          </w:p>
        </w:tc>
        <w:tc>
          <w:tcPr>
            <w:tcW w:w="989" w:type="dxa"/>
            <w:vMerge/>
            <w:vAlign w:val="center"/>
            <w:hideMark/>
          </w:tcPr>
          <w:p w:rsidR="008F73EE" w:rsidRPr="00912C55" w:rsidRDefault="008F73EE" w:rsidP="00994A5C">
            <w:pPr>
              <w:pStyle w:val="TableText"/>
              <w:rPr>
                <w:rFonts w:eastAsiaTheme="minorHAnsi"/>
              </w:rPr>
            </w:pPr>
          </w:p>
        </w:tc>
        <w:tc>
          <w:tcPr>
            <w:tcW w:w="92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Actual</w:t>
            </w:r>
          </w:p>
        </w:tc>
        <w:tc>
          <w:tcPr>
            <w:tcW w:w="241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18,619</w:t>
            </w:r>
          </w:p>
        </w:tc>
        <w:tc>
          <w:tcPr>
            <w:tcW w:w="243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77.8</w:t>
            </w:r>
          </w:p>
        </w:tc>
      </w:tr>
      <w:tr w:rsidR="008F73EE" w:rsidRPr="00912C55" w:rsidTr="00A14074">
        <w:trPr>
          <w:trHeight w:val="300"/>
          <w:jc w:val="center"/>
        </w:trPr>
        <w:tc>
          <w:tcPr>
            <w:tcW w:w="0" w:type="auto"/>
            <w:vMerge/>
            <w:vAlign w:val="center"/>
            <w:hideMark/>
          </w:tcPr>
          <w:p w:rsidR="008F73EE" w:rsidRPr="00912C55" w:rsidRDefault="008F73EE" w:rsidP="00994A5C">
            <w:pPr>
              <w:pStyle w:val="TableText"/>
              <w:rPr>
                <w:rFonts w:eastAsiaTheme="minorHAnsi"/>
              </w:rPr>
            </w:pPr>
          </w:p>
        </w:tc>
        <w:tc>
          <w:tcPr>
            <w:tcW w:w="0" w:type="auto"/>
            <w:vMerge/>
            <w:vAlign w:val="center"/>
            <w:hideMark/>
          </w:tcPr>
          <w:p w:rsidR="008F73EE" w:rsidRPr="00912C55" w:rsidRDefault="008F73EE" w:rsidP="00994A5C">
            <w:pPr>
              <w:pStyle w:val="TableText"/>
              <w:rPr>
                <w:rFonts w:eastAsiaTheme="minorHAnsi"/>
              </w:rPr>
            </w:pPr>
          </w:p>
        </w:tc>
        <w:tc>
          <w:tcPr>
            <w:tcW w:w="989" w:type="dxa"/>
            <w:vMerge w:val="restart"/>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DO</w:t>
            </w:r>
          </w:p>
        </w:tc>
        <w:tc>
          <w:tcPr>
            <w:tcW w:w="92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Proxy</w:t>
            </w:r>
          </w:p>
        </w:tc>
        <w:tc>
          <w:tcPr>
            <w:tcW w:w="241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18,603</w:t>
            </w:r>
          </w:p>
        </w:tc>
        <w:tc>
          <w:tcPr>
            <w:tcW w:w="243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77.4</w:t>
            </w:r>
          </w:p>
        </w:tc>
      </w:tr>
      <w:tr w:rsidR="008F73EE" w:rsidRPr="00912C55" w:rsidTr="00A14074">
        <w:trPr>
          <w:trHeight w:val="300"/>
          <w:jc w:val="center"/>
        </w:trPr>
        <w:tc>
          <w:tcPr>
            <w:tcW w:w="0" w:type="auto"/>
            <w:vMerge/>
            <w:vAlign w:val="center"/>
            <w:hideMark/>
          </w:tcPr>
          <w:p w:rsidR="008F73EE" w:rsidRPr="00912C55" w:rsidRDefault="008F73EE" w:rsidP="00994A5C">
            <w:pPr>
              <w:pStyle w:val="TableText"/>
              <w:rPr>
                <w:rFonts w:eastAsiaTheme="minorHAnsi"/>
              </w:rPr>
            </w:pPr>
          </w:p>
        </w:tc>
        <w:tc>
          <w:tcPr>
            <w:tcW w:w="0" w:type="auto"/>
            <w:vMerge/>
            <w:vAlign w:val="center"/>
            <w:hideMark/>
          </w:tcPr>
          <w:p w:rsidR="008F73EE" w:rsidRPr="00912C55" w:rsidRDefault="008F73EE" w:rsidP="00994A5C">
            <w:pPr>
              <w:pStyle w:val="TableText"/>
              <w:rPr>
                <w:rFonts w:eastAsiaTheme="minorHAnsi"/>
              </w:rPr>
            </w:pPr>
          </w:p>
        </w:tc>
        <w:tc>
          <w:tcPr>
            <w:tcW w:w="989" w:type="dxa"/>
            <w:vMerge/>
            <w:vAlign w:val="center"/>
            <w:hideMark/>
          </w:tcPr>
          <w:p w:rsidR="008F73EE" w:rsidRPr="00912C55" w:rsidRDefault="008F73EE" w:rsidP="00994A5C">
            <w:pPr>
              <w:pStyle w:val="TableText"/>
              <w:rPr>
                <w:rFonts w:eastAsiaTheme="minorHAnsi"/>
              </w:rPr>
            </w:pPr>
          </w:p>
        </w:tc>
        <w:tc>
          <w:tcPr>
            <w:tcW w:w="92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Actual</w:t>
            </w:r>
          </w:p>
        </w:tc>
        <w:tc>
          <w:tcPr>
            <w:tcW w:w="241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17,668</w:t>
            </w:r>
          </w:p>
        </w:tc>
        <w:tc>
          <w:tcPr>
            <w:tcW w:w="243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76.6</w:t>
            </w:r>
          </w:p>
        </w:tc>
      </w:tr>
      <w:tr w:rsidR="008F73EE" w:rsidRPr="00912C55" w:rsidTr="00A14074">
        <w:trPr>
          <w:trHeight w:val="300"/>
          <w:jc w:val="center"/>
        </w:trPr>
        <w:tc>
          <w:tcPr>
            <w:tcW w:w="995" w:type="dxa"/>
            <w:vMerge w:val="restart"/>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PGE</w:t>
            </w:r>
          </w:p>
        </w:tc>
        <w:tc>
          <w:tcPr>
            <w:tcW w:w="1117" w:type="dxa"/>
            <w:vMerge w:val="restart"/>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CBP/AMP</w:t>
            </w:r>
          </w:p>
        </w:tc>
        <w:tc>
          <w:tcPr>
            <w:tcW w:w="989" w:type="dxa"/>
            <w:vMerge w:val="restart"/>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DA/DO</w:t>
            </w:r>
          </w:p>
        </w:tc>
        <w:tc>
          <w:tcPr>
            <w:tcW w:w="92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Proxy</w:t>
            </w:r>
          </w:p>
        </w:tc>
        <w:tc>
          <w:tcPr>
            <w:tcW w:w="241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16,513</w:t>
            </w:r>
          </w:p>
        </w:tc>
        <w:tc>
          <w:tcPr>
            <w:tcW w:w="243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72.0</w:t>
            </w:r>
          </w:p>
        </w:tc>
      </w:tr>
      <w:tr w:rsidR="008F73EE" w:rsidRPr="00912C55" w:rsidTr="00A14074">
        <w:trPr>
          <w:trHeight w:val="300"/>
          <w:jc w:val="center"/>
        </w:trPr>
        <w:tc>
          <w:tcPr>
            <w:tcW w:w="0" w:type="auto"/>
            <w:vMerge/>
            <w:vAlign w:val="center"/>
            <w:hideMark/>
          </w:tcPr>
          <w:p w:rsidR="008F73EE" w:rsidRPr="00912C55" w:rsidRDefault="008F73EE" w:rsidP="00994A5C">
            <w:pPr>
              <w:pStyle w:val="TableText"/>
              <w:rPr>
                <w:rFonts w:eastAsiaTheme="minorHAnsi"/>
              </w:rPr>
            </w:pPr>
          </w:p>
        </w:tc>
        <w:tc>
          <w:tcPr>
            <w:tcW w:w="0" w:type="auto"/>
            <w:vMerge/>
            <w:vAlign w:val="center"/>
            <w:hideMark/>
          </w:tcPr>
          <w:p w:rsidR="008F73EE" w:rsidRPr="00912C55" w:rsidRDefault="008F73EE" w:rsidP="00994A5C">
            <w:pPr>
              <w:pStyle w:val="TableText"/>
              <w:rPr>
                <w:rFonts w:eastAsiaTheme="minorHAnsi"/>
              </w:rPr>
            </w:pPr>
          </w:p>
        </w:tc>
        <w:tc>
          <w:tcPr>
            <w:tcW w:w="989" w:type="dxa"/>
            <w:vMerge/>
            <w:vAlign w:val="center"/>
            <w:hideMark/>
          </w:tcPr>
          <w:p w:rsidR="008F73EE" w:rsidRPr="00912C55" w:rsidRDefault="008F73EE" w:rsidP="00994A5C">
            <w:pPr>
              <w:pStyle w:val="TableText"/>
              <w:rPr>
                <w:rFonts w:eastAsiaTheme="minorHAnsi"/>
              </w:rPr>
            </w:pPr>
          </w:p>
        </w:tc>
        <w:tc>
          <w:tcPr>
            <w:tcW w:w="92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Actual</w:t>
            </w:r>
          </w:p>
        </w:tc>
        <w:tc>
          <w:tcPr>
            <w:tcW w:w="241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16,696</w:t>
            </w:r>
          </w:p>
        </w:tc>
        <w:tc>
          <w:tcPr>
            <w:tcW w:w="243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71.9</w:t>
            </w:r>
          </w:p>
        </w:tc>
      </w:tr>
      <w:tr w:rsidR="008F73EE" w:rsidRPr="00912C55" w:rsidTr="00A14074">
        <w:trPr>
          <w:trHeight w:val="300"/>
          <w:jc w:val="center"/>
        </w:trPr>
        <w:tc>
          <w:tcPr>
            <w:tcW w:w="995" w:type="dxa"/>
            <w:vMerge w:val="restart"/>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SDG&amp;E</w:t>
            </w:r>
          </w:p>
        </w:tc>
        <w:tc>
          <w:tcPr>
            <w:tcW w:w="1117" w:type="dxa"/>
            <w:vMerge w:val="restart"/>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CBP</w:t>
            </w:r>
          </w:p>
        </w:tc>
        <w:tc>
          <w:tcPr>
            <w:tcW w:w="989" w:type="dxa"/>
            <w:vMerge w:val="restart"/>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DA/DO</w:t>
            </w:r>
          </w:p>
        </w:tc>
        <w:tc>
          <w:tcPr>
            <w:tcW w:w="92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Proxy</w:t>
            </w:r>
          </w:p>
        </w:tc>
        <w:tc>
          <w:tcPr>
            <w:tcW w:w="241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3,821</w:t>
            </w:r>
          </w:p>
        </w:tc>
        <w:tc>
          <w:tcPr>
            <w:tcW w:w="243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74.2</w:t>
            </w:r>
          </w:p>
        </w:tc>
      </w:tr>
      <w:tr w:rsidR="008F73EE" w:rsidRPr="00912C55" w:rsidTr="00A14074">
        <w:trPr>
          <w:trHeight w:val="300"/>
          <w:jc w:val="center"/>
        </w:trPr>
        <w:tc>
          <w:tcPr>
            <w:tcW w:w="0" w:type="auto"/>
            <w:vMerge/>
            <w:vAlign w:val="center"/>
            <w:hideMark/>
          </w:tcPr>
          <w:p w:rsidR="008F73EE" w:rsidRPr="00912C55" w:rsidRDefault="008F73EE" w:rsidP="00994A5C">
            <w:pPr>
              <w:pStyle w:val="TableText"/>
              <w:rPr>
                <w:rFonts w:eastAsiaTheme="minorHAnsi"/>
                <w:b/>
              </w:rPr>
            </w:pPr>
          </w:p>
        </w:tc>
        <w:tc>
          <w:tcPr>
            <w:tcW w:w="0" w:type="auto"/>
            <w:vMerge/>
            <w:vAlign w:val="center"/>
            <w:hideMark/>
          </w:tcPr>
          <w:p w:rsidR="008F73EE" w:rsidRPr="00912C55" w:rsidRDefault="008F73EE" w:rsidP="00994A5C">
            <w:pPr>
              <w:pStyle w:val="TableText"/>
              <w:rPr>
                <w:rFonts w:eastAsiaTheme="minorHAnsi"/>
                <w:b/>
              </w:rPr>
            </w:pPr>
          </w:p>
        </w:tc>
        <w:tc>
          <w:tcPr>
            <w:tcW w:w="989" w:type="dxa"/>
            <w:vMerge/>
            <w:vAlign w:val="center"/>
            <w:hideMark/>
          </w:tcPr>
          <w:p w:rsidR="008F73EE" w:rsidRPr="00912C55" w:rsidRDefault="008F73EE" w:rsidP="00994A5C">
            <w:pPr>
              <w:pStyle w:val="TableText"/>
              <w:rPr>
                <w:rFonts w:eastAsiaTheme="minorHAnsi"/>
                <w:b/>
              </w:rPr>
            </w:pPr>
          </w:p>
        </w:tc>
        <w:tc>
          <w:tcPr>
            <w:tcW w:w="92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Actual</w:t>
            </w:r>
          </w:p>
        </w:tc>
        <w:tc>
          <w:tcPr>
            <w:tcW w:w="241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3,857</w:t>
            </w:r>
          </w:p>
        </w:tc>
        <w:tc>
          <w:tcPr>
            <w:tcW w:w="2430" w:type="dxa"/>
            <w:noWrap/>
            <w:tcMar>
              <w:top w:w="0" w:type="dxa"/>
              <w:left w:w="108" w:type="dxa"/>
              <w:bottom w:w="0" w:type="dxa"/>
              <w:right w:w="108" w:type="dxa"/>
            </w:tcMar>
            <w:vAlign w:val="center"/>
            <w:hideMark/>
          </w:tcPr>
          <w:p w:rsidR="008F73EE" w:rsidRPr="00912C55" w:rsidRDefault="008F73EE" w:rsidP="00994A5C">
            <w:pPr>
              <w:pStyle w:val="TableText"/>
              <w:rPr>
                <w:rFonts w:eastAsiaTheme="minorHAnsi"/>
              </w:rPr>
            </w:pPr>
            <w:r w:rsidRPr="00912C55">
              <w:rPr>
                <w:rFonts w:eastAsiaTheme="minorHAnsi"/>
              </w:rPr>
              <w:t>75.7</w:t>
            </w:r>
          </w:p>
        </w:tc>
      </w:tr>
    </w:tbl>
    <w:p w:rsidR="00C815E0" w:rsidRPr="00050374" w:rsidRDefault="008D2898" w:rsidP="00EB4EED">
      <w:pPr>
        <w:pStyle w:val="BodyBeforeBullet"/>
        <w:spacing w:before="360"/>
      </w:pPr>
      <w:r>
        <w:t>When the accuracy of the candidate regression models</w:t>
      </w:r>
      <w:r w:rsidR="00085927">
        <w:t xml:space="preserve"> was assessed in out-of-sample testing</w:t>
      </w:r>
      <w:r>
        <w:t xml:space="preserve">, </w:t>
      </w:r>
      <w:r w:rsidR="00C815E0" w:rsidRPr="00050374">
        <w:t xml:space="preserve">three questions </w:t>
      </w:r>
      <w:r>
        <w:t>were addressed</w:t>
      </w:r>
      <w:r w:rsidR="00C815E0" w:rsidRPr="00050374">
        <w:t xml:space="preserve">: </w:t>
      </w:r>
    </w:p>
    <w:p w:rsidR="00C815E0" w:rsidRPr="00050374" w:rsidRDefault="00C815E0" w:rsidP="00994A5C">
      <w:pPr>
        <w:pStyle w:val="Bullets"/>
      </w:pPr>
      <w:r w:rsidRPr="00050374">
        <w:rPr>
          <w:i/>
        </w:rPr>
        <w:t xml:space="preserve">How accurately does the model predict for the </w:t>
      </w:r>
      <w:r w:rsidR="008D2898">
        <w:rPr>
          <w:i/>
        </w:rPr>
        <w:t>proxy</w:t>
      </w:r>
      <w:r w:rsidR="00400288">
        <w:rPr>
          <w:i/>
        </w:rPr>
        <w:t xml:space="preserve"> event</w:t>
      </w:r>
      <w:r w:rsidR="008D2898">
        <w:rPr>
          <w:i/>
        </w:rPr>
        <w:t xml:space="preserve"> </w:t>
      </w:r>
      <w:r w:rsidRPr="00050374">
        <w:rPr>
          <w:i/>
        </w:rPr>
        <w:t>hour</w:t>
      </w:r>
      <w:r w:rsidR="00400288">
        <w:rPr>
          <w:i/>
        </w:rPr>
        <w:t>s</w:t>
      </w:r>
      <w:r w:rsidR="00AB1A16" w:rsidRPr="00050374">
        <w:rPr>
          <w:i/>
        </w:rPr>
        <w:t xml:space="preserve"> on </w:t>
      </w:r>
      <w:r w:rsidR="005E54FF">
        <w:rPr>
          <w:i/>
        </w:rPr>
        <w:t>the</w:t>
      </w:r>
      <w:r w:rsidR="00AB1A16" w:rsidRPr="00050374">
        <w:rPr>
          <w:i/>
        </w:rPr>
        <w:t xml:space="preserve"> program</w:t>
      </w:r>
      <w:r w:rsidR="005E54FF">
        <w:rPr>
          <w:i/>
        </w:rPr>
        <w:t xml:space="preserve"> level</w:t>
      </w:r>
      <w:r w:rsidRPr="00050374">
        <w:rPr>
          <w:i/>
        </w:rPr>
        <w:t>?</w:t>
      </w:r>
      <w:r w:rsidR="00BB6A50">
        <w:t xml:space="preserve">  </w:t>
      </w:r>
      <w:r w:rsidRPr="00050374">
        <w:t>The main metric</w:t>
      </w:r>
      <w:r w:rsidR="00085927">
        <w:t xml:space="preserve"> used to address this question wa</w:t>
      </w:r>
      <w:r w:rsidRPr="00050374">
        <w:t xml:space="preserve">s the program mean percent error – a metric for assessing if </w:t>
      </w:r>
      <w:r w:rsidR="008D2898">
        <w:t>a</w:t>
      </w:r>
      <w:r w:rsidRPr="00050374">
        <w:t xml:space="preserve"> model produces unbiased results on average.  </w:t>
      </w:r>
    </w:p>
    <w:p w:rsidR="006A1E54" w:rsidRPr="00050374" w:rsidRDefault="00C815E0" w:rsidP="00994A5C">
      <w:pPr>
        <w:pStyle w:val="Bullets"/>
      </w:pPr>
      <w:r w:rsidRPr="00050374">
        <w:rPr>
          <w:i/>
        </w:rPr>
        <w:t xml:space="preserve">Which model produces </w:t>
      </w:r>
      <w:r w:rsidR="005E54FF">
        <w:rPr>
          <w:i/>
        </w:rPr>
        <w:t xml:space="preserve">estimates with </w:t>
      </w:r>
      <w:r w:rsidRPr="00050374">
        <w:rPr>
          <w:i/>
        </w:rPr>
        <w:t xml:space="preserve">the least </w:t>
      </w:r>
      <w:r w:rsidR="005E54FF">
        <w:rPr>
          <w:i/>
        </w:rPr>
        <w:t>variance</w:t>
      </w:r>
      <w:r w:rsidRPr="00050374">
        <w:rPr>
          <w:i/>
        </w:rPr>
        <w:t xml:space="preserve"> for </w:t>
      </w:r>
      <w:r w:rsidR="008D2898">
        <w:rPr>
          <w:i/>
        </w:rPr>
        <w:t>proxy</w:t>
      </w:r>
      <w:r w:rsidR="00400288">
        <w:rPr>
          <w:i/>
        </w:rPr>
        <w:t xml:space="preserve"> event</w:t>
      </w:r>
      <w:r w:rsidR="008D2898">
        <w:rPr>
          <w:i/>
        </w:rPr>
        <w:t xml:space="preserve"> </w:t>
      </w:r>
      <w:r w:rsidRPr="00050374">
        <w:rPr>
          <w:i/>
        </w:rPr>
        <w:t>hours</w:t>
      </w:r>
      <w:r w:rsidR="00AB1A16" w:rsidRPr="00050374">
        <w:rPr>
          <w:i/>
        </w:rPr>
        <w:t xml:space="preserve"> on </w:t>
      </w:r>
      <w:r w:rsidR="005E54FF">
        <w:rPr>
          <w:i/>
        </w:rPr>
        <w:t>the</w:t>
      </w:r>
      <w:r w:rsidR="005E54FF" w:rsidRPr="00050374">
        <w:rPr>
          <w:i/>
        </w:rPr>
        <w:t xml:space="preserve"> </w:t>
      </w:r>
      <w:r w:rsidR="00AB1A16" w:rsidRPr="00050374">
        <w:rPr>
          <w:i/>
        </w:rPr>
        <w:t xml:space="preserve">program </w:t>
      </w:r>
      <w:r w:rsidR="005E54FF">
        <w:rPr>
          <w:i/>
        </w:rPr>
        <w:t>level</w:t>
      </w:r>
      <w:r w:rsidRPr="00050374">
        <w:rPr>
          <w:i/>
        </w:rPr>
        <w:t>?</w:t>
      </w:r>
      <w:r w:rsidR="00BB6A50">
        <w:t xml:space="preserve">  </w:t>
      </w:r>
      <w:r w:rsidR="006A1E54" w:rsidRPr="00050374">
        <w:t xml:space="preserve">An evaluation model can be accurate on average but perform poorly for individual event hours.  This occurs when the errors cancel each other out.  </w:t>
      </w:r>
      <w:r w:rsidR="008D2898">
        <w:t>Here</w:t>
      </w:r>
      <w:r w:rsidR="006A1E54" w:rsidRPr="00050374">
        <w:t xml:space="preserve">, </w:t>
      </w:r>
      <w:r w:rsidR="00AB1A16" w:rsidRPr="00050374">
        <w:t>we assess</w:t>
      </w:r>
      <w:r w:rsidR="00085927">
        <w:t>ed</w:t>
      </w:r>
      <w:r w:rsidR="00AB1A16" w:rsidRPr="00050374">
        <w:t xml:space="preserve"> the good</w:t>
      </w:r>
      <w:r w:rsidR="0070043D">
        <w:t>ness</w:t>
      </w:r>
      <w:r w:rsidR="00AB1A16" w:rsidRPr="00050374">
        <w:t>-of-fit of the regression</w:t>
      </w:r>
      <w:r w:rsidR="006A1E54" w:rsidRPr="00050374">
        <w:t xml:space="preserve"> results using the mean absolute percent error. </w:t>
      </w:r>
    </w:p>
    <w:p w:rsidR="00D56B6F" w:rsidRDefault="006A1E54" w:rsidP="00994A5C">
      <w:pPr>
        <w:pStyle w:val="BulletLast"/>
      </w:pPr>
      <w:r w:rsidRPr="00050374">
        <w:rPr>
          <w:i/>
        </w:rPr>
        <w:t>Are there are any systematic biases in the individual customer results?</w:t>
      </w:r>
      <w:r w:rsidRPr="00050374">
        <w:t xml:space="preserve">  To address this question, we </w:t>
      </w:r>
      <w:r w:rsidR="00D56B6F" w:rsidRPr="00050374">
        <w:t>calculate</w:t>
      </w:r>
      <w:r w:rsidR="00085927">
        <w:t>d</w:t>
      </w:r>
      <w:r w:rsidR="00D56B6F" w:rsidRPr="00050374">
        <w:t xml:space="preserve"> custome</w:t>
      </w:r>
      <w:r w:rsidRPr="00050374">
        <w:t>r</w:t>
      </w:r>
      <w:r w:rsidR="00E96DFB">
        <w:t>-</w:t>
      </w:r>
      <w:r w:rsidRPr="00050374">
        <w:t>specific estimates of bias (or lack thereof) and ensure</w:t>
      </w:r>
      <w:r w:rsidR="00085927">
        <w:t>d</w:t>
      </w:r>
      <w:r w:rsidRPr="00050374">
        <w:t xml:space="preserve"> there are no systematic biases for specific types of customers.  </w:t>
      </w:r>
      <w:r w:rsidR="00085927">
        <w:t xml:space="preserve">In particular, we focused on the largest fifth of customers since they were expected to account for the majority of </w:t>
      </w:r>
      <w:proofErr w:type="gramStart"/>
      <w:r w:rsidR="00085927">
        <w:t>load</w:t>
      </w:r>
      <w:r w:rsidR="00D649A8">
        <w:t xml:space="preserve"> </w:t>
      </w:r>
      <w:r w:rsidR="00136632">
        <w:t> </w:t>
      </w:r>
      <w:r w:rsidR="00085927">
        <w:t>impacts</w:t>
      </w:r>
      <w:proofErr w:type="gramEnd"/>
      <w:r w:rsidR="00085927">
        <w:t>.</w:t>
      </w:r>
    </w:p>
    <w:p w:rsidR="00B22379" w:rsidRPr="00B22379" w:rsidRDefault="00B22379" w:rsidP="00B22379">
      <w:pPr>
        <w:pStyle w:val="BodyParagraph"/>
      </w:pPr>
      <w:r>
        <w:t xml:space="preserve">Appendix A presents </w:t>
      </w:r>
      <w:r w:rsidR="007A0BD9">
        <w:t xml:space="preserve">findings </w:t>
      </w:r>
      <w:r w:rsidR="008D2898">
        <w:t xml:space="preserve">for each of these questions. </w:t>
      </w:r>
      <w:r w:rsidR="007A0BD9">
        <w:t xml:space="preserve"> In the remainder of this section, we </w:t>
      </w:r>
      <w:r w:rsidR="008D2898">
        <w:t xml:space="preserve">summarize </w:t>
      </w:r>
      <w:r w:rsidR="007A0BD9">
        <w:t xml:space="preserve">the findings for the particular model </w:t>
      </w:r>
      <w:r w:rsidR="008D2898">
        <w:t xml:space="preserve">that was </w:t>
      </w:r>
      <w:r w:rsidR="007A0BD9">
        <w:t>selected.</w:t>
      </w:r>
    </w:p>
    <w:p w:rsidR="00A84697" w:rsidRPr="00050374" w:rsidRDefault="00A84697" w:rsidP="00A84697">
      <w:pPr>
        <w:pStyle w:val="BodyParagraph"/>
      </w:pPr>
      <w:r w:rsidRPr="00050374">
        <w:t xml:space="preserve">For </w:t>
      </w:r>
      <w:r w:rsidR="006A1E54" w:rsidRPr="00050374">
        <w:t>PG&amp;E</w:t>
      </w:r>
      <w:r w:rsidR="00C96F87" w:rsidRPr="00050374">
        <w:t xml:space="preserve"> and SCE</w:t>
      </w:r>
      <w:r w:rsidRPr="00050374">
        <w:t xml:space="preserve">, </w:t>
      </w:r>
      <w:r w:rsidR="005656D4" w:rsidRPr="00050374">
        <w:t>nine</w:t>
      </w:r>
      <w:r w:rsidR="004F6B7C" w:rsidRPr="00050374">
        <w:t xml:space="preserve"> </w:t>
      </w:r>
      <w:r w:rsidR="008D2898">
        <w:t>proxy</w:t>
      </w:r>
      <w:r w:rsidR="00400288">
        <w:t xml:space="preserve"> event</w:t>
      </w:r>
      <w:r w:rsidR="008D2898">
        <w:t xml:space="preserve"> </w:t>
      </w:r>
      <w:r w:rsidRPr="00050374">
        <w:t xml:space="preserve">days were </w:t>
      </w:r>
      <w:r w:rsidR="008D2898">
        <w:t xml:space="preserve">chosen </w:t>
      </w:r>
      <w:r w:rsidRPr="00050374">
        <w:t xml:space="preserve">from </w:t>
      </w:r>
      <w:r w:rsidR="006A1E54" w:rsidRPr="00050374">
        <w:t xml:space="preserve">among </w:t>
      </w:r>
      <w:r w:rsidRPr="00050374">
        <w:t xml:space="preserve">the </w:t>
      </w:r>
      <w:r w:rsidR="006A1E54" w:rsidRPr="00050374">
        <w:t>2011 non event days with the highest system loads</w:t>
      </w:r>
      <w:r w:rsidR="00C96F87" w:rsidRPr="00050374">
        <w:t xml:space="preserve">; for SDG&amp;E, seven </w:t>
      </w:r>
      <w:r w:rsidR="008D2898">
        <w:t>proxy</w:t>
      </w:r>
      <w:r w:rsidR="00400288">
        <w:t xml:space="preserve"> event</w:t>
      </w:r>
      <w:r w:rsidR="008D2898">
        <w:t xml:space="preserve"> </w:t>
      </w:r>
      <w:r w:rsidR="00C96F87" w:rsidRPr="00050374">
        <w:t>days were s</w:t>
      </w:r>
      <w:r w:rsidR="008D2898">
        <w:t>elected</w:t>
      </w:r>
      <w:r w:rsidRPr="00050374">
        <w:t xml:space="preserve">. </w:t>
      </w:r>
      <w:r w:rsidR="004F6B7C" w:rsidRPr="00050374">
        <w:t xml:space="preserve"> </w:t>
      </w:r>
      <w:r w:rsidR="00A5705A" w:rsidRPr="00050374">
        <w:t>Figure</w:t>
      </w:r>
      <w:r w:rsidRPr="00050374">
        <w:t xml:space="preserve"> </w:t>
      </w:r>
      <w:r w:rsidR="00A52143">
        <w:t>3</w:t>
      </w:r>
      <w:r w:rsidRPr="00050374">
        <w:t>-</w:t>
      </w:r>
      <w:r w:rsidR="00A5705A" w:rsidRPr="00050374">
        <w:t>1</w:t>
      </w:r>
      <w:r w:rsidRPr="00050374">
        <w:t xml:space="preserve"> </w:t>
      </w:r>
      <w:r w:rsidR="008D2898">
        <w:t xml:space="preserve">summarizes </w:t>
      </w:r>
      <w:r w:rsidRPr="00050374">
        <w:t>the out-of-sample predictive accuracy of the models during days that are similar to actual event days</w:t>
      </w:r>
      <w:r w:rsidR="00400288">
        <w:t xml:space="preserve"> – that is, proxy event days</w:t>
      </w:r>
      <w:r w:rsidRPr="00050374">
        <w:t xml:space="preserve">.  </w:t>
      </w:r>
      <w:r w:rsidR="00B22379">
        <w:t>The regression model</w:t>
      </w:r>
      <w:r w:rsidRPr="00050374">
        <w:t xml:space="preserve"> produce</w:t>
      </w:r>
      <w:r w:rsidR="00B22379">
        <w:t>s</w:t>
      </w:r>
      <w:r w:rsidRPr="00050374">
        <w:t xml:space="preserve"> highly accurate estimates of the actual load </w:t>
      </w:r>
      <w:r w:rsidR="00F46444">
        <w:t xml:space="preserve">on proxy </w:t>
      </w:r>
      <w:r w:rsidRPr="00050374">
        <w:t>days.  For</w:t>
      </w:r>
      <w:r w:rsidR="006A1E54" w:rsidRPr="00050374">
        <w:t xml:space="preserve"> </w:t>
      </w:r>
      <w:r w:rsidRPr="00050374">
        <w:t>PG&amp;E</w:t>
      </w:r>
      <w:r w:rsidR="001C2433" w:rsidRPr="00050374">
        <w:t>, SCE</w:t>
      </w:r>
      <w:r w:rsidRPr="00050374">
        <w:t xml:space="preserve"> and SDG&amp;E</w:t>
      </w:r>
      <w:r w:rsidR="00B22379">
        <w:t>,</w:t>
      </w:r>
      <w:r w:rsidRPr="00050374">
        <w:t xml:space="preserve"> the difference between predicted and actual values across the </w:t>
      </w:r>
      <w:r w:rsidR="00A5705A" w:rsidRPr="00050374">
        <w:t xml:space="preserve">1 PM to 6 PM window </w:t>
      </w:r>
      <w:r w:rsidRPr="00050374">
        <w:t>is</w:t>
      </w:r>
      <w:r w:rsidR="001C2433" w:rsidRPr="00050374">
        <w:t xml:space="preserve"> 0.03%, 0.49% and 0.96%</w:t>
      </w:r>
      <w:r w:rsidRPr="00050374">
        <w:t xml:space="preserve">, respectively.  The high degree of accuracy </w:t>
      </w:r>
      <w:r w:rsidR="00400288">
        <w:t>for the</w:t>
      </w:r>
      <w:r w:rsidRPr="00050374">
        <w:t xml:space="preserve"> out-of-sample </w:t>
      </w:r>
      <w:r w:rsidR="00F46444">
        <w:t>proxy</w:t>
      </w:r>
      <w:r w:rsidR="00400288">
        <w:t xml:space="preserve"> event</w:t>
      </w:r>
      <w:r w:rsidR="00F46444">
        <w:t xml:space="preserve"> </w:t>
      </w:r>
      <w:r w:rsidRPr="00050374">
        <w:t>day</w:t>
      </w:r>
      <w:r w:rsidR="00400288">
        <w:t xml:space="preserve"> prediction</w:t>
      </w:r>
      <w:r w:rsidRPr="00050374">
        <w:t xml:space="preserve">s provides confidence that the regressions </w:t>
      </w:r>
      <w:r w:rsidR="001F3105">
        <w:t xml:space="preserve">will </w:t>
      </w:r>
      <w:r w:rsidRPr="00050374">
        <w:t xml:space="preserve">produce accurate </w:t>
      </w:r>
      <w:r w:rsidR="00F46444">
        <w:t>estimates for reference loads on event days</w:t>
      </w:r>
      <w:r w:rsidRPr="00050374">
        <w:t xml:space="preserve">. </w:t>
      </w:r>
      <w:r w:rsidR="00E918F1">
        <w:t xml:space="preserve"> Appendix </w:t>
      </w:r>
      <w:r w:rsidR="00085927">
        <w:t>C</w:t>
      </w:r>
      <w:r w:rsidR="00E918F1" w:rsidRPr="00050374">
        <w:t xml:space="preserve"> compares the actual and model predicted values over each hour for each proxy event day</w:t>
      </w:r>
      <w:r w:rsidR="00E918F1">
        <w:t>.</w:t>
      </w:r>
    </w:p>
    <w:p w:rsidR="00A5705A" w:rsidRPr="00050374" w:rsidRDefault="00A5705A" w:rsidP="00BA25E2">
      <w:pPr>
        <w:pStyle w:val="TableFigureCaption"/>
      </w:pPr>
      <w:r w:rsidRPr="00050374">
        <w:lastRenderedPageBreak/>
        <w:t xml:space="preserve">Figure </w:t>
      </w:r>
      <w:r w:rsidR="00A52143">
        <w:t>3</w:t>
      </w:r>
      <w:r w:rsidRPr="00050374">
        <w:t>-1:</w:t>
      </w:r>
      <w:r w:rsidR="00270ED1">
        <w:t xml:space="preserve"> </w:t>
      </w:r>
      <w:r w:rsidRPr="00050374">
        <w:t>Out-of-</w:t>
      </w:r>
      <w:r w:rsidR="004F6B7C" w:rsidRPr="00050374">
        <w:t>s</w:t>
      </w:r>
      <w:r w:rsidRPr="00050374">
        <w:t>ample Predictive Accuracy for Proxy Event Days</w:t>
      </w:r>
    </w:p>
    <w:p w:rsidR="00D649A8" w:rsidRPr="00050374" w:rsidRDefault="005310C6" w:rsidP="00A84697">
      <w:pPr>
        <w:pStyle w:val="BodyParagraph"/>
      </w:pPr>
      <w:r>
        <w:rPr>
          <w:noProof/>
        </w:rPr>
        <w:drawing>
          <wp:inline distT="0" distB="0" distL="0" distR="0">
            <wp:extent cx="5895975" cy="3848100"/>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895975" cy="3848100"/>
                    </a:xfrm>
                    <a:prstGeom prst="rect">
                      <a:avLst/>
                    </a:prstGeom>
                    <a:noFill/>
                    <a:ln w="9525">
                      <a:noFill/>
                      <a:miter lim="800000"/>
                      <a:headEnd/>
                      <a:tailEnd/>
                    </a:ln>
                  </pic:spPr>
                </pic:pic>
              </a:graphicData>
            </a:graphic>
          </wp:inline>
        </w:drawing>
      </w:r>
    </w:p>
    <w:p w:rsidR="009555F5" w:rsidRDefault="00F46444">
      <w:pPr>
        <w:pStyle w:val="BodyParaAfterTableFigure"/>
        <w:spacing w:after="0"/>
      </w:pPr>
      <w:r>
        <w:t xml:space="preserve">In addition to </w:t>
      </w:r>
      <w:r w:rsidR="00360582">
        <w:t xml:space="preserve">out-of-sample testing, </w:t>
      </w:r>
      <w:r w:rsidR="000E1ACA">
        <w:t xml:space="preserve">we conducted </w:t>
      </w:r>
      <w:r w:rsidR="00360582">
        <w:t>a false experiment.</w:t>
      </w:r>
      <w:r w:rsidR="000E1ACA">
        <w:t xml:space="preserve"> </w:t>
      </w:r>
      <w:r w:rsidR="000E1ACA" w:rsidRPr="00050374">
        <w:t xml:space="preserve"> False experiments test the accuracy of the impact estimates and whether the treatment variables confound load impacts with other factors under event-like</w:t>
      </w:r>
      <w:r w:rsidR="000E1ACA">
        <w:t> </w:t>
      </w:r>
      <w:r w:rsidR="000E1ACA" w:rsidRPr="00050374">
        <w:t>conditions.</w:t>
      </w:r>
      <w:r w:rsidR="00E82842" w:rsidRPr="00050374">
        <w:t xml:space="preserve"> </w:t>
      </w:r>
      <w:r w:rsidR="00B60E82">
        <w:t xml:space="preserve"> </w:t>
      </w:r>
      <w:r w:rsidR="00B8170D">
        <w:t xml:space="preserve">To conduct </w:t>
      </w:r>
      <w:r w:rsidR="00747076">
        <w:t xml:space="preserve">a </w:t>
      </w:r>
      <w:r w:rsidR="00B8170D">
        <w:t xml:space="preserve">false experiment, </w:t>
      </w:r>
      <w:r w:rsidR="001F00DB">
        <w:t>a dumm</w:t>
      </w:r>
      <w:r w:rsidR="003A03E5">
        <w:t xml:space="preserve">y variable is </w:t>
      </w:r>
      <w:r w:rsidR="00B8170D">
        <w:t xml:space="preserve">added to the model specification </w:t>
      </w:r>
      <w:r w:rsidR="003A03E5">
        <w:t>on</w:t>
      </w:r>
      <w:r w:rsidR="00B8170D">
        <w:t xml:space="preserve"> proxy event days, effectively creating a “</w:t>
      </w:r>
      <w:r w:rsidR="00B8170D" w:rsidRPr="00844288">
        <w:t>false</w:t>
      </w:r>
      <w:r w:rsidR="00B8170D">
        <w:t>”</w:t>
      </w:r>
      <w:r w:rsidR="00B8170D" w:rsidRPr="00844288">
        <w:t xml:space="preserve"> event </w:t>
      </w:r>
      <w:r w:rsidR="00B8170D">
        <w:t xml:space="preserve">day.  </w:t>
      </w:r>
      <w:r w:rsidR="00B8170D" w:rsidRPr="00844288">
        <w:t>The coefficients for</w:t>
      </w:r>
      <w:r w:rsidR="000E1ACA">
        <w:t xml:space="preserve"> the</w:t>
      </w:r>
      <w:r w:rsidR="00B8170D" w:rsidRPr="00844288">
        <w:t xml:space="preserve"> false event-day variables </w:t>
      </w:r>
      <w:r w:rsidR="00085927">
        <w:t xml:space="preserve">should </w:t>
      </w:r>
      <w:r w:rsidR="00B8170D" w:rsidRPr="00844288">
        <w:t xml:space="preserve">center </w:t>
      </w:r>
      <w:r w:rsidR="000E1ACA" w:rsidRPr="00844288">
        <w:t>on</w:t>
      </w:r>
      <w:r w:rsidR="00B8170D" w:rsidRPr="00844288">
        <w:t xml:space="preserve"> zero because, in fact, there are no events.</w:t>
      </w:r>
      <w:r w:rsidR="00AA6D68">
        <w:rPr>
          <w:rStyle w:val="FootnoteReference"/>
        </w:rPr>
        <w:footnoteReference w:id="8"/>
      </w:r>
      <w:r w:rsidR="00B8170D" w:rsidRPr="00844288">
        <w:t xml:space="preserve">  </w:t>
      </w:r>
      <w:r w:rsidR="000E1ACA">
        <w:t>I</w:t>
      </w:r>
      <w:r w:rsidR="00B8170D">
        <w:t xml:space="preserve">f they </w:t>
      </w:r>
      <w:r w:rsidR="000E1ACA">
        <w:t>do</w:t>
      </w:r>
      <w:r w:rsidR="00B8170D">
        <w:t xml:space="preserve"> not, the regression model is </w:t>
      </w:r>
      <w:r w:rsidR="000E1ACA">
        <w:t>confounding the effect of other variables with event conditions – that is, the model f</w:t>
      </w:r>
      <w:r w:rsidR="00D152AD">
        <w:t>ails to distinguish the effect of the events</w:t>
      </w:r>
      <w:r w:rsidR="002D7769">
        <w:t xml:space="preserve"> from</w:t>
      </w:r>
      <w:r w:rsidR="00D152AD">
        <w:t xml:space="preserve"> the effect of other variables</w:t>
      </w:r>
      <w:r w:rsidR="000E1ACA">
        <w:t>,</w:t>
      </w:r>
      <w:r w:rsidR="00B8170D">
        <w:t xml:space="preserve"> leading to bias in the </w:t>
      </w:r>
      <w:r w:rsidR="003A03E5">
        <w:t xml:space="preserve">impact </w:t>
      </w:r>
      <w:r w:rsidR="00B8170D">
        <w:t xml:space="preserve">estimates. </w:t>
      </w:r>
      <w:r w:rsidR="003A03E5">
        <w:t xml:space="preserve"> </w:t>
      </w:r>
      <w:r w:rsidR="002D7769">
        <w:t>Therefore</w:t>
      </w:r>
      <w:r w:rsidR="00B8170D">
        <w:t xml:space="preserve">, </w:t>
      </w:r>
      <w:r w:rsidR="002D7769">
        <w:t xml:space="preserve">a false experiment provides </w:t>
      </w:r>
      <w:r w:rsidR="00B8170D">
        <w:t>an explicit test of whether or not treatment variables are unbiased under event-like conditions.</w:t>
      </w:r>
      <w:r>
        <w:t xml:space="preserve">  </w:t>
      </w:r>
    </w:p>
    <w:p w:rsidR="009555F5" w:rsidRDefault="00E918F1">
      <w:pPr>
        <w:pStyle w:val="BodyParaAfterTableFigure"/>
        <w:spacing w:before="240"/>
      </w:pPr>
      <w:r>
        <w:t>Table</w:t>
      </w:r>
      <w:r w:rsidR="00360582">
        <w:t xml:space="preserve"> </w:t>
      </w:r>
      <w:r w:rsidR="00A52143">
        <w:t>3</w:t>
      </w:r>
      <w:r w:rsidR="00360582">
        <w:t>-2 presents the results of the false experiment</w:t>
      </w:r>
      <w:r w:rsidR="00400288">
        <w:t xml:space="preserve"> </w:t>
      </w:r>
      <w:r w:rsidR="00AA6D68">
        <w:t xml:space="preserve">and reflects whether or not the </w:t>
      </w:r>
      <w:r w:rsidR="00400288">
        <w:t xml:space="preserve">program </w:t>
      </w:r>
      <w:r w:rsidR="00AA6D68">
        <w:t xml:space="preserve">level impacts exhibit </w:t>
      </w:r>
      <w:r w:rsidR="00400288">
        <w:t>bias</w:t>
      </w:r>
      <w:r w:rsidR="00AA6D68">
        <w:t>.</w:t>
      </w:r>
      <w:r w:rsidR="001F3105">
        <w:t xml:space="preserve">  </w:t>
      </w:r>
      <w:r w:rsidR="00360582">
        <w:t xml:space="preserve">For PG&amp;E, proxy event days diverge from other non-event days by </w:t>
      </w:r>
      <w:r>
        <w:t>-</w:t>
      </w:r>
      <w:r w:rsidR="00360582">
        <w:t>0.04% on average</w:t>
      </w:r>
      <w:r w:rsidR="00BD3DD3">
        <w:t xml:space="preserve"> and by 0.16% during event hours</w:t>
      </w:r>
      <w:r w:rsidR="00360582">
        <w:t>.  For SCE, proxy event days diverge from other non-event days by 0.31% on average and by 0.6</w:t>
      </w:r>
      <w:r w:rsidR="001E6EB2">
        <w:t xml:space="preserve">0% during event hours.  For SDG&amp;E, proxy event days diverge from other non-event days by </w:t>
      </w:r>
      <w:r>
        <w:t>-</w:t>
      </w:r>
      <w:r w:rsidR="001E6EB2">
        <w:t>0.</w:t>
      </w:r>
      <w:r w:rsidR="002D0E81">
        <w:t>20</w:t>
      </w:r>
      <w:r w:rsidR="001E6EB2">
        <w:t xml:space="preserve">% on average and by </w:t>
      </w:r>
      <w:r w:rsidR="002D0E81">
        <w:t>-</w:t>
      </w:r>
      <w:r>
        <w:t>0</w:t>
      </w:r>
      <w:r w:rsidR="001E6EB2">
        <w:t>.</w:t>
      </w:r>
      <w:r w:rsidR="002D0E81">
        <w:t>35</w:t>
      </w:r>
      <w:r w:rsidR="001E6EB2">
        <w:t>% during event hours.</w:t>
      </w:r>
      <w:r w:rsidR="00AA6D68">
        <w:t xml:space="preserve">  In essence, the false event coefficients correctly show zero impacts for the program during the false event days, </w:t>
      </w:r>
      <w:r w:rsidR="00AA6D68">
        <w:lastRenderedPageBreak/>
        <w:t>indicating that the models do not confound load impacts with other factors.</w:t>
      </w:r>
      <w:r w:rsidR="00085927">
        <w:t xml:space="preserve">  Appendix C</w:t>
      </w:r>
      <w:r>
        <w:t xml:space="preserve"> presents these results in graphical form.</w:t>
      </w:r>
    </w:p>
    <w:p w:rsidR="007D3FB2" w:rsidRPr="007D3FB2" w:rsidRDefault="007D3FB2" w:rsidP="00BA25E2">
      <w:pPr>
        <w:pStyle w:val="TableFigureCaption"/>
      </w:pPr>
      <w:r w:rsidRPr="00050374">
        <w:t xml:space="preserve">Table </w:t>
      </w:r>
      <w:r w:rsidR="00A52143">
        <w:t>3</w:t>
      </w:r>
      <w:r w:rsidRPr="00050374">
        <w:t>-2:</w:t>
      </w:r>
      <w:r w:rsidR="00270ED1">
        <w:t xml:space="preserve"> </w:t>
      </w:r>
      <w:r w:rsidR="00BA25E2">
        <w:t xml:space="preserve"> </w:t>
      </w:r>
      <w:r>
        <w:t>Bias from False Event</w:t>
      </w:r>
      <w:r w:rsidRPr="00050374">
        <w:t xml:space="preserve"> for Proxy Event Days</w:t>
      </w:r>
    </w:p>
    <w:tbl>
      <w:tblPr>
        <w:tblW w:w="9900" w:type="dxa"/>
        <w:jc w:val="center"/>
        <w:tblLayout w:type="fixed"/>
        <w:tblLook w:val="04A0"/>
      </w:tblPr>
      <w:tblGrid>
        <w:gridCol w:w="934"/>
        <w:gridCol w:w="1047"/>
        <w:gridCol w:w="1037"/>
        <w:gridCol w:w="942"/>
        <w:gridCol w:w="1047"/>
        <w:gridCol w:w="1037"/>
        <w:gridCol w:w="886"/>
        <w:gridCol w:w="1047"/>
        <w:gridCol w:w="1037"/>
        <w:gridCol w:w="886"/>
      </w:tblGrid>
      <w:tr w:rsidR="007D3FB2" w:rsidRPr="0081516C" w:rsidTr="00A00B41">
        <w:trPr>
          <w:trHeight w:val="300"/>
          <w:jc w:val="center"/>
        </w:trPr>
        <w:tc>
          <w:tcPr>
            <w:tcW w:w="934" w:type="dxa"/>
            <w:vMerge w:val="restart"/>
            <w:tcBorders>
              <w:top w:val="single" w:sz="4" w:space="0" w:color="auto"/>
              <w:left w:val="single" w:sz="4" w:space="0" w:color="auto"/>
              <w:bottom w:val="nil"/>
              <w:right w:val="single" w:sz="8" w:space="0" w:color="FFFFFF"/>
            </w:tcBorders>
            <w:shd w:val="clear" w:color="auto" w:fill="1F497D" w:themeFill="text2"/>
            <w:vAlign w:val="center"/>
            <w:hideMark/>
          </w:tcPr>
          <w:p w:rsidR="007D3FB2" w:rsidRPr="0081516C" w:rsidRDefault="00345F96" w:rsidP="00AA39FA">
            <w:pPr>
              <w:pStyle w:val="TableHeader"/>
              <w:rPr>
                <w:rFonts w:eastAsia="Times New Roman"/>
                <w:sz w:val="18"/>
                <w:szCs w:val="18"/>
              </w:rPr>
            </w:pPr>
            <w:r w:rsidRPr="00345F96">
              <w:rPr>
                <w:rFonts w:eastAsia="Times New Roman"/>
                <w:sz w:val="18"/>
                <w:szCs w:val="18"/>
              </w:rPr>
              <w:t>Hour Ending</w:t>
            </w:r>
          </w:p>
        </w:tc>
        <w:tc>
          <w:tcPr>
            <w:tcW w:w="3026" w:type="dxa"/>
            <w:gridSpan w:val="3"/>
            <w:tcBorders>
              <w:top w:val="single" w:sz="4" w:space="0" w:color="auto"/>
              <w:left w:val="nil"/>
              <w:bottom w:val="single" w:sz="4" w:space="0" w:color="FFFFFF" w:themeColor="background1"/>
              <w:right w:val="single" w:sz="8" w:space="0" w:color="FFFFFF"/>
            </w:tcBorders>
            <w:shd w:val="clear" w:color="auto" w:fill="1F497D" w:themeFill="text2"/>
            <w:vAlign w:val="center"/>
            <w:hideMark/>
          </w:tcPr>
          <w:p w:rsidR="007D3FB2" w:rsidRPr="0081516C" w:rsidRDefault="00345F96" w:rsidP="00AA39FA">
            <w:pPr>
              <w:pStyle w:val="TableHeader"/>
              <w:rPr>
                <w:rFonts w:eastAsia="Times New Roman"/>
                <w:sz w:val="18"/>
                <w:szCs w:val="18"/>
              </w:rPr>
            </w:pPr>
            <w:r w:rsidRPr="00345F96">
              <w:rPr>
                <w:rFonts w:eastAsia="Times New Roman"/>
                <w:sz w:val="18"/>
                <w:szCs w:val="18"/>
              </w:rPr>
              <w:t>PG&amp;E</w:t>
            </w:r>
          </w:p>
        </w:tc>
        <w:tc>
          <w:tcPr>
            <w:tcW w:w="2970" w:type="dxa"/>
            <w:gridSpan w:val="3"/>
            <w:tcBorders>
              <w:top w:val="single" w:sz="4" w:space="0" w:color="auto"/>
              <w:left w:val="nil"/>
              <w:bottom w:val="single" w:sz="4" w:space="0" w:color="FFFFFF" w:themeColor="background1"/>
              <w:right w:val="single" w:sz="8" w:space="0" w:color="FFFFFF"/>
            </w:tcBorders>
            <w:shd w:val="clear" w:color="auto" w:fill="1F497D" w:themeFill="text2"/>
            <w:vAlign w:val="center"/>
            <w:hideMark/>
          </w:tcPr>
          <w:p w:rsidR="007D3FB2" w:rsidRPr="0081516C" w:rsidRDefault="00345F96" w:rsidP="00AA39FA">
            <w:pPr>
              <w:pStyle w:val="TableHeader"/>
              <w:rPr>
                <w:rFonts w:eastAsia="Times New Roman"/>
                <w:sz w:val="18"/>
                <w:szCs w:val="18"/>
              </w:rPr>
            </w:pPr>
            <w:r w:rsidRPr="00345F96">
              <w:rPr>
                <w:rFonts w:eastAsia="Times New Roman"/>
                <w:sz w:val="18"/>
                <w:szCs w:val="18"/>
              </w:rPr>
              <w:t>SCE</w:t>
            </w:r>
          </w:p>
        </w:tc>
        <w:tc>
          <w:tcPr>
            <w:tcW w:w="2970" w:type="dxa"/>
            <w:gridSpan w:val="3"/>
            <w:tcBorders>
              <w:top w:val="single" w:sz="4" w:space="0" w:color="auto"/>
              <w:left w:val="nil"/>
              <w:bottom w:val="single" w:sz="4" w:space="0" w:color="FFFFFF" w:themeColor="background1"/>
              <w:right w:val="single" w:sz="4" w:space="0" w:color="auto"/>
            </w:tcBorders>
            <w:shd w:val="clear" w:color="auto" w:fill="1F497D" w:themeFill="text2"/>
            <w:vAlign w:val="center"/>
            <w:hideMark/>
          </w:tcPr>
          <w:p w:rsidR="007D3FB2" w:rsidRPr="0081516C" w:rsidRDefault="00345F96" w:rsidP="00AA39FA">
            <w:pPr>
              <w:pStyle w:val="TableHeader"/>
              <w:rPr>
                <w:rFonts w:eastAsia="Times New Roman"/>
                <w:sz w:val="18"/>
                <w:szCs w:val="18"/>
              </w:rPr>
            </w:pPr>
            <w:r w:rsidRPr="00345F96">
              <w:rPr>
                <w:rFonts w:eastAsia="Times New Roman"/>
                <w:sz w:val="18"/>
                <w:szCs w:val="18"/>
              </w:rPr>
              <w:t>SDG&amp;E</w:t>
            </w:r>
          </w:p>
        </w:tc>
      </w:tr>
      <w:tr w:rsidR="008F19CC" w:rsidRPr="0081516C" w:rsidTr="00A00B41">
        <w:trPr>
          <w:trHeight w:val="504"/>
          <w:jc w:val="center"/>
        </w:trPr>
        <w:tc>
          <w:tcPr>
            <w:tcW w:w="934" w:type="dxa"/>
            <w:vMerge/>
            <w:tcBorders>
              <w:top w:val="nil"/>
              <w:left w:val="single" w:sz="4" w:space="0" w:color="auto"/>
              <w:bottom w:val="nil"/>
              <w:right w:val="single" w:sz="8" w:space="0" w:color="FFFFFF"/>
            </w:tcBorders>
            <w:shd w:val="clear" w:color="auto" w:fill="1F497D" w:themeFill="text2"/>
            <w:vAlign w:val="center"/>
            <w:hideMark/>
          </w:tcPr>
          <w:p w:rsidR="007D3FB2" w:rsidRPr="0081516C" w:rsidRDefault="007D3FB2" w:rsidP="00AA39FA">
            <w:pPr>
              <w:pStyle w:val="TableHeader"/>
              <w:rPr>
                <w:rFonts w:eastAsia="Times New Roman"/>
                <w:sz w:val="18"/>
                <w:szCs w:val="18"/>
              </w:rPr>
            </w:pPr>
          </w:p>
        </w:tc>
        <w:tc>
          <w:tcPr>
            <w:tcW w:w="1047" w:type="dxa"/>
            <w:tcBorders>
              <w:top w:val="single" w:sz="4" w:space="0" w:color="FFFFFF" w:themeColor="background1"/>
              <w:left w:val="nil"/>
              <w:bottom w:val="nil"/>
              <w:right w:val="single" w:sz="8" w:space="0" w:color="FFFFFF"/>
            </w:tcBorders>
            <w:shd w:val="clear" w:color="auto" w:fill="1F497D" w:themeFill="text2"/>
            <w:vAlign w:val="center"/>
            <w:hideMark/>
          </w:tcPr>
          <w:p w:rsidR="007D3FB2" w:rsidRPr="0081516C" w:rsidRDefault="00345F96" w:rsidP="00AA39FA">
            <w:pPr>
              <w:pStyle w:val="TableHeader"/>
              <w:rPr>
                <w:rFonts w:eastAsia="Times New Roman"/>
                <w:sz w:val="18"/>
                <w:szCs w:val="18"/>
              </w:rPr>
            </w:pPr>
            <w:r w:rsidRPr="00345F96">
              <w:rPr>
                <w:rFonts w:eastAsia="Times New Roman"/>
                <w:sz w:val="18"/>
                <w:szCs w:val="18"/>
              </w:rPr>
              <w:t xml:space="preserve">Actual </w:t>
            </w:r>
            <w:proofErr w:type="spellStart"/>
            <w:r w:rsidRPr="00345F96">
              <w:rPr>
                <w:rFonts w:eastAsia="Times New Roman"/>
                <w:sz w:val="18"/>
                <w:szCs w:val="18"/>
              </w:rPr>
              <w:t>Avg</w:t>
            </w:r>
            <w:proofErr w:type="spellEnd"/>
            <w:r w:rsidRPr="00345F96">
              <w:rPr>
                <w:rFonts w:eastAsia="Times New Roman"/>
                <w:sz w:val="18"/>
                <w:szCs w:val="18"/>
              </w:rPr>
              <w:t xml:space="preserve"> kW</w:t>
            </w:r>
          </w:p>
        </w:tc>
        <w:tc>
          <w:tcPr>
            <w:tcW w:w="1037" w:type="dxa"/>
            <w:tcBorders>
              <w:top w:val="single" w:sz="4" w:space="0" w:color="FFFFFF" w:themeColor="background1"/>
              <w:left w:val="nil"/>
              <w:bottom w:val="nil"/>
              <w:right w:val="single" w:sz="8" w:space="0" w:color="FFFFFF"/>
            </w:tcBorders>
            <w:shd w:val="clear" w:color="auto" w:fill="1F497D" w:themeFill="text2"/>
            <w:vAlign w:val="center"/>
            <w:hideMark/>
          </w:tcPr>
          <w:p w:rsidR="007D3FB2" w:rsidRPr="0081516C" w:rsidRDefault="00345F96" w:rsidP="00AA39FA">
            <w:pPr>
              <w:pStyle w:val="TableHeader"/>
              <w:rPr>
                <w:rFonts w:eastAsia="Times New Roman"/>
                <w:sz w:val="18"/>
                <w:szCs w:val="18"/>
              </w:rPr>
            </w:pPr>
            <w:r w:rsidRPr="00345F96">
              <w:rPr>
                <w:rFonts w:eastAsia="Times New Roman"/>
                <w:sz w:val="18"/>
                <w:szCs w:val="18"/>
              </w:rPr>
              <w:t xml:space="preserve">False Event </w:t>
            </w:r>
            <w:proofErr w:type="spellStart"/>
            <w:r w:rsidRPr="00345F96">
              <w:rPr>
                <w:rFonts w:eastAsia="Times New Roman"/>
                <w:sz w:val="18"/>
                <w:szCs w:val="18"/>
              </w:rPr>
              <w:t>Avg</w:t>
            </w:r>
            <w:proofErr w:type="spellEnd"/>
            <w:r w:rsidRPr="00345F96">
              <w:rPr>
                <w:rFonts w:eastAsia="Times New Roman"/>
                <w:sz w:val="18"/>
                <w:szCs w:val="18"/>
              </w:rPr>
              <w:t xml:space="preserve"> kW</w:t>
            </w:r>
          </w:p>
        </w:tc>
        <w:tc>
          <w:tcPr>
            <w:tcW w:w="942" w:type="dxa"/>
            <w:tcBorders>
              <w:top w:val="single" w:sz="4" w:space="0" w:color="FFFFFF" w:themeColor="background1"/>
              <w:left w:val="nil"/>
              <w:bottom w:val="nil"/>
              <w:right w:val="single" w:sz="8" w:space="0" w:color="FFFFFF"/>
            </w:tcBorders>
            <w:shd w:val="clear" w:color="auto" w:fill="1F497D" w:themeFill="text2"/>
            <w:vAlign w:val="center"/>
            <w:hideMark/>
          </w:tcPr>
          <w:p w:rsidR="007D3FB2" w:rsidRPr="0081516C" w:rsidRDefault="00345F96" w:rsidP="00AA39FA">
            <w:pPr>
              <w:pStyle w:val="TableHeader"/>
              <w:rPr>
                <w:rFonts w:eastAsia="Times New Roman"/>
                <w:sz w:val="18"/>
                <w:szCs w:val="18"/>
              </w:rPr>
            </w:pPr>
            <w:r w:rsidRPr="00345F96">
              <w:rPr>
                <w:rFonts w:eastAsia="Times New Roman"/>
                <w:sz w:val="18"/>
                <w:szCs w:val="18"/>
              </w:rPr>
              <w:t>Error (%)</w:t>
            </w:r>
          </w:p>
        </w:tc>
        <w:tc>
          <w:tcPr>
            <w:tcW w:w="1047" w:type="dxa"/>
            <w:tcBorders>
              <w:top w:val="single" w:sz="4" w:space="0" w:color="FFFFFF" w:themeColor="background1"/>
              <w:left w:val="nil"/>
              <w:bottom w:val="nil"/>
              <w:right w:val="single" w:sz="8" w:space="0" w:color="FFFFFF"/>
            </w:tcBorders>
            <w:shd w:val="clear" w:color="auto" w:fill="1F497D" w:themeFill="text2"/>
            <w:vAlign w:val="center"/>
            <w:hideMark/>
          </w:tcPr>
          <w:p w:rsidR="007D3FB2" w:rsidRPr="0081516C" w:rsidRDefault="00345F96" w:rsidP="00AA39FA">
            <w:pPr>
              <w:pStyle w:val="TableHeader"/>
              <w:rPr>
                <w:rFonts w:eastAsia="Times New Roman"/>
                <w:sz w:val="18"/>
                <w:szCs w:val="18"/>
              </w:rPr>
            </w:pPr>
            <w:r w:rsidRPr="00345F96">
              <w:rPr>
                <w:rFonts w:eastAsia="Times New Roman"/>
                <w:sz w:val="18"/>
                <w:szCs w:val="18"/>
              </w:rPr>
              <w:t xml:space="preserve">Actual </w:t>
            </w:r>
            <w:proofErr w:type="spellStart"/>
            <w:r w:rsidRPr="00345F96">
              <w:rPr>
                <w:rFonts w:eastAsia="Times New Roman"/>
                <w:sz w:val="18"/>
                <w:szCs w:val="18"/>
              </w:rPr>
              <w:t>Avg</w:t>
            </w:r>
            <w:proofErr w:type="spellEnd"/>
            <w:r w:rsidRPr="00345F96">
              <w:rPr>
                <w:rFonts w:eastAsia="Times New Roman"/>
                <w:sz w:val="18"/>
                <w:szCs w:val="18"/>
              </w:rPr>
              <w:t xml:space="preserve"> kW</w:t>
            </w:r>
          </w:p>
        </w:tc>
        <w:tc>
          <w:tcPr>
            <w:tcW w:w="1037" w:type="dxa"/>
            <w:tcBorders>
              <w:top w:val="single" w:sz="4" w:space="0" w:color="FFFFFF" w:themeColor="background1"/>
              <w:left w:val="nil"/>
              <w:bottom w:val="nil"/>
              <w:right w:val="single" w:sz="8" w:space="0" w:color="FFFFFF"/>
            </w:tcBorders>
            <w:shd w:val="clear" w:color="auto" w:fill="1F497D" w:themeFill="text2"/>
            <w:vAlign w:val="center"/>
            <w:hideMark/>
          </w:tcPr>
          <w:p w:rsidR="007D3FB2" w:rsidRPr="0081516C" w:rsidRDefault="00345F96" w:rsidP="00AA39FA">
            <w:pPr>
              <w:pStyle w:val="TableHeader"/>
              <w:rPr>
                <w:rFonts w:eastAsia="Times New Roman"/>
                <w:sz w:val="18"/>
                <w:szCs w:val="18"/>
              </w:rPr>
            </w:pPr>
            <w:r w:rsidRPr="00345F96">
              <w:rPr>
                <w:rFonts w:eastAsia="Times New Roman"/>
                <w:sz w:val="18"/>
                <w:szCs w:val="18"/>
              </w:rPr>
              <w:t xml:space="preserve">False Event </w:t>
            </w:r>
            <w:proofErr w:type="spellStart"/>
            <w:r w:rsidRPr="00345F96">
              <w:rPr>
                <w:rFonts w:eastAsia="Times New Roman"/>
                <w:sz w:val="18"/>
                <w:szCs w:val="18"/>
              </w:rPr>
              <w:t>Avg</w:t>
            </w:r>
            <w:proofErr w:type="spellEnd"/>
            <w:r w:rsidRPr="00345F96">
              <w:rPr>
                <w:rFonts w:eastAsia="Times New Roman"/>
                <w:sz w:val="18"/>
                <w:szCs w:val="18"/>
              </w:rPr>
              <w:t xml:space="preserve"> kW</w:t>
            </w:r>
          </w:p>
        </w:tc>
        <w:tc>
          <w:tcPr>
            <w:tcW w:w="886" w:type="dxa"/>
            <w:tcBorders>
              <w:top w:val="single" w:sz="4" w:space="0" w:color="FFFFFF" w:themeColor="background1"/>
              <w:left w:val="nil"/>
              <w:bottom w:val="nil"/>
              <w:right w:val="single" w:sz="8" w:space="0" w:color="FFFFFF"/>
            </w:tcBorders>
            <w:shd w:val="clear" w:color="auto" w:fill="1F497D" w:themeFill="text2"/>
            <w:vAlign w:val="center"/>
            <w:hideMark/>
          </w:tcPr>
          <w:p w:rsidR="007D3FB2" w:rsidRPr="0081516C" w:rsidRDefault="00345F96" w:rsidP="00AA39FA">
            <w:pPr>
              <w:pStyle w:val="TableHeader"/>
              <w:rPr>
                <w:rFonts w:eastAsia="Times New Roman"/>
                <w:sz w:val="18"/>
                <w:szCs w:val="18"/>
              </w:rPr>
            </w:pPr>
            <w:r w:rsidRPr="00345F96">
              <w:rPr>
                <w:rFonts w:eastAsia="Times New Roman"/>
                <w:sz w:val="18"/>
                <w:szCs w:val="18"/>
              </w:rPr>
              <w:t>Error (%)</w:t>
            </w:r>
          </w:p>
        </w:tc>
        <w:tc>
          <w:tcPr>
            <w:tcW w:w="1047" w:type="dxa"/>
            <w:tcBorders>
              <w:top w:val="single" w:sz="4" w:space="0" w:color="FFFFFF" w:themeColor="background1"/>
              <w:left w:val="nil"/>
              <w:bottom w:val="nil"/>
              <w:right w:val="single" w:sz="8" w:space="0" w:color="FFFFFF"/>
            </w:tcBorders>
            <w:shd w:val="clear" w:color="auto" w:fill="1F497D" w:themeFill="text2"/>
            <w:vAlign w:val="center"/>
            <w:hideMark/>
          </w:tcPr>
          <w:p w:rsidR="007D3FB2" w:rsidRPr="0081516C" w:rsidRDefault="00345F96" w:rsidP="00AA39FA">
            <w:pPr>
              <w:pStyle w:val="TableHeader"/>
              <w:rPr>
                <w:rFonts w:eastAsia="Times New Roman"/>
                <w:sz w:val="18"/>
                <w:szCs w:val="18"/>
              </w:rPr>
            </w:pPr>
            <w:r w:rsidRPr="00345F96">
              <w:rPr>
                <w:rFonts w:eastAsia="Times New Roman"/>
                <w:sz w:val="18"/>
                <w:szCs w:val="18"/>
              </w:rPr>
              <w:t xml:space="preserve">Actual </w:t>
            </w:r>
            <w:proofErr w:type="spellStart"/>
            <w:r w:rsidRPr="00345F96">
              <w:rPr>
                <w:rFonts w:eastAsia="Times New Roman"/>
                <w:sz w:val="18"/>
                <w:szCs w:val="18"/>
              </w:rPr>
              <w:t>Avg</w:t>
            </w:r>
            <w:proofErr w:type="spellEnd"/>
            <w:r w:rsidRPr="00345F96">
              <w:rPr>
                <w:rFonts w:eastAsia="Times New Roman"/>
                <w:sz w:val="18"/>
                <w:szCs w:val="18"/>
              </w:rPr>
              <w:t xml:space="preserve"> kW</w:t>
            </w:r>
          </w:p>
        </w:tc>
        <w:tc>
          <w:tcPr>
            <w:tcW w:w="1037" w:type="dxa"/>
            <w:tcBorders>
              <w:top w:val="single" w:sz="4" w:space="0" w:color="FFFFFF" w:themeColor="background1"/>
              <w:left w:val="nil"/>
              <w:bottom w:val="nil"/>
              <w:right w:val="single" w:sz="8" w:space="0" w:color="FFFFFF"/>
            </w:tcBorders>
            <w:shd w:val="clear" w:color="auto" w:fill="1F497D" w:themeFill="text2"/>
            <w:vAlign w:val="center"/>
            <w:hideMark/>
          </w:tcPr>
          <w:p w:rsidR="007D3FB2" w:rsidRPr="0081516C" w:rsidRDefault="00345F96" w:rsidP="00AA39FA">
            <w:pPr>
              <w:pStyle w:val="TableHeader"/>
              <w:rPr>
                <w:rFonts w:eastAsia="Times New Roman"/>
                <w:sz w:val="18"/>
                <w:szCs w:val="18"/>
              </w:rPr>
            </w:pPr>
            <w:r w:rsidRPr="00345F96">
              <w:rPr>
                <w:rFonts w:eastAsia="Times New Roman"/>
                <w:sz w:val="18"/>
                <w:szCs w:val="18"/>
              </w:rPr>
              <w:t xml:space="preserve">False Event </w:t>
            </w:r>
            <w:proofErr w:type="spellStart"/>
            <w:r w:rsidRPr="00345F96">
              <w:rPr>
                <w:rFonts w:eastAsia="Times New Roman"/>
                <w:sz w:val="18"/>
                <w:szCs w:val="18"/>
              </w:rPr>
              <w:t>Avg</w:t>
            </w:r>
            <w:proofErr w:type="spellEnd"/>
            <w:r w:rsidRPr="00345F96">
              <w:rPr>
                <w:rFonts w:eastAsia="Times New Roman"/>
                <w:sz w:val="18"/>
                <w:szCs w:val="18"/>
              </w:rPr>
              <w:t xml:space="preserve"> kW</w:t>
            </w:r>
          </w:p>
        </w:tc>
        <w:tc>
          <w:tcPr>
            <w:tcW w:w="886" w:type="dxa"/>
            <w:tcBorders>
              <w:top w:val="single" w:sz="4" w:space="0" w:color="FFFFFF" w:themeColor="background1"/>
              <w:left w:val="nil"/>
              <w:bottom w:val="nil"/>
              <w:right w:val="single" w:sz="4" w:space="0" w:color="auto"/>
            </w:tcBorders>
            <w:shd w:val="clear" w:color="auto" w:fill="1F497D" w:themeFill="text2"/>
            <w:vAlign w:val="center"/>
            <w:hideMark/>
          </w:tcPr>
          <w:p w:rsidR="007D3FB2" w:rsidRPr="0081516C" w:rsidRDefault="00345F96" w:rsidP="00AA39FA">
            <w:pPr>
              <w:pStyle w:val="TableHeader"/>
              <w:rPr>
                <w:rFonts w:eastAsia="Times New Roman"/>
                <w:sz w:val="18"/>
                <w:szCs w:val="18"/>
              </w:rPr>
            </w:pPr>
            <w:r w:rsidRPr="00345F96">
              <w:rPr>
                <w:rFonts w:eastAsia="Times New Roman"/>
                <w:sz w:val="18"/>
                <w:szCs w:val="18"/>
              </w:rPr>
              <w:t>Error (%)</w:t>
            </w:r>
          </w:p>
        </w:tc>
      </w:tr>
      <w:tr w:rsidR="002B1DFB" w:rsidRPr="0081516C" w:rsidTr="00EE7BB8">
        <w:trPr>
          <w:trHeight w:hRule="exact" w:val="317"/>
          <w:jc w:val="center"/>
        </w:trPr>
        <w:tc>
          <w:tcPr>
            <w:tcW w:w="934" w:type="dxa"/>
            <w:tcBorders>
              <w:top w:val="single" w:sz="4" w:space="0" w:color="auto"/>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1</w:t>
            </w:r>
          </w:p>
        </w:tc>
        <w:tc>
          <w:tcPr>
            <w:tcW w:w="104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303</w:t>
            </w:r>
            <w:r w:rsidR="0081516C">
              <w:rPr>
                <w:rFonts w:eastAsia="Times New Roman"/>
                <w:szCs w:val="18"/>
              </w:rPr>
              <w:t>.0</w:t>
            </w:r>
          </w:p>
        </w:tc>
        <w:tc>
          <w:tcPr>
            <w:tcW w:w="1037" w:type="dxa"/>
            <w:tcBorders>
              <w:top w:val="single" w:sz="8" w:space="0" w:color="auto"/>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302.0</w:t>
            </w:r>
          </w:p>
        </w:tc>
        <w:tc>
          <w:tcPr>
            <w:tcW w:w="942" w:type="dxa"/>
            <w:tcBorders>
              <w:top w:val="single" w:sz="8" w:space="0" w:color="auto"/>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-0.18%</w:t>
            </w:r>
          </w:p>
        </w:tc>
        <w:tc>
          <w:tcPr>
            <w:tcW w:w="1047" w:type="dxa"/>
            <w:tcBorders>
              <w:top w:val="single" w:sz="8" w:space="0" w:color="auto"/>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213.5</w:t>
            </w:r>
          </w:p>
        </w:tc>
        <w:tc>
          <w:tcPr>
            <w:tcW w:w="1037" w:type="dxa"/>
            <w:tcBorders>
              <w:top w:val="single" w:sz="8" w:space="0" w:color="auto"/>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214.6</w:t>
            </w:r>
          </w:p>
        </w:tc>
        <w:tc>
          <w:tcPr>
            <w:tcW w:w="886" w:type="dxa"/>
            <w:tcBorders>
              <w:top w:val="single" w:sz="8" w:space="0" w:color="auto"/>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0.51%</w:t>
            </w:r>
          </w:p>
        </w:tc>
        <w:tc>
          <w:tcPr>
            <w:tcW w:w="1047" w:type="dxa"/>
            <w:tcBorders>
              <w:top w:val="single" w:sz="8" w:space="0" w:color="auto"/>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138.3</w:t>
            </w:r>
          </w:p>
        </w:tc>
        <w:tc>
          <w:tcPr>
            <w:tcW w:w="1037" w:type="dxa"/>
            <w:tcBorders>
              <w:top w:val="single" w:sz="8" w:space="0" w:color="auto"/>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137.4</w:t>
            </w:r>
          </w:p>
        </w:tc>
        <w:tc>
          <w:tcPr>
            <w:tcW w:w="886" w:type="dxa"/>
            <w:tcBorders>
              <w:top w:val="single" w:sz="8" w:space="0" w:color="auto"/>
              <w:left w:val="nil"/>
              <w:bottom w:val="single" w:sz="4" w:space="0" w:color="auto"/>
              <w:right w:val="single" w:sz="8"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-0.66%</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297.9</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297.6</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-0.10%</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205.0</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204.2</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-0.41%</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134.2</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134.5</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0.26%</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293.9</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293.4</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-0.18%</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202.1</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201.5</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-0.31%</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132.7</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132.9</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0.17%</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293.0</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292.4</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-0.19%</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202.1</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201.9</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-0.14%</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133.2</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133.5</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0.27%</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5</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298.6</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298.1</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-0.17%</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209.0</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209.0</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0.00%</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142.9</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144.1</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0.84%</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6</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314.7</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314.8</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0.03%</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219.3</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218.8</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-0.24%</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157.7</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159.1</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0.90%</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7</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339.1</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339.5</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0.11%</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239.1</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238.1</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-0.42%</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178.2</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178.0</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-0.10%</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8</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357.6</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357.6</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0.00%</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249.1</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249.8</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0.27%</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183.0</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182.4</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-0.34%</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9</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376.9</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376.3</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-0.16%</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262.3</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263.2</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0.35%</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203.5</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206.3</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1.38%</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10</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391.9</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390.7</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-0.32%</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273.6</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275.4</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0.64%</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220.9</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225.3</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1.95%</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11</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407.8</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407.3</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-0.12%</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284.0</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286.7</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0.93%</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234.1</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234.3</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0.10%</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12</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416.5</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416.1</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-0.11%</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287.8</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290.7</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1.00%</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233.9</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233.0</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-0.39%</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13</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417.9</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418.6</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0.17%</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289.8</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292.1</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0.79%</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236.1</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237.8</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0.72%</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14</w:t>
            </w:r>
          </w:p>
        </w:tc>
        <w:tc>
          <w:tcPr>
            <w:tcW w:w="1047" w:type="dxa"/>
            <w:tcBorders>
              <w:top w:val="nil"/>
              <w:left w:val="single" w:sz="8" w:space="0" w:color="auto"/>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424.4</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425.3</w:t>
            </w:r>
          </w:p>
        </w:tc>
        <w:tc>
          <w:tcPr>
            <w:tcW w:w="942" w:type="dxa"/>
            <w:tcBorders>
              <w:top w:val="nil"/>
              <w:left w:val="nil"/>
              <w:bottom w:val="single" w:sz="4" w:space="0" w:color="auto"/>
              <w:right w:val="single" w:sz="8"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0.22%</w:t>
            </w:r>
          </w:p>
        </w:tc>
        <w:tc>
          <w:tcPr>
            <w:tcW w:w="104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293.2</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295.1</w:t>
            </w:r>
          </w:p>
        </w:tc>
        <w:tc>
          <w:tcPr>
            <w:tcW w:w="886" w:type="dxa"/>
            <w:tcBorders>
              <w:top w:val="nil"/>
              <w:left w:val="nil"/>
              <w:bottom w:val="single" w:sz="4" w:space="0" w:color="auto"/>
              <w:right w:val="single" w:sz="8"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0.65%</w:t>
            </w:r>
          </w:p>
        </w:tc>
        <w:tc>
          <w:tcPr>
            <w:tcW w:w="1047" w:type="dxa"/>
            <w:tcBorders>
              <w:top w:val="nil"/>
              <w:left w:val="nil"/>
              <w:bottom w:val="single" w:sz="4" w:space="0" w:color="auto"/>
              <w:right w:val="single" w:sz="4" w:space="0" w:color="auto"/>
            </w:tcBorders>
            <w:shd w:val="clear" w:color="000000" w:fill="EAF1DD"/>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243.1</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243.6</w:t>
            </w:r>
          </w:p>
        </w:tc>
        <w:tc>
          <w:tcPr>
            <w:tcW w:w="886" w:type="dxa"/>
            <w:tcBorders>
              <w:top w:val="nil"/>
              <w:left w:val="nil"/>
              <w:bottom w:val="single" w:sz="4" w:space="0" w:color="auto"/>
              <w:right w:val="single" w:sz="8" w:space="0" w:color="auto"/>
            </w:tcBorders>
            <w:shd w:val="clear" w:color="000000" w:fill="EAF1DD"/>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0.19%</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15</w:t>
            </w:r>
          </w:p>
        </w:tc>
        <w:tc>
          <w:tcPr>
            <w:tcW w:w="1047" w:type="dxa"/>
            <w:tcBorders>
              <w:top w:val="nil"/>
              <w:left w:val="single" w:sz="8" w:space="0" w:color="auto"/>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425.9</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426.3</w:t>
            </w:r>
          </w:p>
        </w:tc>
        <w:tc>
          <w:tcPr>
            <w:tcW w:w="942" w:type="dxa"/>
            <w:tcBorders>
              <w:top w:val="nil"/>
              <w:left w:val="nil"/>
              <w:bottom w:val="single" w:sz="4" w:space="0" w:color="auto"/>
              <w:right w:val="single" w:sz="8"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0.10%</w:t>
            </w:r>
          </w:p>
        </w:tc>
        <w:tc>
          <w:tcPr>
            <w:tcW w:w="104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294.1</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296.5</w:t>
            </w:r>
          </w:p>
        </w:tc>
        <w:tc>
          <w:tcPr>
            <w:tcW w:w="886" w:type="dxa"/>
            <w:tcBorders>
              <w:top w:val="nil"/>
              <w:left w:val="nil"/>
              <w:bottom w:val="single" w:sz="4" w:space="0" w:color="auto"/>
              <w:right w:val="single" w:sz="8"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0.84%</w:t>
            </w:r>
          </w:p>
        </w:tc>
        <w:tc>
          <w:tcPr>
            <w:tcW w:w="1047" w:type="dxa"/>
            <w:tcBorders>
              <w:top w:val="nil"/>
              <w:left w:val="nil"/>
              <w:bottom w:val="single" w:sz="4" w:space="0" w:color="auto"/>
              <w:right w:val="single" w:sz="4" w:space="0" w:color="auto"/>
            </w:tcBorders>
            <w:shd w:val="clear" w:color="000000" w:fill="EAF1DD"/>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244.2</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241.5</w:t>
            </w:r>
          </w:p>
        </w:tc>
        <w:tc>
          <w:tcPr>
            <w:tcW w:w="886" w:type="dxa"/>
            <w:tcBorders>
              <w:top w:val="nil"/>
              <w:left w:val="nil"/>
              <w:bottom w:val="single" w:sz="4" w:space="0" w:color="auto"/>
              <w:right w:val="single" w:sz="8" w:space="0" w:color="auto"/>
            </w:tcBorders>
            <w:shd w:val="clear" w:color="000000" w:fill="EAF1DD"/>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-1.09%</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16</w:t>
            </w:r>
          </w:p>
        </w:tc>
        <w:tc>
          <w:tcPr>
            <w:tcW w:w="1047" w:type="dxa"/>
            <w:tcBorders>
              <w:top w:val="nil"/>
              <w:left w:val="single" w:sz="8" w:space="0" w:color="auto"/>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420.4</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421.0</w:t>
            </w:r>
          </w:p>
        </w:tc>
        <w:tc>
          <w:tcPr>
            <w:tcW w:w="942" w:type="dxa"/>
            <w:tcBorders>
              <w:top w:val="nil"/>
              <w:left w:val="nil"/>
              <w:bottom w:val="single" w:sz="4" w:space="0" w:color="auto"/>
              <w:right w:val="single" w:sz="8"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0.13%</w:t>
            </w:r>
          </w:p>
        </w:tc>
        <w:tc>
          <w:tcPr>
            <w:tcW w:w="104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294.6</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296.1</w:t>
            </w:r>
          </w:p>
        </w:tc>
        <w:tc>
          <w:tcPr>
            <w:tcW w:w="886" w:type="dxa"/>
            <w:tcBorders>
              <w:top w:val="nil"/>
              <w:left w:val="nil"/>
              <w:bottom w:val="single" w:sz="4" w:space="0" w:color="auto"/>
              <w:right w:val="single" w:sz="8"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0.51%</w:t>
            </w:r>
          </w:p>
        </w:tc>
        <w:tc>
          <w:tcPr>
            <w:tcW w:w="1047" w:type="dxa"/>
            <w:tcBorders>
              <w:top w:val="nil"/>
              <w:left w:val="nil"/>
              <w:bottom w:val="single" w:sz="4" w:space="0" w:color="auto"/>
              <w:right w:val="single" w:sz="4" w:space="0" w:color="auto"/>
            </w:tcBorders>
            <w:shd w:val="clear" w:color="000000" w:fill="EAF1DD"/>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241.0</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236.9</w:t>
            </w:r>
          </w:p>
        </w:tc>
        <w:tc>
          <w:tcPr>
            <w:tcW w:w="886" w:type="dxa"/>
            <w:tcBorders>
              <w:top w:val="nil"/>
              <w:left w:val="nil"/>
              <w:bottom w:val="single" w:sz="4" w:space="0" w:color="auto"/>
              <w:right w:val="single" w:sz="8" w:space="0" w:color="auto"/>
            </w:tcBorders>
            <w:shd w:val="clear" w:color="000000" w:fill="EAF1DD"/>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-1.69%</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17</w:t>
            </w:r>
          </w:p>
        </w:tc>
        <w:tc>
          <w:tcPr>
            <w:tcW w:w="1047" w:type="dxa"/>
            <w:tcBorders>
              <w:top w:val="nil"/>
              <w:left w:val="single" w:sz="8" w:space="0" w:color="auto"/>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412.6</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413.4</w:t>
            </w:r>
          </w:p>
        </w:tc>
        <w:tc>
          <w:tcPr>
            <w:tcW w:w="942" w:type="dxa"/>
            <w:tcBorders>
              <w:top w:val="nil"/>
              <w:left w:val="nil"/>
              <w:bottom w:val="single" w:sz="4" w:space="0" w:color="auto"/>
              <w:right w:val="single" w:sz="8"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0.20%</w:t>
            </w:r>
          </w:p>
        </w:tc>
        <w:tc>
          <w:tcPr>
            <w:tcW w:w="104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292.1</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293.8</w:t>
            </w:r>
          </w:p>
        </w:tc>
        <w:tc>
          <w:tcPr>
            <w:tcW w:w="886" w:type="dxa"/>
            <w:tcBorders>
              <w:top w:val="nil"/>
              <w:left w:val="nil"/>
              <w:bottom w:val="single" w:sz="4" w:space="0" w:color="auto"/>
              <w:right w:val="single" w:sz="8"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0.56%</w:t>
            </w:r>
          </w:p>
        </w:tc>
        <w:tc>
          <w:tcPr>
            <w:tcW w:w="1047" w:type="dxa"/>
            <w:tcBorders>
              <w:top w:val="nil"/>
              <w:left w:val="nil"/>
              <w:bottom w:val="single" w:sz="4" w:space="0" w:color="auto"/>
              <w:right w:val="single" w:sz="4" w:space="0" w:color="auto"/>
            </w:tcBorders>
            <w:shd w:val="clear" w:color="000000" w:fill="EAF1DD"/>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235.5</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236.1</w:t>
            </w:r>
          </w:p>
        </w:tc>
        <w:tc>
          <w:tcPr>
            <w:tcW w:w="886" w:type="dxa"/>
            <w:tcBorders>
              <w:top w:val="nil"/>
              <w:left w:val="nil"/>
              <w:bottom w:val="single" w:sz="4" w:space="0" w:color="auto"/>
              <w:right w:val="single" w:sz="8" w:space="0" w:color="auto"/>
            </w:tcBorders>
            <w:shd w:val="clear" w:color="000000" w:fill="EAF1DD"/>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0.26%</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18</w:t>
            </w:r>
          </w:p>
        </w:tc>
        <w:tc>
          <w:tcPr>
            <w:tcW w:w="1047" w:type="dxa"/>
            <w:tcBorders>
              <w:top w:val="nil"/>
              <w:left w:val="single" w:sz="8" w:space="0" w:color="auto"/>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402.4</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403.0</w:t>
            </w:r>
          </w:p>
        </w:tc>
        <w:tc>
          <w:tcPr>
            <w:tcW w:w="942" w:type="dxa"/>
            <w:tcBorders>
              <w:top w:val="nil"/>
              <w:left w:val="nil"/>
              <w:bottom w:val="single" w:sz="4" w:space="0" w:color="auto"/>
              <w:right w:val="single" w:sz="8"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0.16%</w:t>
            </w:r>
          </w:p>
        </w:tc>
        <w:tc>
          <w:tcPr>
            <w:tcW w:w="104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289.7</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291.0</w:t>
            </w:r>
          </w:p>
        </w:tc>
        <w:tc>
          <w:tcPr>
            <w:tcW w:w="886" w:type="dxa"/>
            <w:tcBorders>
              <w:top w:val="nil"/>
              <w:left w:val="nil"/>
              <w:bottom w:val="single" w:sz="4" w:space="0" w:color="auto"/>
              <w:right w:val="single" w:sz="8" w:space="0" w:color="auto"/>
            </w:tcBorders>
            <w:shd w:val="clear" w:color="000000" w:fill="EAF1DD"/>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0.45%</w:t>
            </w:r>
          </w:p>
        </w:tc>
        <w:tc>
          <w:tcPr>
            <w:tcW w:w="1047" w:type="dxa"/>
            <w:tcBorders>
              <w:top w:val="nil"/>
              <w:left w:val="nil"/>
              <w:bottom w:val="single" w:sz="4" w:space="0" w:color="auto"/>
              <w:right w:val="single" w:sz="4" w:space="0" w:color="auto"/>
            </w:tcBorders>
            <w:shd w:val="clear" w:color="000000" w:fill="EAF1DD"/>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233.1</w:t>
            </w:r>
          </w:p>
        </w:tc>
        <w:tc>
          <w:tcPr>
            <w:tcW w:w="1037" w:type="dxa"/>
            <w:tcBorders>
              <w:top w:val="nil"/>
              <w:left w:val="nil"/>
              <w:bottom w:val="single" w:sz="4" w:space="0" w:color="auto"/>
              <w:right w:val="single" w:sz="4" w:space="0" w:color="auto"/>
            </w:tcBorders>
            <w:shd w:val="clear" w:color="000000" w:fill="EAF1DD"/>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234.4</w:t>
            </w:r>
          </w:p>
        </w:tc>
        <w:tc>
          <w:tcPr>
            <w:tcW w:w="886" w:type="dxa"/>
            <w:tcBorders>
              <w:top w:val="nil"/>
              <w:left w:val="nil"/>
              <w:bottom w:val="single" w:sz="4" w:space="0" w:color="auto"/>
              <w:right w:val="single" w:sz="8" w:space="0" w:color="auto"/>
            </w:tcBorders>
            <w:shd w:val="clear" w:color="000000" w:fill="EAF1DD"/>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0.58%</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19</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388.8</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388.8</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0.01%</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287.3</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288.2</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0.28%</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220.3</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222.2</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0.87%</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20</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382.0</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382.7</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0.18%</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286.4</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286.8</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0.16%</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213.8</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214.7</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0.43%</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21</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373.7</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374.1</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0.13%</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283.8</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284.2</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0.13%</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205.6</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207.6</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0.99%</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22</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360.2</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359.6</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-0.15%</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266.2</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266.8</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0.22%</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185.9</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187.4</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0.78%</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23</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338.8</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337.4</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-0.43%</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240.0</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241.1</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0.46%</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163.8</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161.9</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-1.14%</w:t>
            </w:r>
          </w:p>
        </w:tc>
      </w:tr>
      <w:tr w:rsidR="002B1DFB" w:rsidRPr="0081516C" w:rsidTr="00EE7BB8">
        <w:trPr>
          <w:trHeight w:hRule="exact" w:val="317"/>
          <w:jc w:val="center"/>
        </w:trPr>
        <w:tc>
          <w:tcPr>
            <w:tcW w:w="934" w:type="dxa"/>
            <w:tcBorders>
              <w:top w:val="nil"/>
              <w:left w:val="single" w:sz="4" w:space="0" w:color="auto"/>
              <w:bottom w:val="single" w:sz="4" w:space="0" w:color="auto"/>
              <w:right w:val="nil"/>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24</w:t>
            </w:r>
          </w:p>
        </w:tc>
        <w:tc>
          <w:tcPr>
            <w:tcW w:w="1047" w:type="dxa"/>
            <w:tcBorders>
              <w:top w:val="nil"/>
              <w:left w:val="single" w:sz="8" w:space="0" w:color="auto"/>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321.2</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320.2</w:t>
            </w:r>
          </w:p>
        </w:tc>
        <w:tc>
          <w:tcPr>
            <w:tcW w:w="942"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-0.32%</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216.5</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216.8</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7D3FB2" w:rsidP="00994A5C">
            <w:pPr>
              <w:pStyle w:val="TableText"/>
              <w:rPr>
                <w:rFonts w:eastAsia="Times New Roman"/>
                <w:szCs w:val="18"/>
              </w:rPr>
            </w:pPr>
            <w:r w:rsidRPr="0081516C">
              <w:rPr>
                <w:rFonts w:eastAsia="Times New Roman"/>
                <w:szCs w:val="18"/>
              </w:rPr>
              <w:t>0.16%</w:t>
            </w:r>
          </w:p>
        </w:tc>
        <w:tc>
          <w:tcPr>
            <w:tcW w:w="104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147.0</w:t>
            </w:r>
          </w:p>
        </w:tc>
        <w:tc>
          <w:tcPr>
            <w:tcW w:w="1037" w:type="dxa"/>
            <w:tcBorders>
              <w:top w:val="nil"/>
              <w:left w:val="nil"/>
              <w:bottom w:val="single" w:sz="4" w:space="0" w:color="auto"/>
              <w:right w:val="single" w:sz="4" w:space="0" w:color="auto"/>
            </w:tcBorders>
            <w:shd w:val="clear" w:color="auto" w:fill="auto"/>
            <w:noWrap/>
            <w:vAlign w:val="center"/>
            <w:hideMark/>
          </w:tcPr>
          <w:p w:rsidR="007D3FB2" w:rsidRPr="0081516C" w:rsidRDefault="00797BDC" w:rsidP="00994A5C">
            <w:pPr>
              <w:pStyle w:val="TableText"/>
              <w:rPr>
                <w:rFonts w:eastAsia="Times New Roman"/>
                <w:szCs w:val="18"/>
              </w:rPr>
            </w:pPr>
            <w:r w:rsidRPr="00797BDC">
              <w:rPr>
                <w:rFonts w:eastAsia="Times New Roman"/>
                <w:szCs w:val="18"/>
              </w:rPr>
              <w:t>146.5</w:t>
            </w:r>
          </w:p>
        </w:tc>
        <w:tc>
          <w:tcPr>
            <w:tcW w:w="886" w:type="dxa"/>
            <w:tcBorders>
              <w:top w:val="nil"/>
              <w:left w:val="nil"/>
              <w:bottom w:val="single" w:sz="4" w:space="0" w:color="auto"/>
              <w:right w:val="single" w:sz="8" w:space="0" w:color="auto"/>
            </w:tcBorders>
            <w:shd w:val="clear" w:color="auto" w:fill="auto"/>
            <w:noWrap/>
            <w:vAlign w:val="center"/>
            <w:hideMark/>
          </w:tcPr>
          <w:p w:rsidR="007D3FB2" w:rsidRPr="0081516C" w:rsidRDefault="00345F96" w:rsidP="00994A5C">
            <w:pPr>
              <w:pStyle w:val="TableText"/>
              <w:rPr>
                <w:rFonts w:eastAsia="Times New Roman"/>
                <w:szCs w:val="18"/>
              </w:rPr>
            </w:pPr>
            <w:r w:rsidRPr="00345F96">
              <w:rPr>
                <w:rFonts w:eastAsia="Times New Roman"/>
                <w:szCs w:val="18"/>
              </w:rPr>
              <w:t>-0.37%</w:t>
            </w:r>
          </w:p>
        </w:tc>
      </w:tr>
      <w:tr w:rsidR="002B1DFB" w:rsidRPr="0081516C" w:rsidTr="00EE7BB8">
        <w:trPr>
          <w:trHeight w:hRule="exact" w:val="317"/>
          <w:jc w:val="center"/>
        </w:trPr>
        <w:tc>
          <w:tcPr>
            <w:tcW w:w="934" w:type="dxa"/>
            <w:tcBorders>
              <w:top w:val="single" w:sz="12" w:space="0" w:color="auto"/>
              <w:left w:val="single" w:sz="4" w:space="0" w:color="auto"/>
              <w:bottom w:val="single" w:sz="4" w:space="0" w:color="auto"/>
              <w:right w:val="nil"/>
            </w:tcBorders>
            <w:shd w:val="clear" w:color="auto" w:fill="auto"/>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All hours</w:t>
            </w:r>
          </w:p>
        </w:tc>
        <w:tc>
          <w:tcPr>
            <w:tcW w:w="1047" w:type="dxa"/>
            <w:tcBorders>
              <w:top w:val="single" w:sz="12" w:space="0" w:color="auto"/>
              <w:left w:val="single" w:sz="8" w:space="0" w:color="auto"/>
              <w:bottom w:val="single" w:sz="4" w:space="0" w:color="auto"/>
              <w:right w:val="single" w:sz="4" w:space="0" w:color="auto"/>
            </w:tcBorders>
            <w:shd w:val="clear" w:color="auto" w:fill="auto"/>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364.9</w:t>
            </w:r>
          </w:p>
        </w:tc>
        <w:tc>
          <w:tcPr>
            <w:tcW w:w="1037" w:type="dxa"/>
            <w:tcBorders>
              <w:top w:val="single" w:sz="12" w:space="0" w:color="auto"/>
              <w:left w:val="nil"/>
              <w:bottom w:val="single" w:sz="4" w:space="0" w:color="auto"/>
              <w:right w:val="single" w:sz="4" w:space="0" w:color="auto"/>
            </w:tcBorders>
            <w:shd w:val="clear" w:color="auto" w:fill="auto"/>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364.8</w:t>
            </w:r>
          </w:p>
        </w:tc>
        <w:tc>
          <w:tcPr>
            <w:tcW w:w="942" w:type="dxa"/>
            <w:tcBorders>
              <w:top w:val="single" w:sz="12" w:space="0" w:color="auto"/>
              <w:left w:val="nil"/>
              <w:bottom w:val="single" w:sz="4" w:space="0" w:color="auto"/>
              <w:right w:val="single" w:sz="8" w:space="0" w:color="auto"/>
            </w:tcBorders>
            <w:shd w:val="clear" w:color="auto" w:fill="auto"/>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-0.04%</w:t>
            </w:r>
          </w:p>
        </w:tc>
        <w:tc>
          <w:tcPr>
            <w:tcW w:w="1047" w:type="dxa"/>
            <w:tcBorders>
              <w:top w:val="single" w:sz="12" w:space="0" w:color="auto"/>
              <w:left w:val="nil"/>
              <w:bottom w:val="single" w:sz="4" w:space="0" w:color="auto"/>
              <w:right w:val="single" w:sz="4" w:space="0" w:color="auto"/>
            </w:tcBorders>
            <w:shd w:val="clear" w:color="auto" w:fill="auto"/>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257.5</w:t>
            </w:r>
          </w:p>
        </w:tc>
        <w:tc>
          <w:tcPr>
            <w:tcW w:w="1037" w:type="dxa"/>
            <w:tcBorders>
              <w:top w:val="single" w:sz="12" w:space="0" w:color="auto"/>
              <w:left w:val="nil"/>
              <w:bottom w:val="single" w:sz="4" w:space="0" w:color="auto"/>
              <w:right w:val="single" w:sz="4" w:space="0" w:color="auto"/>
            </w:tcBorders>
            <w:shd w:val="clear" w:color="auto" w:fill="auto"/>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258.4</w:t>
            </w:r>
          </w:p>
        </w:tc>
        <w:tc>
          <w:tcPr>
            <w:tcW w:w="886" w:type="dxa"/>
            <w:tcBorders>
              <w:top w:val="single" w:sz="12" w:space="0" w:color="auto"/>
              <w:left w:val="nil"/>
              <w:bottom w:val="single" w:sz="4" w:space="0" w:color="auto"/>
              <w:right w:val="single" w:sz="8" w:space="0" w:color="auto"/>
            </w:tcBorders>
            <w:shd w:val="clear" w:color="auto" w:fill="auto"/>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0.31%</w:t>
            </w:r>
          </w:p>
        </w:tc>
        <w:tc>
          <w:tcPr>
            <w:tcW w:w="1047" w:type="dxa"/>
            <w:tcBorders>
              <w:top w:val="single" w:sz="12" w:space="0" w:color="auto"/>
              <w:left w:val="nil"/>
              <w:bottom w:val="single" w:sz="4" w:space="0" w:color="auto"/>
              <w:right w:val="single" w:sz="4" w:space="0" w:color="auto"/>
            </w:tcBorders>
            <w:shd w:val="clear" w:color="auto" w:fill="auto"/>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194.2</w:t>
            </w:r>
          </w:p>
        </w:tc>
        <w:tc>
          <w:tcPr>
            <w:tcW w:w="1037" w:type="dxa"/>
            <w:tcBorders>
              <w:top w:val="single" w:sz="12" w:space="0" w:color="auto"/>
              <w:left w:val="nil"/>
              <w:bottom w:val="single" w:sz="4" w:space="0" w:color="auto"/>
              <w:right w:val="single" w:sz="4" w:space="0" w:color="auto"/>
            </w:tcBorders>
            <w:shd w:val="clear" w:color="auto" w:fill="auto"/>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194.6</w:t>
            </w:r>
          </w:p>
        </w:tc>
        <w:tc>
          <w:tcPr>
            <w:tcW w:w="886" w:type="dxa"/>
            <w:tcBorders>
              <w:top w:val="single" w:sz="12" w:space="0" w:color="auto"/>
              <w:left w:val="nil"/>
              <w:bottom w:val="single" w:sz="4" w:space="0" w:color="auto"/>
              <w:right w:val="single" w:sz="8" w:space="0" w:color="auto"/>
            </w:tcBorders>
            <w:shd w:val="clear" w:color="auto" w:fill="auto"/>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0.20%</w:t>
            </w:r>
          </w:p>
        </w:tc>
      </w:tr>
      <w:tr w:rsidR="002B1DFB" w:rsidRPr="0081516C" w:rsidTr="00EE7BB8">
        <w:trPr>
          <w:trHeight w:hRule="exact" w:val="901"/>
          <w:jc w:val="center"/>
        </w:trPr>
        <w:tc>
          <w:tcPr>
            <w:tcW w:w="934" w:type="dxa"/>
            <w:tcBorders>
              <w:top w:val="single" w:sz="4" w:space="0" w:color="auto"/>
              <w:left w:val="single" w:sz="4" w:space="0" w:color="auto"/>
              <w:bottom w:val="single" w:sz="12" w:space="0" w:color="auto"/>
              <w:right w:val="nil"/>
            </w:tcBorders>
            <w:shd w:val="clear" w:color="000000" w:fill="EAF1DD"/>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Event hours</w:t>
            </w:r>
          </w:p>
          <w:p w:rsidR="007D3FB2" w:rsidRPr="00EE7BB8" w:rsidRDefault="00345F96" w:rsidP="00994A5C">
            <w:pPr>
              <w:pStyle w:val="TableText"/>
              <w:rPr>
                <w:rFonts w:eastAsia="Times New Roman"/>
                <w:b/>
                <w:szCs w:val="18"/>
              </w:rPr>
            </w:pPr>
            <w:r w:rsidRPr="00345F96">
              <w:rPr>
                <w:rFonts w:eastAsia="Times New Roman"/>
                <w:b/>
                <w:szCs w:val="18"/>
              </w:rPr>
              <w:t>1 - 6 PM</w:t>
            </w:r>
          </w:p>
        </w:tc>
        <w:tc>
          <w:tcPr>
            <w:tcW w:w="1047" w:type="dxa"/>
            <w:tcBorders>
              <w:top w:val="single" w:sz="4" w:space="0" w:color="auto"/>
              <w:left w:val="single" w:sz="8" w:space="0" w:color="auto"/>
              <w:bottom w:val="single" w:sz="12" w:space="0" w:color="auto"/>
              <w:right w:val="single" w:sz="4" w:space="0" w:color="auto"/>
            </w:tcBorders>
            <w:shd w:val="clear" w:color="000000" w:fill="EAF1DD"/>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417.1</w:t>
            </w:r>
          </w:p>
        </w:tc>
        <w:tc>
          <w:tcPr>
            <w:tcW w:w="1037" w:type="dxa"/>
            <w:tcBorders>
              <w:top w:val="single" w:sz="4" w:space="0" w:color="auto"/>
              <w:left w:val="nil"/>
              <w:bottom w:val="single" w:sz="12" w:space="0" w:color="auto"/>
              <w:right w:val="single" w:sz="4" w:space="0" w:color="auto"/>
            </w:tcBorders>
            <w:shd w:val="clear" w:color="000000" w:fill="EAF1DD"/>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417.8</w:t>
            </w:r>
          </w:p>
        </w:tc>
        <w:tc>
          <w:tcPr>
            <w:tcW w:w="942" w:type="dxa"/>
            <w:tcBorders>
              <w:top w:val="single" w:sz="4" w:space="0" w:color="auto"/>
              <w:left w:val="nil"/>
              <w:bottom w:val="single" w:sz="12" w:space="0" w:color="auto"/>
              <w:right w:val="single" w:sz="8" w:space="0" w:color="auto"/>
            </w:tcBorders>
            <w:shd w:val="clear" w:color="000000" w:fill="EAF1DD"/>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0.16%</w:t>
            </w:r>
          </w:p>
        </w:tc>
        <w:tc>
          <w:tcPr>
            <w:tcW w:w="1047" w:type="dxa"/>
            <w:tcBorders>
              <w:top w:val="single" w:sz="4" w:space="0" w:color="auto"/>
              <w:left w:val="nil"/>
              <w:bottom w:val="single" w:sz="12" w:space="0" w:color="auto"/>
              <w:right w:val="single" w:sz="4" w:space="0" w:color="auto"/>
            </w:tcBorders>
            <w:shd w:val="clear" w:color="000000" w:fill="EAF1DD"/>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292.7</w:t>
            </w:r>
          </w:p>
        </w:tc>
        <w:tc>
          <w:tcPr>
            <w:tcW w:w="1037" w:type="dxa"/>
            <w:tcBorders>
              <w:top w:val="single" w:sz="4" w:space="0" w:color="auto"/>
              <w:left w:val="nil"/>
              <w:bottom w:val="single" w:sz="12" w:space="0" w:color="auto"/>
              <w:right w:val="single" w:sz="4" w:space="0" w:color="auto"/>
            </w:tcBorders>
            <w:shd w:val="clear" w:color="000000" w:fill="EAF1DD"/>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294.5</w:t>
            </w:r>
          </w:p>
        </w:tc>
        <w:tc>
          <w:tcPr>
            <w:tcW w:w="886" w:type="dxa"/>
            <w:tcBorders>
              <w:top w:val="single" w:sz="4" w:space="0" w:color="auto"/>
              <w:left w:val="nil"/>
              <w:bottom w:val="single" w:sz="12" w:space="0" w:color="auto"/>
              <w:right w:val="single" w:sz="8" w:space="0" w:color="auto"/>
            </w:tcBorders>
            <w:shd w:val="clear" w:color="000000" w:fill="EAF1DD"/>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0.60%</w:t>
            </w:r>
          </w:p>
        </w:tc>
        <w:tc>
          <w:tcPr>
            <w:tcW w:w="1047" w:type="dxa"/>
            <w:tcBorders>
              <w:top w:val="single" w:sz="4" w:space="0" w:color="auto"/>
              <w:left w:val="nil"/>
              <w:bottom w:val="single" w:sz="12" w:space="0" w:color="auto"/>
              <w:right w:val="single" w:sz="4" w:space="0" w:color="auto"/>
            </w:tcBorders>
            <w:shd w:val="clear" w:color="000000" w:fill="EAF1DD"/>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239.4</w:t>
            </w:r>
          </w:p>
        </w:tc>
        <w:tc>
          <w:tcPr>
            <w:tcW w:w="1037" w:type="dxa"/>
            <w:tcBorders>
              <w:top w:val="single" w:sz="4" w:space="0" w:color="auto"/>
              <w:left w:val="nil"/>
              <w:bottom w:val="single" w:sz="12" w:space="0" w:color="auto"/>
              <w:right w:val="single" w:sz="4" w:space="0" w:color="auto"/>
            </w:tcBorders>
            <w:shd w:val="clear" w:color="000000" w:fill="EAF1DD"/>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238.5</w:t>
            </w:r>
          </w:p>
        </w:tc>
        <w:tc>
          <w:tcPr>
            <w:tcW w:w="886" w:type="dxa"/>
            <w:tcBorders>
              <w:top w:val="single" w:sz="4" w:space="0" w:color="auto"/>
              <w:left w:val="nil"/>
              <w:bottom w:val="single" w:sz="12" w:space="0" w:color="auto"/>
              <w:right w:val="single" w:sz="8" w:space="0" w:color="auto"/>
            </w:tcBorders>
            <w:shd w:val="clear" w:color="000000" w:fill="EAF1DD"/>
            <w:noWrap/>
            <w:vAlign w:val="center"/>
            <w:hideMark/>
          </w:tcPr>
          <w:p w:rsidR="007D3FB2" w:rsidRPr="00EE7BB8" w:rsidRDefault="00345F96" w:rsidP="00994A5C">
            <w:pPr>
              <w:pStyle w:val="TableText"/>
              <w:rPr>
                <w:rFonts w:eastAsia="Times New Roman"/>
                <w:b/>
                <w:szCs w:val="18"/>
              </w:rPr>
            </w:pPr>
            <w:r w:rsidRPr="00345F96">
              <w:rPr>
                <w:rFonts w:eastAsia="Times New Roman"/>
                <w:b/>
                <w:szCs w:val="18"/>
              </w:rPr>
              <w:t>-0.35%</w:t>
            </w:r>
          </w:p>
        </w:tc>
      </w:tr>
    </w:tbl>
    <w:p w:rsidR="00A73F2B" w:rsidRDefault="00A73F2B">
      <w:pPr>
        <w:pStyle w:val="Heading1"/>
        <w:numPr>
          <w:ilvl w:val="0"/>
          <w:numId w:val="0"/>
        </w:numPr>
        <w:ind w:left="432"/>
      </w:pPr>
    </w:p>
    <w:p w:rsidR="009E2132" w:rsidRDefault="009E2132" w:rsidP="009E2132">
      <w:pPr>
        <w:pStyle w:val="Heading2"/>
      </w:pPr>
      <w:bookmarkStart w:id="87" w:name="_Toc326074007"/>
      <w:r>
        <w:t>Ex Ante Load Impact Estimates</w:t>
      </w:r>
      <w:bookmarkEnd w:id="87"/>
    </w:p>
    <w:p w:rsidR="001E35DF" w:rsidRDefault="009E2132" w:rsidP="001E35DF">
      <w:pPr>
        <w:pStyle w:val="BodyParagraph"/>
      </w:pPr>
      <w:r>
        <w:t>T</w:t>
      </w:r>
      <w:r>
        <w:rPr>
          <w:rFonts w:eastAsia="Calibri" w:cs="Times New Roman"/>
        </w:rPr>
        <w:t xml:space="preserve">he ex ante load impacts for </w:t>
      </w:r>
      <w:r>
        <w:t>aggregator programs</w:t>
      </w:r>
      <w:r>
        <w:rPr>
          <w:rFonts w:eastAsia="Calibri" w:cs="Times New Roman"/>
        </w:rPr>
        <w:t xml:space="preserve"> describe the load reduction capability of existing resources under a standard set of 1-in-2 and 1-in-10 weather conditions.  Whenever possible, ex ante load impacts are grounded on analysis of historical load impact performance. </w:t>
      </w:r>
      <w:r w:rsidR="001E35DF">
        <w:rPr>
          <w:rFonts w:eastAsia="Calibri" w:cs="Times New Roman"/>
        </w:rPr>
        <w:t xml:space="preserve"> </w:t>
      </w:r>
      <w:r>
        <w:t>The</w:t>
      </w:r>
      <w:r w:rsidR="00141A48">
        <w:t xml:space="preserve"> </w:t>
      </w:r>
      <w:r w:rsidRPr="00B234FA">
        <w:t xml:space="preserve">ex ante predictions </w:t>
      </w:r>
      <w:r w:rsidRPr="00B234FA">
        <w:lastRenderedPageBreak/>
        <w:t xml:space="preserve">are based on the </w:t>
      </w:r>
      <w:r w:rsidR="001E35DF">
        <w:t>performance during actual 2010 and 2011 events by current participants. S</w:t>
      </w:r>
      <w:r w:rsidRPr="00B234FA">
        <w:t>ome customers</w:t>
      </w:r>
      <w:r w:rsidR="001E35DF">
        <w:t xml:space="preserve"> were not enrolled in aggregator programs in </w:t>
      </w:r>
      <w:r w:rsidRPr="00B234FA">
        <w:t>2010</w:t>
      </w:r>
      <w:r w:rsidR="001E35DF">
        <w:t>, in which case we relied exclusively on the 2011 event data available.  The reference loads were based on analysis of 2010 and 2011 load patterns during non-event days.  We used a similar model as in the ex post analysis except that we excluded the lagged power consumption terms (</w:t>
      </w:r>
      <w:proofErr w:type="spellStart"/>
      <w:r w:rsidR="001E35DF" w:rsidRPr="00065ADC">
        <w:rPr>
          <w:i/>
        </w:rPr>
        <w:t>morningload</w:t>
      </w:r>
      <w:proofErr w:type="spellEnd"/>
      <w:r w:rsidR="001E35DF">
        <w:t xml:space="preserve"> and </w:t>
      </w:r>
      <w:proofErr w:type="spellStart"/>
      <w:r w:rsidR="001E35DF" w:rsidRPr="00065ADC">
        <w:rPr>
          <w:i/>
        </w:rPr>
        <w:t>twoweekavg</w:t>
      </w:r>
      <w:proofErr w:type="spellEnd"/>
      <w:r w:rsidR="001E35DF">
        <w:t>).</w:t>
      </w:r>
      <w:r w:rsidR="001E35DF">
        <w:rPr>
          <w:rStyle w:val="FootnoteReference"/>
          <w:rFonts w:eastAsia="Calibri" w:cs="Times New Roman"/>
        </w:rPr>
        <w:footnoteReference w:id="9"/>
      </w:r>
      <w:r w:rsidR="001E35DF">
        <w:rPr>
          <w:rFonts w:eastAsia="Calibri" w:cs="Times New Roman"/>
        </w:rPr>
        <w:t xml:space="preserve">  The validation results included in Appendix </w:t>
      </w:r>
      <w:proofErr w:type="gramStart"/>
      <w:r w:rsidR="00CB44CD">
        <w:rPr>
          <w:rFonts w:eastAsia="Calibri" w:cs="Times New Roman"/>
        </w:rPr>
        <w:t>A</w:t>
      </w:r>
      <w:proofErr w:type="gramEnd"/>
      <w:r w:rsidR="001E35DF">
        <w:rPr>
          <w:rFonts w:eastAsia="Calibri" w:cs="Times New Roman"/>
        </w:rPr>
        <w:t xml:space="preserve"> show that the model produces very similar reference loads as the </w:t>
      </w:r>
      <w:r w:rsidR="00CB44CD">
        <w:rPr>
          <w:rFonts w:eastAsia="Calibri" w:cs="Times New Roman"/>
        </w:rPr>
        <w:t xml:space="preserve">version with lagged power consumption. </w:t>
      </w:r>
    </w:p>
    <w:p w:rsidR="009E2132" w:rsidRDefault="009E2132" w:rsidP="009E2132">
      <w:pPr>
        <w:pStyle w:val="BodyParagraph"/>
        <w:rPr>
          <w:rFonts w:eastAsia="Calibri" w:cs="Times New Roman"/>
        </w:rPr>
      </w:pPr>
      <w:r>
        <w:rPr>
          <w:rFonts w:eastAsia="Calibri" w:cs="Times New Roman"/>
        </w:rPr>
        <w:t xml:space="preserve">For customers already enrolled in </w:t>
      </w:r>
      <w:r>
        <w:t>aggregator programs</w:t>
      </w:r>
      <w:r>
        <w:rPr>
          <w:rFonts w:eastAsia="Calibri" w:cs="Times New Roman"/>
        </w:rPr>
        <w:t xml:space="preserve">, the ex ante impacts are reliable as long as there is a sufficiently long history of events under different weather conditions, including extreme ones.  </w:t>
      </w:r>
      <w:r w:rsidRPr="00F0334D">
        <w:rPr>
          <w:rFonts w:eastAsia="Calibri" w:cs="Arial"/>
          <w:szCs w:val="20"/>
        </w:rPr>
        <w:t>The ex ante estimates implicitly assume that past event performance is indicative of future customer behavior. </w:t>
      </w:r>
      <w:r>
        <w:rPr>
          <w:rFonts w:eastAsia="Calibri" w:cs="Arial"/>
          <w:szCs w:val="20"/>
        </w:rPr>
        <w:t xml:space="preserve"> </w:t>
      </w:r>
      <w:r>
        <w:rPr>
          <w:rFonts w:eastAsia="Calibri" w:cs="Times New Roman"/>
        </w:rPr>
        <w:t xml:space="preserve">The primary source of uncertainty in ex ante impacts arises from program changes.  These include growth in program participants, changes in program rules or tariff design and policy shifts.  Put differently, it is much easier to estimate load impacts under a standard set of conditions for existing customers than it is to do so for a new set of customers, particularly if they differ substantially from existing ones. </w:t>
      </w:r>
    </w:p>
    <w:p w:rsidR="009E2132" w:rsidRDefault="009E2132" w:rsidP="009E2132">
      <w:pPr>
        <w:pStyle w:val="BodyParagraph"/>
        <w:rPr>
          <w:rFonts w:eastAsia="Calibri" w:cs="Times New Roman"/>
        </w:rPr>
      </w:pPr>
      <w:r>
        <w:rPr>
          <w:rFonts w:eastAsia="Calibri" w:cs="Times New Roman"/>
        </w:rPr>
        <w:t>To produce ex ante impacts, we did the following for each customer:</w:t>
      </w:r>
    </w:p>
    <w:p w:rsidR="009E2132" w:rsidRDefault="009E2132" w:rsidP="009E2132">
      <w:pPr>
        <w:pStyle w:val="Bullets"/>
      </w:pPr>
      <w:r>
        <w:t>Estimated the regression parameters from the ex post regression models.  This included parameters that described customer hourly load patterns, individual event load impacts, and how load impacts varied for each event under different weather conditions;</w:t>
      </w:r>
    </w:p>
    <w:p w:rsidR="009E2132" w:rsidRDefault="009E2132" w:rsidP="009E2132">
      <w:pPr>
        <w:pStyle w:val="Bullets"/>
      </w:pPr>
      <w:r>
        <w:t>Calculated the average event hour impacts for each customer across all events, as well as the average load shift in the hours preceding and following an event (“event shoulders”). Additionally, we calculated the model error and performance variability of customers over many events;</w:t>
      </w:r>
    </w:p>
    <w:p w:rsidR="009E2132" w:rsidRDefault="009E2132" w:rsidP="009E2132">
      <w:pPr>
        <w:pStyle w:val="Bullets"/>
      </w:pPr>
      <w:r>
        <w:t xml:space="preserve">Assumed the 1-in-2 and 1-in-10 weather year conditions based on the location of each customer; </w:t>
      </w:r>
    </w:p>
    <w:p w:rsidR="009E2132" w:rsidRDefault="009E2132" w:rsidP="009E2132">
      <w:pPr>
        <w:pStyle w:val="Bullets"/>
      </w:pPr>
      <w:r>
        <w:t>Replicated the same variables used in the ex post regression models;</w:t>
      </w:r>
    </w:p>
    <w:p w:rsidR="009E2132" w:rsidRDefault="009E2132" w:rsidP="009E2132">
      <w:pPr>
        <w:pStyle w:val="Bullets"/>
      </w:pPr>
      <w:r>
        <w:t>Predicted the customer electricity use patterns absent event day response – reference loads – based on the regression coefficients and ex ante event-day conditions; and</w:t>
      </w:r>
    </w:p>
    <w:p w:rsidR="009E2132" w:rsidRDefault="009E2132" w:rsidP="009E2132">
      <w:pPr>
        <w:pStyle w:val="BulletLast"/>
      </w:pPr>
      <w:r>
        <w:t>Predicted the hourly electricity use pattern with event day response - the estimate load with DR – based on the average event hour impacts and the average pre- and post-event load shifting under ex ante event-day conditions.</w:t>
      </w:r>
    </w:p>
    <w:p w:rsidR="009E2132" w:rsidRDefault="009E2132" w:rsidP="009E2132">
      <w:pPr>
        <w:pStyle w:val="BodyParaAfterTableFigure"/>
      </w:pPr>
      <w:r>
        <w:rPr>
          <w:rFonts w:eastAsia="Calibri" w:cs="Times New Roman"/>
        </w:rPr>
        <w:t>Impacts were calculated as the difference in loads with and without DR.  They were aggregated for the program as whole, for each local capacity area, and for each customer size category.</w:t>
      </w:r>
      <w:r>
        <w:t xml:space="preserve">  </w:t>
      </w:r>
      <w:r>
        <w:rPr>
          <w:rFonts w:eastAsia="Calibri" w:cs="Times New Roman"/>
        </w:rPr>
        <w:t xml:space="preserve">For all utilities, load impacts </w:t>
      </w:r>
      <w:r>
        <w:t>were projected only for the months during which programs are active.  For CBP and AMP, this includes May through October; for DRRC, this includes April through October.</w:t>
      </w:r>
      <w:r w:rsidR="00141A48">
        <w:t xml:space="preserve">  Finally, in all ex ante forecasts, we use counts of nominated customers, rather than all enrolled customers; for an explanation, see </w:t>
      </w:r>
      <w:fldSimple w:instr=" REF _Ref326061675 \r ">
        <w:r w:rsidR="00F66D5E">
          <w:t>Appendix D</w:t>
        </w:r>
      </w:fldSimple>
      <w:r w:rsidR="00141A48">
        <w:t>.</w:t>
      </w:r>
    </w:p>
    <w:p w:rsidR="009E2132" w:rsidRDefault="009E2132" w:rsidP="009E2132">
      <w:pPr>
        <w:pStyle w:val="Heading3"/>
      </w:pPr>
      <w:bookmarkStart w:id="88" w:name="_Toc324504083"/>
      <w:bookmarkStart w:id="89" w:name="_Toc324511267"/>
      <w:bookmarkStart w:id="90" w:name="_Toc326074008"/>
      <w:r>
        <w:lastRenderedPageBreak/>
        <w:t>Ex Ante Impact Uncertainty</w:t>
      </w:r>
      <w:bookmarkEnd w:id="88"/>
      <w:bookmarkEnd w:id="89"/>
      <w:bookmarkEnd w:id="90"/>
    </w:p>
    <w:p w:rsidR="009E2132" w:rsidRDefault="009E2132" w:rsidP="009E2132">
      <w:pPr>
        <w:pStyle w:val="BodyParagraph"/>
      </w:pPr>
      <w:r>
        <w:t>Being predictions, ex ante load impact estimates are necessarily uncertain.  There are several sources of uncertainty:</w:t>
      </w:r>
    </w:p>
    <w:p w:rsidR="009E2132" w:rsidRDefault="009E2132" w:rsidP="009E2132">
      <w:pPr>
        <w:pStyle w:val="Bullets"/>
      </w:pPr>
      <w:r>
        <w:t>Enrollment uncertainty – changes in program enrollment and nominations over time;</w:t>
      </w:r>
    </w:p>
    <w:p w:rsidR="009E2132" w:rsidRDefault="009E2132" w:rsidP="009E2132">
      <w:pPr>
        <w:pStyle w:val="Bullets"/>
      </w:pPr>
      <w:r>
        <w:t>Policy uncertainty – changes in program design over time, including cessation of the program;</w:t>
      </w:r>
    </w:p>
    <w:p w:rsidR="009E2132" w:rsidRDefault="009E2132" w:rsidP="009E2132">
      <w:pPr>
        <w:pStyle w:val="Bullets"/>
      </w:pPr>
      <w:r>
        <w:t>Performance variability – fluctuations in customer performance over time; and</w:t>
      </w:r>
    </w:p>
    <w:p w:rsidR="009E2132" w:rsidRDefault="009E2132" w:rsidP="009E2132">
      <w:pPr>
        <w:pStyle w:val="BulletLast"/>
      </w:pPr>
      <w:r>
        <w:t>Model error – closeness of fit of models to actual data.</w:t>
      </w:r>
    </w:p>
    <w:p w:rsidR="009E2132" w:rsidRDefault="009E2132" w:rsidP="009E2132">
      <w:pPr>
        <w:pStyle w:val="BodyParagraph"/>
      </w:pPr>
      <w:r>
        <w:t>The first two sources represent program-level uncertainty and are dealt with in the enrollment forecasts for each program.  The latter two sources represent customer-level uncertainty and are dealt with in the modeling.</w:t>
      </w:r>
    </w:p>
    <w:p w:rsidR="009E2132" w:rsidRDefault="009E2132" w:rsidP="009E2132">
      <w:pPr>
        <w:pStyle w:val="BodyParagraph"/>
      </w:pPr>
      <w:r>
        <w:t xml:space="preserve">The sources of customer-level uncertainty warrant further explanation.  Model error is the uncertainty range around the parameter values derived from ex post regressions and represents the closeness of “fit” of the model to any given day.  Performance variability is the variation of customer event hour load reductions over the many events for which we have observations.  It differs from model error in that it represents </w:t>
      </w:r>
      <w:proofErr w:type="spellStart"/>
      <w:r>
        <w:t>uncaptured</w:t>
      </w:r>
      <w:proofErr w:type="spellEnd"/>
      <w:r>
        <w:t xml:space="preserve"> variation of a customer’s event hour load reductions across events, rather than model fit.  We presume that customers of aggregator programs seek to meet a target reduction in electricity demand that does not vary over time or in proportion to their loads.  Since we observe each customer’s performance over several events and specify each event separately in the regression model we use, variation in event hour load reductions is not captured as “model error” and can be interpreted as variation in customer behavior outside of model prediction.  Put another way, ex ante impacts seek to predict load impacts on representative days; therefore, the uncertainty range around estimates must incorporate observed variation over prior event hours to be realistic.</w:t>
      </w:r>
    </w:p>
    <w:p w:rsidR="009E2132" w:rsidRPr="005B4DE7" w:rsidRDefault="009E2132" w:rsidP="009E2132">
      <w:pPr>
        <w:pStyle w:val="BodyParagraph"/>
      </w:pPr>
      <w:r>
        <w:t>To calculate customer-level uncertainty ranges</w:t>
      </w:r>
      <w:r w:rsidRPr="005B4DE7">
        <w:t>, we</w:t>
      </w:r>
      <w:r>
        <w:t xml:space="preserve"> first</w:t>
      </w:r>
      <w:r w:rsidRPr="005B4DE7">
        <w:t xml:space="preserve"> isolated load reductions during each event hour of 2010 and 2011 for each individual customer. </w:t>
      </w:r>
      <w:r w:rsidR="00832523">
        <w:t xml:space="preserve"> </w:t>
      </w:r>
      <w:r w:rsidRPr="005B4DE7">
        <w:t xml:space="preserve">Since our ex post model specification treats each event and hour separately, each event hour for each customer has a unique observed load reduction and standard error; in this instance, the standard error represents model error.  We </w:t>
      </w:r>
      <w:r w:rsidR="00CB44CD">
        <w:t xml:space="preserve">then combined the variation in individual event day impacts with the model error using </w:t>
      </w:r>
      <w:proofErr w:type="spellStart"/>
      <w:r w:rsidR="00CB44CD">
        <w:t>MonteCarlo</w:t>
      </w:r>
      <w:proofErr w:type="spellEnd"/>
      <w:r w:rsidR="00CB44CD">
        <w:t xml:space="preserve"> simulation, a standard process for combining uncertainty. The Monte Carlo simulation relied on </w:t>
      </w:r>
      <w:r w:rsidRPr="005B4DE7">
        <w:t>1000</w:t>
      </w:r>
      <w:r w:rsidR="00CB44CD">
        <w:t xml:space="preserve"> draws for each customer.  </w:t>
      </w:r>
      <w:r w:rsidR="00832523">
        <w:t>T</w:t>
      </w:r>
      <w:r w:rsidRPr="005B4DE7">
        <w:t>his customer-specific standard error capture</w:t>
      </w:r>
      <w:r>
        <w:t>s</w:t>
      </w:r>
      <w:r w:rsidRPr="005B4DE7">
        <w:t xml:space="preserve"> both within-hour variation (i.e., model error) and across-hour variation </w:t>
      </w:r>
      <w:r w:rsidR="00832523">
        <w:t>(i.e., performance variability).  I</w:t>
      </w:r>
      <w:r w:rsidRPr="005B4DE7">
        <w:t>t more accurately represents the uncertainty range around ex ante estimates than if model error alone were used.</w:t>
      </w:r>
    </w:p>
    <w:p w:rsidR="009E2132" w:rsidRPr="009E2132" w:rsidRDefault="009E2132" w:rsidP="009E2132">
      <w:pPr>
        <w:pStyle w:val="BodyParagraph"/>
      </w:pPr>
    </w:p>
    <w:p w:rsidR="00A5705A" w:rsidRPr="00050374" w:rsidRDefault="00AA6D68" w:rsidP="001F00DB">
      <w:pPr>
        <w:pStyle w:val="Heading1"/>
      </w:pPr>
      <w:r>
        <w:br w:type="column"/>
      </w:r>
      <w:bookmarkStart w:id="91" w:name="_Toc326074009"/>
      <w:r w:rsidR="000761CF">
        <w:lastRenderedPageBreak/>
        <w:t xml:space="preserve">Load Impact Estimates for </w:t>
      </w:r>
      <w:bookmarkStart w:id="92" w:name="_Toc318805721"/>
      <w:bookmarkEnd w:id="92"/>
      <w:r w:rsidR="00A5705A" w:rsidRPr="00050374">
        <w:t>PG&amp;E</w:t>
      </w:r>
      <w:r w:rsidR="000761CF">
        <w:rPr>
          <w:rFonts w:hint="eastAsia"/>
        </w:rPr>
        <w:t>’</w:t>
      </w:r>
      <w:r w:rsidR="000761CF">
        <w:t>s AMP and CBP Programs</w:t>
      </w:r>
      <w:bookmarkEnd w:id="91"/>
    </w:p>
    <w:p w:rsidR="00E97728" w:rsidRPr="00050374" w:rsidRDefault="00E97728" w:rsidP="00B60E82">
      <w:pPr>
        <w:pStyle w:val="BodyBeforeBullet"/>
      </w:pPr>
      <w:r w:rsidRPr="00050374">
        <w:t xml:space="preserve">This section </w:t>
      </w:r>
      <w:r w:rsidR="000761CF">
        <w:t xml:space="preserve">summarizes </w:t>
      </w:r>
      <w:r w:rsidRPr="00050374">
        <w:t>the ex post load impact estimates for PG&amp;E’s A</w:t>
      </w:r>
      <w:r w:rsidR="000761CF">
        <w:t>MP and CBP p</w:t>
      </w:r>
      <w:r w:rsidRPr="00050374">
        <w:t xml:space="preserve">rograms. </w:t>
      </w:r>
      <w:r w:rsidR="004F6B7C" w:rsidRPr="00050374">
        <w:t xml:space="preserve"> </w:t>
      </w:r>
      <w:r w:rsidRPr="00050374">
        <w:t xml:space="preserve">In keeping with the requirements for ex post load impact evaluations, 2011 results </w:t>
      </w:r>
      <w:r w:rsidR="00A40CA1">
        <w:t xml:space="preserve">were developed </w:t>
      </w:r>
      <w:r w:rsidRPr="00050374">
        <w:t xml:space="preserve">for each hour of each event day </w:t>
      </w:r>
      <w:r w:rsidRPr="00B60E82">
        <w:t>for</w:t>
      </w:r>
      <w:r w:rsidRPr="00050374">
        <w:t xml:space="preserve"> the average customer and for all customers enrolled at the time of the event.  </w:t>
      </w:r>
      <w:r w:rsidR="00A40CA1">
        <w:t xml:space="preserve">Summary impact estimates are presented in this section and more detailed, hourly estimates are provided electronically along with this report.  </w:t>
      </w:r>
      <w:r w:rsidRPr="00050374">
        <w:t>In addition to meeting the basic load impact protocol requirements, detailed analysis has been conducted to understand how load impacts vary across several factors, including:</w:t>
      </w:r>
    </w:p>
    <w:p w:rsidR="00E97728" w:rsidRPr="00050374" w:rsidRDefault="00E97728" w:rsidP="00E97728">
      <w:pPr>
        <w:pStyle w:val="Bullets"/>
      </w:pPr>
      <w:r w:rsidRPr="00050374">
        <w:t xml:space="preserve">Industry; </w:t>
      </w:r>
    </w:p>
    <w:p w:rsidR="00E97728" w:rsidRPr="00050374" w:rsidRDefault="00E97728" w:rsidP="00E97728">
      <w:pPr>
        <w:pStyle w:val="Bullets"/>
      </w:pPr>
      <w:r w:rsidRPr="00050374">
        <w:t>Local capacity area; and</w:t>
      </w:r>
    </w:p>
    <w:p w:rsidR="00E97728" w:rsidRPr="00050374" w:rsidRDefault="00E97728" w:rsidP="00994A5C">
      <w:pPr>
        <w:pStyle w:val="BulletLast"/>
      </w:pPr>
      <w:r w:rsidRPr="00994A5C">
        <w:t>Customer</w:t>
      </w:r>
      <w:r w:rsidRPr="00050374">
        <w:t xml:space="preserve"> size.</w:t>
      </w:r>
    </w:p>
    <w:p w:rsidR="00A73F2B" w:rsidRDefault="008D3B2F">
      <w:pPr>
        <w:pStyle w:val="BodyParaAfterTableFigure"/>
      </w:pPr>
      <w:r w:rsidRPr="00050374">
        <w:t>AMP and CBP resources were dispatched on different days and hours</w:t>
      </w:r>
      <w:r w:rsidR="00E97728" w:rsidRPr="00050374">
        <w:t xml:space="preserve">. </w:t>
      </w:r>
      <w:r w:rsidR="0042123F" w:rsidRPr="00050374">
        <w:t xml:space="preserve"> </w:t>
      </w:r>
      <w:r w:rsidRPr="00050374">
        <w:t>Within each program, r</w:t>
      </w:r>
      <w:r w:rsidR="00E97728" w:rsidRPr="00050374">
        <w:t>esources with day</w:t>
      </w:r>
      <w:r w:rsidR="00427D56">
        <w:t>-</w:t>
      </w:r>
      <w:r w:rsidR="00E97728" w:rsidRPr="00050374">
        <w:t xml:space="preserve">ahead notification </w:t>
      </w:r>
      <w:r w:rsidRPr="00050374">
        <w:t>we</w:t>
      </w:r>
      <w:r w:rsidR="00E97728" w:rsidRPr="00050374">
        <w:t xml:space="preserve">re </w:t>
      </w:r>
      <w:r w:rsidRPr="00050374">
        <w:t xml:space="preserve">typically </w:t>
      </w:r>
      <w:r w:rsidR="00E97728" w:rsidRPr="00050374">
        <w:t xml:space="preserve">dispatched jointly. </w:t>
      </w:r>
      <w:r w:rsidR="0042123F" w:rsidRPr="00050374">
        <w:t xml:space="preserve"> </w:t>
      </w:r>
      <w:r w:rsidR="001F00DB">
        <w:t xml:space="preserve">  </w:t>
      </w:r>
    </w:p>
    <w:p w:rsidR="0042123F" w:rsidRPr="00050374" w:rsidRDefault="001D6CCB" w:rsidP="00BA25E2">
      <w:pPr>
        <w:pStyle w:val="Heading2"/>
      </w:pPr>
      <w:bookmarkStart w:id="93" w:name="_Toc326074010"/>
      <w:r w:rsidRPr="00050374">
        <w:t xml:space="preserve">2011 </w:t>
      </w:r>
      <w:r w:rsidR="0042123F" w:rsidRPr="00050374">
        <w:t xml:space="preserve">Event Day </w:t>
      </w:r>
      <w:r w:rsidR="00F03987" w:rsidRPr="00050374">
        <w:t>Characteristics</w:t>
      </w:r>
      <w:bookmarkEnd w:id="93"/>
    </w:p>
    <w:p w:rsidR="00F03987" w:rsidRPr="00050374" w:rsidRDefault="00F03987" w:rsidP="0042123F">
      <w:pPr>
        <w:pStyle w:val="BodyParagraph"/>
      </w:pPr>
      <w:r w:rsidRPr="00050374">
        <w:t>PG&amp;E system peak loads were relatively low throughout 2011</w:t>
      </w:r>
      <w:r w:rsidR="00043BC0">
        <w:t>,</w:t>
      </w:r>
      <w:r w:rsidRPr="00050374">
        <w:t xml:space="preserve"> and as a result, both AMP and CBP resources were dispatched solely for economic reasons or to test event operations and performance.  AMP resources with </w:t>
      </w:r>
      <w:r w:rsidR="00F95446">
        <w:t>day-ahead</w:t>
      </w:r>
      <w:r w:rsidRPr="00050374">
        <w:t xml:space="preserve"> and </w:t>
      </w:r>
      <w:r w:rsidR="00F95446">
        <w:t>day</w:t>
      </w:r>
      <w:r w:rsidR="000761CF">
        <w:t>-o</w:t>
      </w:r>
      <w:r w:rsidR="00F56ADB">
        <w:t>f</w:t>
      </w:r>
      <w:r w:rsidR="00F95446">
        <w:t xml:space="preserve"> event</w:t>
      </w:r>
      <w:r w:rsidRPr="00050374">
        <w:t xml:space="preserve"> notificat</w:t>
      </w:r>
      <w:r w:rsidR="002E289F" w:rsidRPr="00050374">
        <w:t>ions were each dispatched twice</w:t>
      </w:r>
      <w:r w:rsidRPr="00050374">
        <w:t xml:space="preserve"> to test program performance, </w:t>
      </w:r>
      <w:r w:rsidR="00043BC0">
        <w:t xml:space="preserve">once each on separate </w:t>
      </w:r>
      <w:proofErr w:type="gramStart"/>
      <w:r w:rsidR="00043BC0">
        <w:t>days</w:t>
      </w:r>
      <w:proofErr w:type="gramEnd"/>
      <w:r w:rsidR="00043BC0">
        <w:t xml:space="preserve"> and once together</w:t>
      </w:r>
      <w:r w:rsidRPr="00050374">
        <w:t xml:space="preserve">.  Likewise, CBP </w:t>
      </w:r>
      <w:r w:rsidR="00F95446">
        <w:t>day</w:t>
      </w:r>
      <w:r w:rsidR="000761CF">
        <w:t>-of</w:t>
      </w:r>
      <w:r w:rsidR="00F95446">
        <w:t xml:space="preserve"> resource</w:t>
      </w:r>
      <w:r w:rsidRPr="00050374">
        <w:t xml:space="preserve">s were dispatched on two different days to test program performance.  The </w:t>
      </w:r>
      <w:r w:rsidR="002E289F" w:rsidRPr="00050374">
        <w:t>four</w:t>
      </w:r>
      <w:r w:rsidRPr="00050374">
        <w:t xml:space="preserve"> test events took place on days w</w:t>
      </w:r>
      <w:r w:rsidR="004F6B7C" w:rsidRPr="00050374">
        <w:t>hen</w:t>
      </w:r>
      <w:r w:rsidRPr="00050374">
        <w:t xml:space="preserve"> system loads were high – ranging from the 5</w:t>
      </w:r>
      <w:r w:rsidRPr="00050374">
        <w:rPr>
          <w:vertAlign w:val="superscript"/>
        </w:rPr>
        <w:t>th</w:t>
      </w:r>
      <w:r w:rsidRPr="00050374">
        <w:t xml:space="preserve"> to the 32</w:t>
      </w:r>
      <w:r w:rsidRPr="00050374">
        <w:rPr>
          <w:vertAlign w:val="superscript"/>
        </w:rPr>
        <w:t>nd</w:t>
      </w:r>
      <w:r w:rsidRPr="00050374">
        <w:t xml:space="preserve"> highest system load day </w:t>
      </w:r>
      <w:r w:rsidR="001F00DB">
        <w:t xml:space="preserve">for 2011 </w:t>
      </w:r>
      <w:r w:rsidRPr="00050374">
        <w:t xml:space="preserve">– but not </w:t>
      </w:r>
      <w:r w:rsidR="001F00DB">
        <w:t>on the system peak day.</w:t>
      </w:r>
      <w:r w:rsidRPr="00050374">
        <w:t xml:space="preserve">  CBP</w:t>
      </w:r>
      <w:r w:rsidR="008741D8" w:rsidRPr="00050374">
        <w:t xml:space="preserve"> resources with</w:t>
      </w:r>
      <w:r w:rsidRPr="00050374">
        <w:t xml:space="preserve"> </w:t>
      </w:r>
      <w:r w:rsidR="00F95446">
        <w:t>day-ahead</w:t>
      </w:r>
      <w:r w:rsidRPr="00050374">
        <w:t xml:space="preserve"> notification </w:t>
      </w:r>
      <w:r w:rsidR="008741D8" w:rsidRPr="00050374">
        <w:t>we</w:t>
      </w:r>
      <w:r w:rsidRPr="00050374">
        <w:t>re dispatched seven time</w:t>
      </w:r>
      <w:r w:rsidR="008741D8" w:rsidRPr="00050374">
        <w:t>s</w:t>
      </w:r>
      <w:r w:rsidRPr="00050374">
        <w:t xml:space="preserve"> in 2011, </w:t>
      </w:r>
      <w:r w:rsidR="008741D8" w:rsidRPr="00050374">
        <w:t xml:space="preserve">including on the </w:t>
      </w:r>
      <w:r w:rsidR="004F6B7C" w:rsidRPr="00050374">
        <w:t>second</w:t>
      </w:r>
      <w:r w:rsidR="008741D8" w:rsidRPr="00050374">
        <w:t xml:space="preserve"> and</w:t>
      </w:r>
      <w:r w:rsidR="004F6B7C" w:rsidRPr="00050374">
        <w:t xml:space="preserve"> third</w:t>
      </w:r>
      <w:r w:rsidR="008741D8" w:rsidRPr="00050374">
        <w:t xml:space="preserve"> highest system load days</w:t>
      </w:r>
      <w:r w:rsidR="009A0B06" w:rsidRPr="00050374">
        <w:t xml:space="preserve">, July </w:t>
      </w:r>
      <w:r w:rsidR="001F00DB">
        <w:t>5</w:t>
      </w:r>
      <w:r w:rsidR="009A0B06" w:rsidRPr="00050374">
        <w:t xml:space="preserve"> and July </w:t>
      </w:r>
      <w:r w:rsidR="001F00DB">
        <w:t>6</w:t>
      </w:r>
      <w:r w:rsidRPr="00050374">
        <w:t>.</w:t>
      </w:r>
      <w:r w:rsidR="008741D8" w:rsidRPr="00050374">
        <w:t xml:space="preserve">  None of the program options were dispatched on PG&amp;E’s 2011 annual system peak</w:t>
      </w:r>
      <w:r w:rsidR="00246E0F">
        <w:t xml:space="preserve"> day</w:t>
      </w:r>
      <w:r w:rsidR="008741D8" w:rsidRPr="00050374">
        <w:t>, June 21, because there were sufficient resources available and because the peak occurred relatively early in the</w:t>
      </w:r>
      <w:r w:rsidR="00763059">
        <w:t> </w:t>
      </w:r>
      <w:r w:rsidR="008741D8" w:rsidRPr="00050374">
        <w:t>summer.</w:t>
      </w:r>
    </w:p>
    <w:p w:rsidR="004C53CE" w:rsidRPr="00050374" w:rsidRDefault="008904B1" w:rsidP="008904B1">
      <w:pPr>
        <w:pStyle w:val="BodyParagraph"/>
      </w:pPr>
      <w:r w:rsidRPr="00050374">
        <w:t xml:space="preserve">Table </w:t>
      </w:r>
      <w:r w:rsidR="00A52143">
        <w:t>4</w:t>
      </w:r>
      <w:r w:rsidRPr="00050374">
        <w:t xml:space="preserve">-1 summarizes the event day patterns for the </w:t>
      </w:r>
      <w:r w:rsidR="0070043D">
        <w:t>nine</w:t>
      </w:r>
      <w:r w:rsidRPr="00050374">
        <w:t xml:space="preserve"> days on which PG&amp;E called CBP or AMP events in 2011.  Events lasted between </w:t>
      </w:r>
      <w:r w:rsidR="00246E0F">
        <w:t>one</w:t>
      </w:r>
      <w:r w:rsidRPr="00050374">
        <w:t xml:space="preserve"> and four h</w:t>
      </w:r>
      <w:r w:rsidR="00E872AF" w:rsidRPr="00050374">
        <w:t xml:space="preserve">ours, starting no earlier than </w:t>
      </w:r>
      <w:r w:rsidR="00246E0F">
        <w:t>2</w:t>
      </w:r>
      <w:r w:rsidRPr="00050374">
        <w:t xml:space="preserve"> PM and ending no later than 6 PM.  Events were called for AMP alone</w:t>
      </w:r>
      <w:r w:rsidR="002E289F" w:rsidRPr="00050374">
        <w:t xml:space="preserve"> on two days, for CBP alone on </w:t>
      </w:r>
      <w:r w:rsidR="0070043D">
        <w:t>six</w:t>
      </w:r>
      <w:r w:rsidRPr="00050374">
        <w:t xml:space="preserve"> days and simultaneously for CBP and AMP</w:t>
      </w:r>
      <w:r w:rsidR="002E289F" w:rsidRPr="00050374">
        <w:t xml:space="preserve"> </w:t>
      </w:r>
      <w:r w:rsidRPr="00050374">
        <w:t xml:space="preserve">on </w:t>
      </w:r>
      <w:r w:rsidR="002E289F" w:rsidRPr="00050374">
        <w:t>one day</w:t>
      </w:r>
      <w:r w:rsidRPr="00050374">
        <w:t>.</w:t>
      </w:r>
      <w:r w:rsidR="004C53CE">
        <w:t xml:space="preserve">  </w:t>
      </w:r>
      <w:r w:rsidR="004959BC" w:rsidRPr="004959BC">
        <w:t xml:space="preserve">On August 25, PG&amp;E tested the load reduction capability for all five of its AMP contracts.  Under the contract terms, PG&amp;E provided four of the aggregators with </w:t>
      </w:r>
      <w:r w:rsidR="00F56ADB">
        <w:t xml:space="preserve">day-of </w:t>
      </w:r>
      <w:r w:rsidR="004959BC" w:rsidRPr="004959BC">
        <w:t xml:space="preserve">notification while the remaining aggregator received notification a day in advance.  The </w:t>
      </w:r>
      <w:r w:rsidR="00F56ADB">
        <w:t>four</w:t>
      </w:r>
      <w:r w:rsidR="00280356">
        <w:t xml:space="preserve"> </w:t>
      </w:r>
      <w:r w:rsidR="004959BC" w:rsidRPr="004959BC">
        <w:t xml:space="preserve">aggregators that received </w:t>
      </w:r>
      <w:r w:rsidR="00F95446">
        <w:t>day</w:t>
      </w:r>
      <w:r w:rsidR="000761CF">
        <w:t>-of</w:t>
      </w:r>
      <w:r w:rsidR="00F95446">
        <w:t xml:space="preserve"> notification</w:t>
      </w:r>
      <w:r w:rsidR="004959BC" w:rsidRPr="004959BC">
        <w:t xml:space="preserve"> had committed to reduce 162.</w:t>
      </w:r>
      <w:r w:rsidR="00F56ADB">
        <w:t>6</w:t>
      </w:r>
      <w:r w:rsidR="004959BC" w:rsidRPr="004959BC">
        <w:t xml:space="preserve"> MW in the month of August</w:t>
      </w:r>
      <w:r w:rsidR="001F00DB">
        <w:t>, while the</w:t>
      </w:r>
      <w:r w:rsidR="00280356">
        <w:t xml:space="preserve"> fourth</w:t>
      </w:r>
      <w:r w:rsidR="001F00DB">
        <w:t xml:space="preserve"> aggregator with </w:t>
      </w:r>
      <w:r w:rsidR="00F95446">
        <w:t>day-ahead</w:t>
      </w:r>
      <w:r w:rsidR="004959BC" w:rsidRPr="004959BC">
        <w:t xml:space="preserve"> notification had committed to a reduction of 44.0 MW.  PG&amp;E followed up the initial load reduction test with two re-tests, where a sub-set of aggregators had to demonstrate their load reduction capability again.  </w:t>
      </w:r>
      <w:r w:rsidR="001F00DB">
        <w:t>For the September 8</w:t>
      </w:r>
      <w:r w:rsidR="004959BC" w:rsidRPr="004959BC">
        <w:t xml:space="preserve"> event, PG&amp;E dispatched a single aggregator with a 77.0 MW reduction commitment.  On September 29, PG&amp;E dispatched another aggregator with a 44.0 MW reduction commitment.</w:t>
      </w:r>
      <w:r w:rsidR="004C53CE">
        <w:rPr>
          <w:color w:val="1F497D"/>
        </w:rPr>
        <w:t xml:space="preserve">  </w:t>
      </w:r>
    </w:p>
    <w:p w:rsidR="00B101D3" w:rsidRDefault="00B101D3" w:rsidP="00BA25E2">
      <w:pPr>
        <w:pStyle w:val="TableFigureCaption"/>
      </w:pPr>
      <w:r w:rsidRPr="00050374">
        <w:lastRenderedPageBreak/>
        <w:t xml:space="preserve">Table </w:t>
      </w:r>
      <w:r w:rsidR="00A52143">
        <w:t>4</w:t>
      </w:r>
      <w:r w:rsidRPr="00050374">
        <w:t>-1:</w:t>
      </w:r>
      <w:r w:rsidR="00270ED1">
        <w:t xml:space="preserve"> </w:t>
      </w:r>
      <w:r w:rsidR="00BA25E2">
        <w:t xml:space="preserve"> </w:t>
      </w:r>
      <w:r w:rsidR="00336375">
        <w:t>Event</w:t>
      </w:r>
      <w:r w:rsidR="000761CF">
        <w:t xml:space="preserve"> Summary</w:t>
      </w:r>
      <w:r w:rsidRPr="00050374">
        <w:t xml:space="preserve"> for PG&amp;E’s CBP and AMP Programs </w:t>
      </w:r>
      <w:r w:rsidR="000761CF">
        <w:t>for</w:t>
      </w:r>
      <w:r w:rsidRPr="00050374">
        <w:t xml:space="preserve"> 2011</w:t>
      </w:r>
    </w:p>
    <w:tbl>
      <w:tblPr>
        <w:tblW w:w="8855" w:type="dxa"/>
        <w:jc w:val="center"/>
        <w:tblLayout w:type="fixed"/>
        <w:tblLook w:val="04A0"/>
      </w:tblPr>
      <w:tblGrid>
        <w:gridCol w:w="906"/>
        <w:gridCol w:w="931"/>
        <w:gridCol w:w="1000"/>
        <w:gridCol w:w="1306"/>
        <w:gridCol w:w="1040"/>
        <w:gridCol w:w="1250"/>
        <w:gridCol w:w="1212"/>
        <w:gridCol w:w="1210"/>
      </w:tblGrid>
      <w:tr w:rsidR="00EE7BB8" w:rsidRPr="000B7C0D" w:rsidTr="00A14074">
        <w:trPr>
          <w:trHeight w:val="1056"/>
          <w:jc w:val="center"/>
        </w:trPr>
        <w:tc>
          <w:tcPr>
            <w:tcW w:w="906" w:type="dxa"/>
            <w:tcBorders>
              <w:top w:val="single" w:sz="4" w:space="0" w:color="auto"/>
              <w:left w:val="single" w:sz="4" w:space="0" w:color="auto"/>
              <w:bottom w:val="single" w:sz="4" w:space="0" w:color="auto"/>
              <w:right w:val="single" w:sz="8" w:space="0" w:color="FFFFFF"/>
            </w:tcBorders>
            <w:shd w:val="clear" w:color="000000" w:fill="376091"/>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b/>
                <w:bCs/>
                <w:color w:val="FFFFFF"/>
                <w:sz w:val="20"/>
                <w:szCs w:val="20"/>
              </w:rPr>
            </w:pPr>
            <w:r w:rsidRPr="000B7C0D">
              <w:rPr>
                <w:rFonts w:ascii="Arial" w:eastAsia="Times New Roman" w:hAnsi="Arial" w:cs="Arial"/>
                <w:b/>
                <w:bCs/>
                <w:color w:val="FFFFFF"/>
                <w:sz w:val="20"/>
                <w:szCs w:val="20"/>
              </w:rPr>
              <w:t>Program</w:t>
            </w:r>
          </w:p>
        </w:tc>
        <w:tc>
          <w:tcPr>
            <w:tcW w:w="931" w:type="dxa"/>
            <w:tcBorders>
              <w:top w:val="single" w:sz="4" w:space="0" w:color="auto"/>
              <w:left w:val="nil"/>
              <w:bottom w:val="single" w:sz="4" w:space="0" w:color="auto"/>
              <w:right w:val="single" w:sz="8" w:space="0" w:color="FFFFFF"/>
            </w:tcBorders>
            <w:shd w:val="clear" w:color="000000" w:fill="376091"/>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b/>
                <w:bCs/>
                <w:color w:val="FFFFFF"/>
                <w:sz w:val="20"/>
                <w:szCs w:val="20"/>
              </w:rPr>
            </w:pPr>
            <w:r w:rsidRPr="000B7C0D">
              <w:rPr>
                <w:rFonts w:ascii="Arial" w:eastAsia="Times New Roman" w:hAnsi="Arial" w:cs="Arial"/>
                <w:b/>
                <w:bCs/>
                <w:color w:val="FFFFFF"/>
                <w:sz w:val="20"/>
                <w:szCs w:val="20"/>
              </w:rPr>
              <w:t>Advance Notice</w:t>
            </w:r>
          </w:p>
        </w:tc>
        <w:tc>
          <w:tcPr>
            <w:tcW w:w="1000" w:type="dxa"/>
            <w:tcBorders>
              <w:top w:val="single" w:sz="4" w:space="0" w:color="auto"/>
              <w:left w:val="nil"/>
              <w:bottom w:val="single" w:sz="4" w:space="0" w:color="auto"/>
              <w:right w:val="single" w:sz="8" w:space="0" w:color="FFFFFF"/>
            </w:tcBorders>
            <w:shd w:val="clear" w:color="000000" w:fill="376091"/>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b/>
                <w:bCs/>
                <w:color w:val="FFFFFF"/>
                <w:sz w:val="20"/>
                <w:szCs w:val="20"/>
              </w:rPr>
            </w:pPr>
            <w:r w:rsidRPr="000B7C0D">
              <w:rPr>
                <w:rFonts w:ascii="Arial" w:eastAsia="Times New Roman" w:hAnsi="Arial" w:cs="Arial"/>
                <w:b/>
                <w:bCs/>
                <w:color w:val="FFFFFF"/>
                <w:sz w:val="20"/>
                <w:szCs w:val="20"/>
              </w:rPr>
              <w:t>Product</w:t>
            </w:r>
          </w:p>
        </w:tc>
        <w:tc>
          <w:tcPr>
            <w:tcW w:w="1306" w:type="dxa"/>
            <w:tcBorders>
              <w:top w:val="single" w:sz="4" w:space="0" w:color="auto"/>
              <w:left w:val="nil"/>
              <w:bottom w:val="single" w:sz="4" w:space="0" w:color="auto"/>
              <w:right w:val="single" w:sz="8" w:space="0" w:color="FFFFFF"/>
            </w:tcBorders>
            <w:shd w:val="clear" w:color="000000" w:fill="376091"/>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b/>
                <w:bCs/>
                <w:color w:val="FFFFFF"/>
                <w:sz w:val="20"/>
                <w:szCs w:val="20"/>
              </w:rPr>
            </w:pPr>
            <w:r w:rsidRPr="000B7C0D">
              <w:rPr>
                <w:rFonts w:ascii="Arial" w:eastAsia="Times New Roman" w:hAnsi="Arial" w:cs="Arial"/>
                <w:b/>
                <w:bCs/>
                <w:color w:val="FFFFFF"/>
                <w:sz w:val="20"/>
                <w:szCs w:val="20"/>
              </w:rPr>
              <w:t>Date</w:t>
            </w:r>
          </w:p>
        </w:tc>
        <w:tc>
          <w:tcPr>
            <w:tcW w:w="1040" w:type="dxa"/>
            <w:tcBorders>
              <w:top w:val="single" w:sz="4" w:space="0" w:color="auto"/>
              <w:left w:val="nil"/>
              <w:bottom w:val="single" w:sz="4" w:space="0" w:color="auto"/>
              <w:right w:val="single" w:sz="8" w:space="0" w:color="FFFFFF"/>
            </w:tcBorders>
            <w:shd w:val="clear" w:color="000000" w:fill="376091"/>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b/>
                <w:bCs/>
                <w:color w:val="FFFFFF"/>
                <w:sz w:val="20"/>
                <w:szCs w:val="20"/>
              </w:rPr>
            </w:pPr>
            <w:r>
              <w:rPr>
                <w:rFonts w:ascii="Arial" w:eastAsia="Times New Roman" w:hAnsi="Arial" w:cs="Arial"/>
                <w:b/>
                <w:bCs/>
                <w:color w:val="FFFFFF"/>
                <w:sz w:val="20"/>
                <w:szCs w:val="20"/>
              </w:rPr>
              <w:t>Day-of</w:t>
            </w:r>
            <w:r w:rsidRPr="000B7C0D">
              <w:rPr>
                <w:rFonts w:ascii="Arial" w:eastAsia="Times New Roman" w:hAnsi="Arial" w:cs="Arial"/>
                <w:b/>
                <w:bCs/>
                <w:color w:val="FFFFFF"/>
                <w:sz w:val="20"/>
                <w:szCs w:val="20"/>
              </w:rPr>
              <w:t xml:space="preserve"> Week</w:t>
            </w:r>
          </w:p>
        </w:tc>
        <w:tc>
          <w:tcPr>
            <w:tcW w:w="1250" w:type="dxa"/>
            <w:tcBorders>
              <w:top w:val="single" w:sz="4" w:space="0" w:color="auto"/>
              <w:left w:val="nil"/>
              <w:bottom w:val="single" w:sz="4" w:space="0" w:color="auto"/>
              <w:right w:val="single" w:sz="8" w:space="0" w:color="FFFFFF"/>
            </w:tcBorders>
            <w:shd w:val="clear" w:color="000000" w:fill="376091"/>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b/>
                <w:bCs/>
                <w:color w:val="FFFFFF"/>
                <w:sz w:val="20"/>
                <w:szCs w:val="20"/>
              </w:rPr>
            </w:pPr>
            <w:r w:rsidRPr="000B7C0D">
              <w:rPr>
                <w:rFonts w:ascii="Arial" w:eastAsia="Times New Roman" w:hAnsi="Arial" w:cs="Arial"/>
                <w:b/>
                <w:bCs/>
                <w:color w:val="FFFFFF"/>
                <w:sz w:val="20"/>
                <w:szCs w:val="20"/>
              </w:rPr>
              <w:t>Number of Aggregators Dispatched</w:t>
            </w:r>
          </w:p>
        </w:tc>
        <w:tc>
          <w:tcPr>
            <w:tcW w:w="1212" w:type="dxa"/>
            <w:tcBorders>
              <w:top w:val="single" w:sz="4" w:space="0" w:color="auto"/>
              <w:left w:val="nil"/>
              <w:bottom w:val="single" w:sz="4" w:space="0" w:color="auto"/>
              <w:right w:val="single" w:sz="8" w:space="0" w:color="FFFFFF"/>
            </w:tcBorders>
            <w:shd w:val="clear" w:color="000000" w:fill="376091"/>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b/>
                <w:bCs/>
                <w:color w:val="FFFFFF"/>
                <w:sz w:val="20"/>
                <w:szCs w:val="20"/>
              </w:rPr>
            </w:pPr>
            <w:r w:rsidRPr="000B7C0D">
              <w:rPr>
                <w:rFonts w:ascii="Arial" w:eastAsia="Times New Roman" w:hAnsi="Arial" w:cs="Arial"/>
                <w:b/>
                <w:bCs/>
                <w:color w:val="FFFFFF"/>
                <w:sz w:val="20"/>
                <w:szCs w:val="20"/>
              </w:rPr>
              <w:t>Hours*</w:t>
            </w:r>
          </w:p>
        </w:tc>
        <w:tc>
          <w:tcPr>
            <w:tcW w:w="1210" w:type="dxa"/>
            <w:tcBorders>
              <w:top w:val="single" w:sz="4" w:space="0" w:color="auto"/>
              <w:left w:val="nil"/>
              <w:bottom w:val="single" w:sz="4" w:space="0" w:color="auto"/>
              <w:right w:val="single" w:sz="4" w:space="0" w:color="auto"/>
            </w:tcBorders>
            <w:shd w:val="clear" w:color="000000" w:fill="376091"/>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b/>
                <w:bCs/>
                <w:color w:val="FFFFFF"/>
                <w:sz w:val="20"/>
                <w:szCs w:val="20"/>
              </w:rPr>
            </w:pPr>
            <w:r w:rsidRPr="000B7C0D">
              <w:rPr>
                <w:rFonts w:ascii="Arial" w:eastAsia="Times New Roman" w:hAnsi="Arial" w:cs="Arial"/>
                <w:b/>
                <w:bCs/>
                <w:color w:val="FFFFFF"/>
                <w:sz w:val="20"/>
                <w:szCs w:val="20"/>
              </w:rPr>
              <w:t>Nominated MW</w:t>
            </w:r>
          </w:p>
        </w:tc>
      </w:tr>
      <w:tr w:rsidR="00EE7BB8" w:rsidRPr="000B7C0D" w:rsidTr="00A14074">
        <w:trPr>
          <w:trHeight w:val="288"/>
          <w:jc w:val="center"/>
        </w:trPr>
        <w:tc>
          <w:tcPr>
            <w:tcW w:w="906" w:type="dxa"/>
            <w:vMerge w:val="restar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AMP</w:t>
            </w:r>
          </w:p>
        </w:tc>
        <w:tc>
          <w:tcPr>
            <w:tcW w:w="931" w:type="dxa"/>
            <w:vMerge w:val="restart"/>
            <w:tcBorders>
              <w:top w:val="single" w:sz="4"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Day-ahead</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1-4 Hour</w:t>
            </w:r>
          </w:p>
        </w:tc>
        <w:tc>
          <w:tcPr>
            <w:tcW w:w="1306"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8/25/2011</w:t>
            </w:r>
          </w:p>
        </w:tc>
        <w:tc>
          <w:tcPr>
            <w:tcW w:w="1040"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Thu</w:t>
            </w:r>
          </w:p>
        </w:tc>
        <w:tc>
          <w:tcPr>
            <w:tcW w:w="1250"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w:t>
            </w:r>
          </w:p>
        </w:tc>
        <w:tc>
          <w:tcPr>
            <w:tcW w:w="1212"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3 - 5 PM</w:t>
            </w:r>
          </w:p>
        </w:tc>
        <w:tc>
          <w:tcPr>
            <w:tcW w:w="1210"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44.0</w:t>
            </w:r>
          </w:p>
        </w:tc>
      </w:tr>
      <w:tr w:rsidR="00EE7BB8" w:rsidRPr="000B7C0D" w:rsidTr="00A14074">
        <w:trPr>
          <w:trHeight w:val="288"/>
          <w:jc w:val="center"/>
        </w:trPr>
        <w:tc>
          <w:tcPr>
            <w:tcW w:w="906" w:type="dxa"/>
            <w:vMerge/>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31" w:type="dxa"/>
            <w:vMerge/>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000" w:type="dxa"/>
            <w:vMerge/>
            <w:tcBorders>
              <w:top w:val="single" w:sz="4" w:space="0" w:color="auto"/>
              <w:left w:val="single" w:sz="4" w:space="0" w:color="auto"/>
              <w:bottom w:val="single" w:sz="4" w:space="0" w:color="000000"/>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30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9/29/2011</w:t>
            </w:r>
          </w:p>
        </w:tc>
        <w:tc>
          <w:tcPr>
            <w:tcW w:w="10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Thu</w:t>
            </w:r>
          </w:p>
        </w:tc>
        <w:tc>
          <w:tcPr>
            <w:tcW w:w="125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w:t>
            </w:r>
          </w:p>
        </w:tc>
        <w:tc>
          <w:tcPr>
            <w:tcW w:w="12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3 - 5 PM</w:t>
            </w:r>
          </w:p>
        </w:tc>
        <w:tc>
          <w:tcPr>
            <w:tcW w:w="121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44.0</w:t>
            </w:r>
          </w:p>
        </w:tc>
      </w:tr>
      <w:tr w:rsidR="00EE7BB8" w:rsidRPr="000B7C0D" w:rsidTr="00A14074">
        <w:trPr>
          <w:trHeight w:val="288"/>
          <w:jc w:val="center"/>
        </w:trPr>
        <w:tc>
          <w:tcPr>
            <w:tcW w:w="906" w:type="dxa"/>
            <w:vMerge/>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31" w:type="dxa"/>
            <w:vMerge w:val="restart"/>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Day-of</w:t>
            </w:r>
          </w:p>
        </w:tc>
        <w:tc>
          <w:tcPr>
            <w:tcW w:w="1000" w:type="dxa"/>
            <w:vMerge w:val="restart"/>
            <w:tcBorders>
              <w:top w:val="nil"/>
              <w:left w:val="single" w:sz="4" w:space="0" w:color="auto"/>
              <w:bottom w:val="single" w:sz="4" w:space="0" w:color="000000"/>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1-4 Hour</w:t>
            </w:r>
          </w:p>
        </w:tc>
        <w:tc>
          <w:tcPr>
            <w:tcW w:w="130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8/25/2011</w:t>
            </w:r>
          </w:p>
        </w:tc>
        <w:tc>
          <w:tcPr>
            <w:tcW w:w="10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Thu</w:t>
            </w:r>
          </w:p>
        </w:tc>
        <w:tc>
          <w:tcPr>
            <w:tcW w:w="125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4</w:t>
            </w:r>
          </w:p>
        </w:tc>
        <w:tc>
          <w:tcPr>
            <w:tcW w:w="12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3 - 5 PM</w:t>
            </w:r>
          </w:p>
        </w:tc>
        <w:tc>
          <w:tcPr>
            <w:tcW w:w="121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162.6</w:t>
            </w:r>
          </w:p>
        </w:tc>
      </w:tr>
      <w:tr w:rsidR="00EE7BB8" w:rsidRPr="000B7C0D" w:rsidTr="00A14074">
        <w:trPr>
          <w:trHeight w:val="288"/>
          <w:jc w:val="center"/>
        </w:trPr>
        <w:tc>
          <w:tcPr>
            <w:tcW w:w="906" w:type="dxa"/>
            <w:vMerge/>
            <w:tcBorders>
              <w:top w:val="single" w:sz="4" w:space="0" w:color="auto"/>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31"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000" w:type="dxa"/>
            <w:vMerge/>
            <w:tcBorders>
              <w:top w:val="nil"/>
              <w:left w:val="single" w:sz="4" w:space="0" w:color="auto"/>
              <w:bottom w:val="single" w:sz="4" w:space="0" w:color="000000"/>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30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9/8/2011</w:t>
            </w:r>
          </w:p>
        </w:tc>
        <w:tc>
          <w:tcPr>
            <w:tcW w:w="10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Thu</w:t>
            </w:r>
          </w:p>
        </w:tc>
        <w:tc>
          <w:tcPr>
            <w:tcW w:w="125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w:t>
            </w:r>
          </w:p>
        </w:tc>
        <w:tc>
          <w:tcPr>
            <w:tcW w:w="12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3 - 5 PM</w:t>
            </w:r>
          </w:p>
        </w:tc>
        <w:tc>
          <w:tcPr>
            <w:tcW w:w="121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77.0</w:t>
            </w:r>
          </w:p>
        </w:tc>
      </w:tr>
      <w:tr w:rsidR="00EE7BB8" w:rsidRPr="000B7C0D" w:rsidTr="00A14074">
        <w:trPr>
          <w:trHeight w:val="288"/>
          <w:jc w:val="center"/>
        </w:trPr>
        <w:tc>
          <w:tcPr>
            <w:tcW w:w="906" w:type="dxa"/>
            <w:vMerge w:val="restart"/>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CBP</w:t>
            </w:r>
          </w:p>
        </w:tc>
        <w:tc>
          <w:tcPr>
            <w:tcW w:w="931" w:type="dxa"/>
            <w:vMerge w:val="restart"/>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Day-ahead</w:t>
            </w:r>
          </w:p>
        </w:tc>
        <w:tc>
          <w:tcPr>
            <w:tcW w:w="1000" w:type="dxa"/>
            <w:vMerge w:val="restart"/>
            <w:tcBorders>
              <w:top w:val="nil"/>
              <w:left w:val="single" w:sz="4" w:space="0" w:color="auto"/>
              <w:bottom w:val="single" w:sz="4" w:space="0" w:color="000000"/>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1-4 Hour</w:t>
            </w:r>
          </w:p>
        </w:tc>
        <w:tc>
          <w:tcPr>
            <w:tcW w:w="130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7/5/2011</w:t>
            </w:r>
          </w:p>
        </w:tc>
        <w:tc>
          <w:tcPr>
            <w:tcW w:w="10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Tue</w:t>
            </w:r>
          </w:p>
        </w:tc>
        <w:tc>
          <w:tcPr>
            <w:tcW w:w="125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6</w:t>
            </w:r>
          </w:p>
        </w:tc>
        <w:tc>
          <w:tcPr>
            <w:tcW w:w="12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2 - 5 PM</w:t>
            </w:r>
          </w:p>
        </w:tc>
        <w:tc>
          <w:tcPr>
            <w:tcW w:w="121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17.9</w:t>
            </w:r>
          </w:p>
        </w:tc>
      </w:tr>
      <w:tr w:rsidR="00EE7BB8" w:rsidRPr="000B7C0D" w:rsidTr="00A14074">
        <w:trPr>
          <w:trHeight w:val="288"/>
          <w:jc w:val="center"/>
        </w:trPr>
        <w:tc>
          <w:tcPr>
            <w:tcW w:w="906"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31"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000" w:type="dxa"/>
            <w:vMerge/>
            <w:tcBorders>
              <w:top w:val="nil"/>
              <w:left w:val="single" w:sz="4" w:space="0" w:color="auto"/>
              <w:bottom w:val="single" w:sz="4" w:space="0" w:color="000000"/>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30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7/6/2011</w:t>
            </w:r>
          </w:p>
        </w:tc>
        <w:tc>
          <w:tcPr>
            <w:tcW w:w="10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Wed</w:t>
            </w:r>
          </w:p>
        </w:tc>
        <w:tc>
          <w:tcPr>
            <w:tcW w:w="125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6</w:t>
            </w:r>
          </w:p>
        </w:tc>
        <w:tc>
          <w:tcPr>
            <w:tcW w:w="12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4 - 5 PM</w:t>
            </w:r>
          </w:p>
        </w:tc>
        <w:tc>
          <w:tcPr>
            <w:tcW w:w="121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17.9</w:t>
            </w:r>
          </w:p>
        </w:tc>
      </w:tr>
      <w:tr w:rsidR="00EE7BB8" w:rsidRPr="000B7C0D" w:rsidTr="00A14074">
        <w:trPr>
          <w:trHeight w:val="288"/>
          <w:jc w:val="center"/>
        </w:trPr>
        <w:tc>
          <w:tcPr>
            <w:tcW w:w="906"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31"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000" w:type="dxa"/>
            <w:vMerge/>
            <w:tcBorders>
              <w:top w:val="nil"/>
              <w:left w:val="single" w:sz="4" w:space="0" w:color="auto"/>
              <w:bottom w:val="single" w:sz="4" w:space="0" w:color="000000"/>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30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8/25/2011</w:t>
            </w:r>
          </w:p>
        </w:tc>
        <w:tc>
          <w:tcPr>
            <w:tcW w:w="10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Thu</w:t>
            </w:r>
          </w:p>
        </w:tc>
        <w:tc>
          <w:tcPr>
            <w:tcW w:w="125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7</w:t>
            </w:r>
          </w:p>
        </w:tc>
        <w:tc>
          <w:tcPr>
            <w:tcW w:w="12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3 - 5 PM</w:t>
            </w:r>
          </w:p>
        </w:tc>
        <w:tc>
          <w:tcPr>
            <w:tcW w:w="121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19.1</w:t>
            </w:r>
          </w:p>
        </w:tc>
      </w:tr>
      <w:tr w:rsidR="00EE7BB8" w:rsidRPr="000B7C0D" w:rsidTr="00A14074">
        <w:trPr>
          <w:trHeight w:val="288"/>
          <w:jc w:val="center"/>
        </w:trPr>
        <w:tc>
          <w:tcPr>
            <w:tcW w:w="906"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31"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000" w:type="dxa"/>
            <w:vMerge/>
            <w:tcBorders>
              <w:top w:val="nil"/>
              <w:left w:val="single" w:sz="4" w:space="0" w:color="auto"/>
              <w:bottom w:val="single" w:sz="4" w:space="0" w:color="000000"/>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30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8/26/2011</w:t>
            </w:r>
          </w:p>
        </w:tc>
        <w:tc>
          <w:tcPr>
            <w:tcW w:w="10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Fri</w:t>
            </w:r>
          </w:p>
        </w:tc>
        <w:tc>
          <w:tcPr>
            <w:tcW w:w="125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7</w:t>
            </w:r>
          </w:p>
        </w:tc>
        <w:tc>
          <w:tcPr>
            <w:tcW w:w="12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3 - 5 PM</w:t>
            </w:r>
          </w:p>
        </w:tc>
        <w:tc>
          <w:tcPr>
            <w:tcW w:w="121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19.1</w:t>
            </w:r>
          </w:p>
        </w:tc>
      </w:tr>
      <w:tr w:rsidR="00EE7BB8" w:rsidRPr="000B7C0D" w:rsidTr="00A14074">
        <w:trPr>
          <w:trHeight w:val="288"/>
          <w:jc w:val="center"/>
        </w:trPr>
        <w:tc>
          <w:tcPr>
            <w:tcW w:w="906"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31"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000" w:type="dxa"/>
            <w:vMerge/>
            <w:tcBorders>
              <w:top w:val="nil"/>
              <w:left w:val="single" w:sz="4" w:space="0" w:color="auto"/>
              <w:bottom w:val="single" w:sz="4" w:space="0" w:color="000000"/>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30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9/7/2011</w:t>
            </w:r>
          </w:p>
        </w:tc>
        <w:tc>
          <w:tcPr>
            <w:tcW w:w="10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Wed</w:t>
            </w:r>
          </w:p>
        </w:tc>
        <w:tc>
          <w:tcPr>
            <w:tcW w:w="125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7</w:t>
            </w:r>
          </w:p>
        </w:tc>
        <w:tc>
          <w:tcPr>
            <w:tcW w:w="12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3 - 6 PM</w:t>
            </w:r>
          </w:p>
        </w:tc>
        <w:tc>
          <w:tcPr>
            <w:tcW w:w="121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19.9</w:t>
            </w:r>
          </w:p>
        </w:tc>
      </w:tr>
      <w:tr w:rsidR="00EE7BB8" w:rsidRPr="000B7C0D" w:rsidTr="00A14074">
        <w:trPr>
          <w:trHeight w:val="288"/>
          <w:jc w:val="center"/>
        </w:trPr>
        <w:tc>
          <w:tcPr>
            <w:tcW w:w="906"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31"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000" w:type="dxa"/>
            <w:vMerge/>
            <w:tcBorders>
              <w:top w:val="nil"/>
              <w:left w:val="single" w:sz="4" w:space="0" w:color="auto"/>
              <w:bottom w:val="single" w:sz="4" w:space="0" w:color="000000"/>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30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9/21/2011</w:t>
            </w:r>
          </w:p>
        </w:tc>
        <w:tc>
          <w:tcPr>
            <w:tcW w:w="10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Wed</w:t>
            </w:r>
          </w:p>
        </w:tc>
        <w:tc>
          <w:tcPr>
            <w:tcW w:w="125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7</w:t>
            </w:r>
          </w:p>
        </w:tc>
        <w:tc>
          <w:tcPr>
            <w:tcW w:w="12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3 - 5 PM</w:t>
            </w:r>
          </w:p>
        </w:tc>
        <w:tc>
          <w:tcPr>
            <w:tcW w:w="121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19.9</w:t>
            </w:r>
          </w:p>
        </w:tc>
      </w:tr>
      <w:tr w:rsidR="00EE7BB8" w:rsidRPr="000B7C0D" w:rsidTr="00A14074">
        <w:trPr>
          <w:trHeight w:val="288"/>
          <w:jc w:val="center"/>
        </w:trPr>
        <w:tc>
          <w:tcPr>
            <w:tcW w:w="906"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31"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000" w:type="dxa"/>
            <w:vMerge/>
            <w:tcBorders>
              <w:top w:val="nil"/>
              <w:left w:val="single" w:sz="4" w:space="0" w:color="auto"/>
              <w:bottom w:val="single" w:sz="4" w:space="0" w:color="000000"/>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30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9/22/2011</w:t>
            </w:r>
          </w:p>
        </w:tc>
        <w:tc>
          <w:tcPr>
            <w:tcW w:w="10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Thu</w:t>
            </w:r>
          </w:p>
        </w:tc>
        <w:tc>
          <w:tcPr>
            <w:tcW w:w="125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7</w:t>
            </w:r>
          </w:p>
        </w:tc>
        <w:tc>
          <w:tcPr>
            <w:tcW w:w="12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3 - 5 PM</w:t>
            </w:r>
          </w:p>
        </w:tc>
        <w:tc>
          <w:tcPr>
            <w:tcW w:w="121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19.9</w:t>
            </w:r>
          </w:p>
        </w:tc>
      </w:tr>
      <w:tr w:rsidR="00EE7BB8" w:rsidRPr="000B7C0D" w:rsidTr="00A14074">
        <w:trPr>
          <w:trHeight w:val="288"/>
          <w:jc w:val="center"/>
        </w:trPr>
        <w:tc>
          <w:tcPr>
            <w:tcW w:w="906"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31" w:type="dxa"/>
            <w:vMerge w:val="restart"/>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Day-of</w:t>
            </w:r>
          </w:p>
        </w:tc>
        <w:tc>
          <w:tcPr>
            <w:tcW w:w="1000" w:type="dxa"/>
            <w:vMerge w:val="restart"/>
            <w:tcBorders>
              <w:top w:val="nil"/>
              <w:left w:val="single" w:sz="4" w:space="0" w:color="auto"/>
              <w:bottom w:val="single" w:sz="4" w:space="0" w:color="000000"/>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1-4 Hour</w:t>
            </w:r>
          </w:p>
        </w:tc>
        <w:tc>
          <w:tcPr>
            <w:tcW w:w="130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7/5/2011</w:t>
            </w:r>
          </w:p>
        </w:tc>
        <w:tc>
          <w:tcPr>
            <w:tcW w:w="10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Tue</w:t>
            </w:r>
          </w:p>
        </w:tc>
        <w:tc>
          <w:tcPr>
            <w:tcW w:w="125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4</w:t>
            </w:r>
          </w:p>
        </w:tc>
        <w:tc>
          <w:tcPr>
            <w:tcW w:w="12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4 - 5 PM</w:t>
            </w:r>
          </w:p>
        </w:tc>
        <w:tc>
          <w:tcPr>
            <w:tcW w:w="121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16.7</w:t>
            </w:r>
          </w:p>
        </w:tc>
      </w:tr>
      <w:tr w:rsidR="00EE7BB8" w:rsidRPr="000B7C0D" w:rsidTr="00A14074">
        <w:trPr>
          <w:trHeight w:val="288"/>
          <w:jc w:val="center"/>
        </w:trPr>
        <w:tc>
          <w:tcPr>
            <w:tcW w:w="906"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31"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000" w:type="dxa"/>
            <w:vMerge/>
            <w:tcBorders>
              <w:top w:val="nil"/>
              <w:left w:val="single" w:sz="4" w:space="0" w:color="auto"/>
              <w:bottom w:val="single" w:sz="4" w:space="0" w:color="000000"/>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30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9/21/2011</w:t>
            </w:r>
          </w:p>
        </w:tc>
        <w:tc>
          <w:tcPr>
            <w:tcW w:w="10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Wed</w:t>
            </w:r>
          </w:p>
        </w:tc>
        <w:tc>
          <w:tcPr>
            <w:tcW w:w="125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4</w:t>
            </w:r>
          </w:p>
        </w:tc>
        <w:tc>
          <w:tcPr>
            <w:tcW w:w="12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3 - 5 PM</w:t>
            </w:r>
          </w:p>
        </w:tc>
        <w:tc>
          <w:tcPr>
            <w:tcW w:w="121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13.5</w:t>
            </w:r>
          </w:p>
        </w:tc>
      </w:tr>
      <w:tr w:rsidR="00EE7BB8" w:rsidRPr="000B7C0D" w:rsidTr="00A14074">
        <w:trPr>
          <w:trHeight w:val="288"/>
          <w:jc w:val="center"/>
        </w:trPr>
        <w:tc>
          <w:tcPr>
            <w:tcW w:w="906"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31" w:type="dxa"/>
            <w:vMerge/>
            <w:tcBorders>
              <w:top w:val="nil"/>
              <w:left w:val="single" w:sz="4" w:space="0" w:color="auto"/>
              <w:bottom w:val="single" w:sz="4" w:space="0" w:color="auto"/>
              <w:right w:val="single" w:sz="4" w:space="0" w:color="auto"/>
            </w:tcBorders>
            <w:shd w:val="clear" w:color="auto" w:fill="auto"/>
            <w:tcMar>
              <w:left w:w="29" w:type="dxa"/>
              <w:right w:w="29"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00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2-6 Hour</w:t>
            </w:r>
          </w:p>
        </w:tc>
        <w:tc>
          <w:tcPr>
            <w:tcW w:w="1306"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9/21/2011</w:t>
            </w:r>
          </w:p>
        </w:tc>
        <w:tc>
          <w:tcPr>
            <w:tcW w:w="104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Wed</w:t>
            </w:r>
          </w:p>
        </w:tc>
        <w:tc>
          <w:tcPr>
            <w:tcW w:w="125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1</w:t>
            </w:r>
          </w:p>
        </w:tc>
        <w:tc>
          <w:tcPr>
            <w:tcW w:w="1212"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3 - 5 PM</w:t>
            </w:r>
          </w:p>
        </w:tc>
        <w:tc>
          <w:tcPr>
            <w:tcW w:w="1210" w:type="dxa"/>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0B7C0D">
              <w:rPr>
                <w:rFonts w:ascii="Arial" w:eastAsia="Times New Roman" w:hAnsi="Arial" w:cs="Arial"/>
                <w:color w:val="000000"/>
                <w:sz w:val="18"/>
                <w:szCs w:val="18"/>
              </w:rPr>
              <w:t>4.0</w:t>
            </w:r>
          </w:p>
        </w:tc>
      </w:tr>
    </w:tbl>
    <w:p w:rsidR="001348A1" w:rsidRPr="001348A1" w:rsidRDefault="001348A1" w:rsidP="00BA25E2">
      <w:pPr>
        <w:pStyle w:val="Heading2"/>
        <w:spacing w:before="360"/>
        <w:ind w:left="547" w:hanging="547"/>
      </w:pPr>
      <w:bookmarkStart w:id="94" w:name="_Toc319671839"/>
      <w:bookmarkStart w:id="95" w:name="_Toc319672087"/>
      <w:bookmarkStart w:id="96" w:name="_Toc319651451"/>
      <w:bookmarkStart w:id="97" w:name="_Toc319656783"/>
      <w:bookmarkStart w:id="98" w:name="_Toc319666694"/>
      <w:bookmarkStart w:id="99" w:name="_Toc319672089"/>
      <w:bookmarkStart w:id="100" w:name="_Toc326074011"/>
      <w:bookmarkEnd w:id="94"/>
      <w:bookmarkEnd w:id="95"/>
      <w:bookmarkEnd w:id="96"/>
      <w:bookmarkEnd w:id="97"/>
      <w:bookmarkEnd w:id="98"/>
      <w:bookmarkEnd w:id="99"/>
      <w:r>
        <w:t>Aggregator Managed Portfolio Load Impacts</w:t>
      </w:r>
      <w:bookmarkEnd w:id="100"/>
    </w:p>
    <w:p w:rsidR="00EB1C3A" w:rsidRDefault="001D6CCB">
      <w:pPr>
        <w:pStyle w:val="BodyParagraph"/>
      </w:pPr>
      <w:r w:rsidRPr="00050374">
        <w:t xml:space="preserve">Table </w:t>
      </w:r>
      <w:r w:rsidR="00A52143">
        <w:t>4</w:t>
      </w:r>
      <w:r w:rsidRPr="00050374">
        <w:t>-2</w:t>
      </w:r>
      <w:r w:rsidR="00A5705A" w:rsidRPr="00050374">
        <w:t xml:space="preserve"> provides the estimated ex</w:t>
      </w:r>
      <w:r w:rsidR="004F6B7C" w:rsidRPr="00050374">
        <w:t xml:space="preserve"> </w:t>
      </w:r>
      <w:r w:rsidR="00A5705A" w:rsidRPr="00050374">
        <w:t xml:space="preserve">post load impacts for each event day and </w:t>
      </w:r>
      <w:r w:rsidR="00A462D3">
        <w:t xml:space="preserve">for </w:t>
      </w:r>
      <w:r w:rsidR="00A5705A" w:rsidRPr="00050374">
        <w:t>the average event</w:t>
      </w:r>
      <w:r w:rsidR="00F56ADB">
        <w:t xml:space="preserve"> </w:t>
      </w:r>
      <w:r w:rsidR="00A5705A" w:rsidRPr="00050374">
        <w:t xml:space="preserve">in 2011. </w:t>
      </w:r>
      <w:r w:rsidR="006A1974" w:rsidRPr="00050374">
        <w:t xml:space="preserve"> </w:t>
      </w:r>
      <w:r w:rsidR="00567FEB">
        <w:t>The results for each event day</w:t>
      </w:r>
      <w:r w:rsidR="00567FEB" w:rsidRPr="00280356">
        <w:t xml:space="preserve"> and for the average event</w:t>
      </w:r>
      <w:r w:rsidR="00567FEB">
        <w:t xml:space="preserve"> are reported separately</w:t>
      </w:r>
      <w:r w:rsidR="00567FEB" w:rsidRPr="00280356">
        <w:t xml:space="preserve"> for each program and </w:t>
      </w:r>
      <w:r w:rsidR="00567FEB">
        <w:t>product type</w:t>
      </w:r>
      <w:r w:rsidR="00567FEB" w:rsidRPr="00280356">
        <w:t>.</w:t>
      </w:r>
      <w:r w:rsidR="00567FEB">
        <w:t xml:space="preserve">  </w:t>
      </w:r>
      <w:r w:rsidR="00EB1C3A">
        <w:t>All four events were test events where</w:t>
      </w:r>
      <w:r w:rsidR="006A1974" w:rsidRPr="00050374">
        <w:t xml:space="preserve"> </w:t>
      </w:r>
      <w:r w:rsidR="001B3E5B" w:rsidRPr="00050374">
        <w:t xml:space="preserve">customers were dispatched </w:t>
      </w:r>
      <w:r w:rsidR="001F00DB">
        <w:t>for the period from 3</w:t>
      </w:r>
      <w:r w:rsidR="006A1974" w:rsidRPr="00050374">
        <w:t xml:space="preserve"> PM </w:t>
      </w:r>
      <w:r w:rsidR="000761CF">
        <w:t>to</w:t>
      </w:r>
      <w:r w:rsidR="004E759D" w:rsidRPr="00050374">
        <w:t xml:space="preserve"> </w:t>
      </w:r>
      <w:r w:rsidR="006A1974" w:rsidRPr="00050374">
        <w:t>5 PM</w:t>
      </w:r>
      <w:r w:rsidR="009674D0" w:rsidRPr="00050374">
        <w:t>.</w:t>
      </w:r>
      <w:r w:rsidR="004E759D">
        <w:t xml:space="preserve">  </w:t>
      </w:r>
    </w:p>
    <w:p w:rsidR="00A73F2B" w:rsidRDefault="000E20C8">
      <w:pPr>
        <w:pStyle w:val="BodyParagraph"/>
      </w:pPr>
      <w:r w:rsidRPr="00050374">
        <w:t xml:space="preserve">On average, accounts with </w:t>
      </w:r>
      <w:r w:rsidR="00A5705A" w:rsidRPr="00050374">
        <w:t xml:space="preserve">day-ahead </w:t>
      </w:r>
      <w:r w:rsidRPr="00050374">
        <w:t xml:space="preserve">notification reduced </w:t>
      </w:r>
      <w:r w:rsidR="00CF5088" w:rsidRPr="00050374">
        <w:t>demand by</w:t>
      </w:r>
      <w:r w:rsidR="009827A9">
        <w:t xml:space="preserve"> </w:t>
      </w:r>
      <w:r w:rsidR="00D649A8">
        <w:t>5</w:t>
      </w:r>
      <w:r w:rsidR="003C584F">
        <w:t>2</w:t>
      </w:r>
      <w:r w:rsidR="00D649A8">
        <w:t>.</w:t>
      </w:r>
      <w:r w:rsidR="003C584F">
        <w:t>8</w:t>
      </w:r>
      <w:r w:rsidR="00EB1C3A">
        <w:t xml:space="preserve"> MW, a</w:t>
      </w:r>
      <w:r w:rsidR="00CF5088" w:rsidRPr="00050374">
        <w:t xml:space="preserve"> 34</w:t>
      </w:r>
      <w:r w:rsidR="001B3E5B" w:rsidRPr="00050374">
        <w:t>%</w:t>
      </w:r>
      <w:r w:rsidR="00EB1C3A">
        <w:t xml:space="preserve"> reduction in loads</w:t>
      </w:r>
      <w:r w:rsidR="007D49CB" w:rsidRPr="00050374">
        <w:t xml:space="preserve">. </w:t>
      </w:r>
      <w:r w:rsidR="00CC32FB" w:rsidRPr="00050374">
        <w:t xml:space="preserve"> </w:t>
      </w:r>
      <w:r w:rsidR="00EB1C3A">
        <w:t>They delivered larger demand reductions on September 29, when PG&amp;E re-tested their performance.  T</w:t>
      </w:r>
      <w:r w:rsidR="004D4422">
        <w:t xml:space="preserve">he two events for customers with </w:t>
      </w:r>
      <w:r w:rsidR="00F95446">
        <w:t>day</w:t>
      </w:r>
      <w:r w:rsidR="000761CF">
        <w:t>-of</w:t>
      </w:r>
      <w:r w:rsidR="00F95446">
        <w:t xml:space="preserve"> notification</w:t>
      </w:r>
      <w:r w:rsidR="004D4422">
        <w:t xml:space="preserve"> are not </w:t>
      </w:r>
      <w:r w:rsidR="00043BC0">
        <w:t xml:space="preserve">directly </w:t>
      </w:r>
      <w:r w:rsidR="004D4422">
        <w:t>comparable.  PG&amp;E dispatched a single aggregator with a number of smaller accounts on September 8 that generally provided smaller percent demand reductions.  The August 25 event better reflects the demand reduction</w:t>
      </w:r>
      <w:r w:rsidR="00F56ADB">
        <w:t xml:space="preserve"> capability</w:t>
      </w:r>
      <w:r w:rsidR="004D4422">
        <w:t xml:space="preserve"> for the program since all aggregator</w:t>
      </w:r>
      <w:r w:rsidR="00043BC0">
        <w:t>s</w:t>
      </w:r>
      <w:r w:rsidR="004D4422">
        <w:t xml:space="preserve"> were jointly dispatched.  In total, </w:t>
      </w:r>
      <w:r w:rsidR="00EB1C3A">
        <w:t>same-</w:t>
      </w:r>
      <w:r w:rsidR="004D4422">
        <w:t>day notification customers delivered 1</w:t>
      </w:r>
      <w:r w:rsidR="003C584F">
        <w:t>41</w:t>
      </w:r>
      <w:r w:rsidR="004D4422">
        <w:t xml:space="preserve"> MW and reduced demand by </w:t>
      </w:r>
      <w:r w:rsidR="00D649A8">
        <w:t>2</w:t>
      </w:r>
      <w:r w:rsidR="003C584F">
        <w:t>6</w:t>
      </w:r>
      <w:r w:rsidR="00D649A8">
        <w:t>.</w:t>
      </w:r>
      <w:r w:rsidR="003C584F">
        <w:t>9</w:t>
      </w:r>
      <w:r w:rsidR="004D4422">
        <w:t xml:space="preserve">% during the event. </w:t>
      </w:r>
      <w:r w:rsidR="000761CF">
        <w:t xml:space="preserve"> </w:t>
      </w:r>
      <w:r w:rsidR="00567FEB">
        <w:t xml:space="preserve">On August 25, when </w:t>
      </w:r>
      <w:r w:rsidR="00D60043">
        <w:t xml:space="preserve">both the day-of and day-ahead </w:t>
      </w:r>
      <w:r w:rsidR="00567FEB">
        <w:t xml:space="preserve">AMP resources were jointly dispatched, the program delivered an aggregate load reduction of </w:t>
      </w:r>
      <w:r w:rsidR="003C584F">
        <w:t>187</w:t>
      </w:r>
      <w:r w:rsidR="00567FEB">
        <w:t xml:space="preserve"> MW.  </w:t>
      </w:r>
      <w:r w:rsidR="00AA39FA">
        <w:br w:type="page"/>
      </w:r>
    </w:p>
    <w:p w:rsidR="00A5705A" w:rsidRDefault="00A5705A" w:rsidP="00BA25E2">
      <w:pPr>
        <w:pStyle w:val="TableFigureCaption"/>
        <w:rPr>
          <w:rStyle w:val="Strong"/>
          <w:b/>
          <w:bCs w:val="0"/>
        </w:rPr>
      </w:pPr>
      <w:r w:rsidRPr="00050374">
        <w:rPr>
          <w:rStyle w:val="Strong"/>
          <w:b/>
          <w:bCs w:val="0"/>
        </w:rPr>
        <w:lastRenderedPageBreak/>
        <w:t xml:space="preserve">Table </w:t>
      </w:r>
      <w:r w:rsidR="00A52143">
        <w:rPr>
          <w:rStyle w:val="Strong"/>
          <w:b/>
          <w:bCs w:val="0"/>
        </w:rPr>
        <w:t>4</w:t>
      </w:r>
      <w:r w:rsidRPr="00050374">
        <w:rPr>
          <w:rStyle w:val="Strong"/>
          <w:b/>
          <w:bCs w:val="0"/>
        </w:rPr>
        <w:t>-</w:t>
      </w:r>
      <w:r w:rsidR="001D6CCB" w:rsidRPr="00050374">
        <w:rPr>
          <w:rStyle w:val="Strong"/>
          <w:b/>
          <w:bCs w:val="0"/>
        </w:rPr>
        <w:t>2</w:t>
      </w:r>
      <w:r w:rsidRPr="00050374">
        <w:rPr>
          <w:rStyle w:val="Strong"/>
          <w:b/>
          <w:bCs w:val="0"/>
        </w:rPr>
        <w:t>:</w:t>
      </w:r>
      <w:r w:rsidR="00974C03">
        <w:rPr>
          <w:rStyle w:val="Strong"/>
          <w:b/>
          <w:bCs w:val="0"/>
        </w:rPr>
        <w:t xml:space="preserve"> </w:t>
      </w:r>
      <w:r w:rsidRPr="00050374">
        <w:rPr>
          <w:rStyle w:val="Strong"/>
          <w:b/>
          <w:bCs w:val="0"/>
        </w:rPr>
        <w:t>Estimated Ex</w:t>
      </w:r>
      <w:r w:rsidR="004F6B7C" w:rsidRPr="00050374">
        <w:rPr>
          <w:rStyle w:val="Strong"/>
          <w:b/>
          <w:bCs w:val="0"/>
        </w:rPr>
        <w:t xml:space="preserve"> </w:t>
      </w:r>
      <w:r w:rsidRPr="00050374">
        <w:rPr>
          <w:rStyle w:val="Strong"/>
          <w:b/>
          <w:bCs w:val="0"/>
        </w:rPr>
        <w:t>Post Load Impacts by Event Day</w:t>
      </w:r>
      <w:r w:rsidRPr="00050374">
        <w:rPr>
          <w:rStyle w:val="Strong"/>
          <w:b/>
          <w:bCs w:val="0"/>
        </w:rPr>
        <w:br/>
        <w:t xml:space="preserve">2011 PG&amp;E AMP </w:t>
      </w:r>
      <w:r w:rsidR="00D60043">
        <w:rPr>
          <w:rStyle w:val="Strong"/>
          <w:b/>
          <w:bCs w:val="0"/>
        </w:rPr>
        <w:t>Event</w:t>
      </w:r>
    </w:p>
    <w:tbl>
      <w:tblPr>
        <w:tblW w:w="9424" w:type="dxa"/>
        <w:jc w:val="center"/>
        <w:tblInd w:w="95" w:type="dxa"/>
        <w:tblLayout w:type="fixed"/>
        <w:tblCellMar>
          <w:left w:w="0" w:type="dxa"/>
          <w:right w:w="0" w:type="dxa"/>
        </w:tblCellMar>
        <w:tblLook w:val="04A0"/>
      </w:tblPr>
      <w:tblGrid>
        <w:gridCol w:w="810"/>
        <w:gridCol w:w="1017"/>
        <w:gridCol w:w="693"/>
        <w:gridCol w:w="990"/>
        <w:gridCol w:w="1080"/>
        <w:gridCol w:w="1080"/>
        <w:gridCol w:w="1080"/>
        <w:gridCol w:w="1067"/>
        <w:gridCol w:w="720"/>
        <w:gridCol w:w="887"/>
      </w:tblGrid>
      <w:tr w:rsidR="00A03C0E" w:rsidRPr="00A03C0E" w:rsidTr="00A03C0E">
        <w:trPr>
          <w:trHeight w:val="828"/>
          <w:jc w:val="center"/>
        </w:trPr>
        <w:tc>
          <w:tcPr>
            <w:tcW w:w="810" w:type="dxa"/>
            <w:tcBorders>
              <w:top w:val="single" w:sz="4" w:space="0" w:color="auto"/>
              <w:left w:val="single" w:sz="4" w:space="0" w:color="auto"/>
              <w:bottom w:val="single" w:sz="4" w:space="0" w:color="auto"/>
              <w:right w:val="single" w:sz="4" w:space="0" w:color="FFFFFF"/>
            </w:tcBorders>
            <w:shd w:val="clear" w:color="000000" w:fill="376091"/>
            <w:vAlign w:val="bottom"/>
            <w:hideMark/>
          </w:tcPr>
          <w:p w:rsidR="00A03C0E" w:rsidRPr="00A03C0E" w:rsidRDefault="00A03C0E" w:rsidP="00A03C0E">
            <w:pPr>
              <w:pStyle w:val="TableHeader"/>
              <w:rPr>
                <w:rFonts w:eastAsia="Times New Roman"/>
                <w:sz w:val="16"/>
                <w:szCs w:val="16"/>
              </w:rPr>
            </w:pPr>
            <w:r w:rsidRPr="00A03C0E">
              <w:rPr>
                <w:rFonts w:eastAsia="Times New Roman"/>
                <w:sz w:val="16"/>
                <w:szCs w:val="16"/>
              </w:rPr>
              <w:t>Program</w:t>
            </w:r>
          </w:p>
        </w:tc>
        <w:tc>
          <w:tcPr>
            <w:tcW w:w="1017"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pStyle w:val="TableHeader"/>
              <w:rPr>
                <w:rFonts w:eastAsia="Times New Roman"/>
                <w:sz w:val="16"/>
                <w:szCs w:val="16"/>
              </w:rPr>
            </w:pPr>
            <w:r w:rsidRPr="00A03C0E">
              <w:rPr>
                <w:rFonts w:eastAsia="Times New Roman"/>
                <w:sz w:val="16"/>
                <w:szCs w:val="16"/>
              </w:rPr>
              <w:t>Event Date</w:t>
            </w:r>
          </w:p>
        </w:tc>
        <w:tc>
          <w:tcPr>
            <w:tcW w:w="693"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pStyle w:val="TableHeader"/>
              <w:rPr>
                <w:rFonts w:eastAsia="Times New Roman"/>
                <w:sz w:val="16"/>
                <w:szCs w:val="16"/>
              </w:rPr>
            </w:pPr>
            <w:r w:rsidRPr="00A03C0E">
              <w:rPr>
                <w:rFonts w:eastAsia="Times New Roman"/>
                <w:sz w:val="16"/>
                <w:szCs w:val="16"/>
              </w:rPr>
              <w:t>Accts</w:t>
            </w:r>
          </w:p>
        </w:tc>
        <w:tc>
          <w:tcPr>
            <w:tcW w:w="990"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pStyle w:val="TableHeader"/>
              <w:rPr>
                <w:rFonts w:eastAsia="Times New Roman"/>
                <w:sz w:val="16"/>
                <w:szCs w:val="16"/>
              </w:rPr>
            </w:pPr>
            <w:r w:rsidRPr="00A03C0E">
              <w:rPr>
                <w:rFonts w:eastAsia="Times New Roman"/>
                <w:sz w:val="16"/>
                <w:szCs w:val="16"/>
              </w:rPr>
              <w:t>Avg. Reference Load (kW)</w:t>
            </w:r>
          </w:p>
        </w:tc>
        <w:tc>
          <w:tcPr>
            <w:tcW w:w="1080"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pStyle w:val="TableHeader"/>
              <w:rPr>
                <w:rFonts w:eastAsia="Times New Roman"/>
                <w:sz w:val="16"/>
                <w:szCs w:val="16"/>
              </w:rPr>
            </w:pPr>
            <w:r w:rsidRPr="00A03C0E">
              <w:rPr>
                <w:rFonts w:eastAsia="Times New Roman"/>
                <w:sz w:val="16"/>
                <w:szCs w:val="16"/>
              </w:rPr>
              <w:t>Avg. Load Reduction (kW)</w:t>
            </w:r>
          </w:p>
        </w:tc>
        <w:tc>
          <w:tcPr>
            <w:tcW w:w="1080"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pStyle w:val="TableHeader"/>
              <w:rPr>
                <w:rFonts w:eastAsia="Times New Roman"/>
                <w:sz w:val="16"/>
                <w:szCs w:val="16"/>
              </w:rPr>
            </w:pPr>
            <w:r w:rsidRPr="00A03C0E">
              <w:rPr>
                <w:rFonts w:eastAsia="Times New Roman"/>
                <w:sz w:val="16"/>
                <w:szCs w:val="16"/>
              </w:rPr>
              <w:t>% Load Reduction</w:t>
            </w:r>
          </w:p>
        </w:tc>
        <w:tc>
          <w:tcPr>
            <w:tcW w:w="1080"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pStyle w:val="TableHeader"/>
              <w:rPr>
                <w:rFonts w:eastAsia="Times New Roman"/>
                <w:sz w:val="16"/>
                <w:szCs w:val="16"/>
              </w:rPr>
            </w:pPr>
            <w:r w:rsidRPr="00A03C0E">
              <w:rPr>
                <w:rFonts w:eastAsia="Times New Roman"/>
                <w:sz w:val="16"/>
                <w:szCs w:val="16"/>
              </w:rPr>
              <w:t>Aggregate Reference Load (MW)</w:t>
            </w:r>
          </w:p>
        </w:tc>
        <w:tc>
          <w:tcPr>
            <w:tcW w:w="1067"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pStyle w:val="TableHeader"/>
              <w:rPr>
                <w:rFonts w:eastAsia="Times New Roman"/>
                <w:sz w:val="16"/>
                <w:szCs w:val="16"/>
              </w:rPr>
            </w:pPr>
            <w:r w:rsidRPr="00A03C0E">
              <w:rPr>
                <w:rFonts w:eastAsia="Times New Roman"/>
                <w:sz w:val="16"/>
                <w:szCs w:val="16"/>
              </w:rPr>
              <w:t>Aggregate Load Impact (MW)</w:t>
            </w:r>
          </w:p>
        </w:tc>
        <w:tc>
          <w:tcPr>
            <w:tcW w:w="720" w:type="dxa"/>
            <w:tcBorders>
              <w:top w:val="single" w:sz="4" w:space="0" w:color="auto"/>
              <w:left w:val="nil"/>
              <w:bottom w:val="single" w:sz="4" w:space="0" w:color="auto"/>
              <w:right w:val="single" w:sz="4" w:space="0" w:color="auto"/>
            </w:tcBorders>
            <w:shd w:val="clear" w:color="000000" w:fill="376091"/>
            <w:vAlign w:val="bottom"/>
            <w:hideMark/>
          </w:tcPr>
          <w:p w:rsidR="00A03C0E" w:rsidRPr="00A03C0E" w:rsidRDefault="00A03C0E" w:rsidP="00A03C0E">
            <w:pPr>
              <w:pStyle w:val="TableHeader"/>
              <w:rPr>
                <w:rFonts w:eastAsia="Times New Roman"/>
                <w:sz w:val="16"/>
                <w:szCs w:val="16"/>
              </w:rPr>
            </w:pPr>
            <w:r w:rsidRPr="00A03C0E">
              <w:rPr>
                <w:rFonts w:eastAsia="Times New Roman"/>
                <w:sz w:val="16"/>
                <w:szCs w:val="16"/>
              </w:rPr>
              <w:t>Avg. Temp During Event</w:t>
            </w:r>
          </w:p>
        </w:tc>
        <w:tc>
          <w:tcPr>
            <w:tcW w:w="887" w:type="dxa"/>
            <w:tcBorders>
              <w:top w:val="single" w:sz="4" w:space="0" w:color="auto"/>
              <w:left w:val="single" w:sz="4" w:space="0" w:color="FFFFFF"/>
              <w:bottom w:val="single" w:sz="4" w:space="0" w:color="auto"/>
              <w:right w:val="single" w:sz="4" w:space="0" w:color="auto"/>
            </w:tcBorders>
            <w:shd w:val="clear" w:color="000000" w:fill="376091"/>
            <w:vAlign w:val="bottom"/>
            <w:hideMark/>
          </w:tcPr>
          <w:p w:rsidR="00A03C0E" w:rsidRPr="00A03C0E" w:rsidRDefault="00A03C0E" w:rsidP="00A03C0E">
            <w:pPr>
              <w:pStyle w:val="TableHeader"/>
              <w:rPr>
                <w:rFonts w:eastAsia="Times New Roman"/>
                <w:sz w:val="16"/>
                <w:szCs w:val="16"/>
              </w:rPr>
            </w:pPr>
            <w:r w:rsidRPr="00A03C0E">
              <w:rPr>
                <w:rFonts w:eastAsia="Times New Roman"/>
                <w:sz w:val="16"/>
                <w:szCs w:val="16"/>
              </w:rPr>
              <w:t>Nominated MW*</w:t>
            </w:r>
          </w:p>
        </w:tc>
      </w:tr>
      <w:tr w:rsidR="00A03C0E" w:rsidRPr="00A03C0E" w:rsidTr="00A03C0E">
        <w:trPr>
          <w:trHeight w:val="399"/>
          <w:jc w:val="center"/>
        </w:trPr>
        <w:tc>
          <w:tcPr>
            <w:tcW w:w="810" w:type="dxa"/>
            <w:vMerge w:val="restart"/>
            <w:tcBorders>
              <w:top w:val="nil"/>
              <w:left w:val="single" w:sz="4" w:space="0" w:color="auto"/>
              <w:bottom w:val="single" w:sz="4" w:space="0" w:color="000000"/>
              <w:right w:val="nil"/>
            </w:tcBorders>
            <w:shd w:val="clear" w:color="auto" w:fill="auto"/>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AMP-DA 1-4 Hour</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08/25/2011</w:t>
            </w:r>
          </w:p>
        </w:tc>
        <w:tc>
          <w:tcPr>
            <w:tcW w:w="693"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250</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541.4</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185.7</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34.3%</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135.4</w:t>
            </w:r>
          </w:p>
        </w:tc>
        <w:tc>
          <w:tcPr>
            <w:tcW w:w="1067"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46.4</w:t>
            </w:r>
          </w:p>
        </w:tc>
        <w:tc>
          <w:tcPr>
            <w:tcW w:w="7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87.0</w:t>
            </w:r>
          </w:p>
        </w:tc>
        <w:tc>
          <w:tcPr>
            <w:tcW w:w="887"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44.0</w:t>
            </w:r>
          </w:p>
        </w:tc>
      </w:tr>
      <w:tr w:rsidR="00A03C0E" w:rsidRPr="00A03C0E" w:rsidTr="00A03C0E">
        <w:trPr>
          <w:trHeight w:val="399"/>
          <w:jc w:val="center"/>
        </w:trPr>
        <w:tc>
          <w:tcPr>
            <w:tcW w:w="810" w:type="dxa"/>
            <w:vMerge/>
            <w:tcBorders>
              <w:top w:val="nil"/>
              <w:left w:val="single" w:sz="4" w:space="0" w:color="auto"/>
              <w:bottom w:val="single" w:sz="4" w:space="0" w:color="000000"/>
              <w:right w:val="nil"/>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09/29/2011</w:t>
            </w:r>
          </w:p>
        </w:tc>
        <w:tc>
          <w:tcPr>
            <w:tcW w:w="693"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248</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710.0</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238.4</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33.6%</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176.1</w:t>
            </w:r>
          </w:p>
        </w:tc>
        <w:tc>
          <w:tcPr>
            <w:tcW w:w="1067"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59.1</w:t>
            </w:r>
          </w:p>
        </w:tc>
        <w:tc>
          <w:tcPr>
            <w:tcW w:w="7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85.6</w:t>
            </w:r>
          </w:p>
        </w:tc>
        <w:tc>
          <w:tcPr>
            <w:tcW w:w="887"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44.0</w:t>
            </w:r>
          </w:p>
        </w:tc>
      </w:tr>
      <w:tr w:rsidR="00A03C0E" w:rsidRPr="00A03C0E" w:rsidTr="00A03C0E">
        <w:trPr>
          <w:trHeight w:val="399"/>
          <w:jc w:val="center"/>
        </w:trPr>
        <w:tc>
          <w:tcPr>
            <w:tcW w:w="810" w:type="dxa"/>
            <w:vMerge/>
            <w:tcBorders>
              <w:top w:val="nil"/>
              <w:left w:val="single" w:sz="4" w:space="0" w:color="auto"/>
              <w:bottom w:val="single" w:sz="4" w:space="0" w:color="000000"/>
              <w:right w:val="nil"/>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Average Event</w:t>
            </w:r>
          </w:p>
        </w:tc>
        <w:tc>
          <w:tcPr>
            <w:tcW w:w="693"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249</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625.4</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211.9</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33.9%</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155.7</w:t>
            </w:r>
          </w:p>
        </w:tc>
        <w:tc>
          <w:tcPr>
            <w:tcW w:w="1067"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52.8</w:t>
            </w:r>
          </w:p>
        </w:tc>
        <w:tc>
          <w:tcPr>
            <w:tcW w:w="7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86.3</w:t>
            </w:r>
          </w:p>
        </w:tc>
        <w:tc>
          <w:tcPr>
            <w:tcW w:w="887"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44.0</w:t>
            </w:r>
          </w:p>
        </w:tc>
      </w:tr>
      <w:tr w:rsidR="00A03C0E" w:rsidRPr="00A03C0E" w:rsidTr="00A03C0E">
        <w:trPr>
          <w:trHeight w:val="399"/>
          <w:jc w:val="center"/>
        </w:trPr>
        <w:tc>
          <w:tcPr>
            <w:tcW w:w="810" w:type="dxa"/>
            <w:vMerge w:val="restart"/>
            <w:tcBorders>
              <w:top w:val="nil"/>
              <w:left w:val="single" w:sz="4" w:space="0" w:color="auto"/>
              <w:bottom w:val="single" w:sz="4" w:space="0" w:color="000000"/>
              <w:right w:val="nil"/>
            </w:tcBorders>
            <w:shd w:val="clear" w:color="auto" w:fill="auto"/>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AMP-DO 1-4 Hour</w:t>
            </w: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08/25/2011</w:t>
            </w:r>
          </w:p>
        </w:tc>
        <w:tc>
          <w:tcPr>
            <w:tcW w:w="693"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1069</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488.8</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131.5</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26.9%</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522.6</w:t>
            </w:r>
          </w:p>
        </w:tc>
        <w:tc>
          <w:tcPr>
            <w:tcW w:w="1067"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140.5</w:t>
            </w:r>
          </w:p>
        </w:tc>
        <w:tc>
          <w:tcPr>
            <w:tcW w:w="7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82.4</w:t>
            </w:r>
          </w:p>
        </w:tc>
        <w:tc>
          <w:tcPr>
            <w:tcW w:w="887"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162.6</w:t>
            </w:r>
          </w:p>
        </w:tc>
      </w:tr>
      <w:tr w:rsidR="00A03C0E" w:rsidRPr="00A03C0E" w:rsidTr="00A03C0E">
        <w:trPr>
          <w:trHeight w:val="399"/>
          <w:jc w:val="center"/>
        </w:trPr>
        <w:tc>
          <w:tcPr>
            <w:tcW w:w="810" w:type="dxa"/>
            <w:vMerge/>
            <w:tcBorders>
              <w:top w:val="nil"/>
              <w:left w:val="single" w:sz="4" w:space="0" w:color="auto"/>
              <w:bottom w:val="single" w:sz="4" w:space="0" w:color="000000"/>
              <w:right w:val="nil"/>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09/08/2011</w:t>
            </w:r>
          </w:p>
        </w:tc>
        <w:tc>
          <w:tcPr>
            <w:tcW w:w="693"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475</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636.3</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172.3</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27.1%</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302.2</w:t>
            </w:r>
          </w:p>
        </w:tc>
        <w:tc>
          <w:tcPr>
            <w:tcW w:w="1067"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81.8</w:t>
            </w:r>
          </w:p>
        </w:tc>
        <w:tc>
          <w:tcPr>
            <w:tcW w:w="7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86.8</w:t>
            </w:r>
          </w:p>
        </w:tc>
        <w:tc>
          <w:tcPr>
            <w:tcW w:w="887"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77.0</w:t>
            </w:r>
          </w:p>
        </w:tc>
      </w:tr>
      <w:tr w:rsidR="00A03C0E" w:rsidRPr="00A03C0E" w:rsidTr="00A03C0E">
        <w:trPr>
          <w:trHeight w:val="399"/>
          <w:jc w:val="center"/>
        </w:trPr>
        <w:tc>
          <w:tcPr>
            <w:tcW w:w="810" w:type="dxa"/>
            <w:vMerge/>
            <w:tcBorders>
              <w:top w:val="nil"/>
              <w:left w:val="single" w:sz="4" w:space="0" w:color="auto"/>
              <w:bottom w:val="single" w:sz="4" w:space="0" w:color="000000"/>
              <w:right w:val="nil"/>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017" w:type="dxa"/>
            <w:tcBorders>
              <w:top w:val="nil"/>
              <w:left w:val="single" w:sz="4" w:space="0" w:color="auto"/>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Average Event</w:t>
            </w:r>
          </w:p>
        </w:tc>
        <w:tc>
          <w:tcPr>
            <w:tcW w:w="693"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772</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534.2</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144.0</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27.0%</w:t>
            </w:r>
          </w:p>
        </w:tc>
        <w:tc>
          <w:tcPr>
            <w:tcW w:w="108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412.4</w:t>
            </w:r>
          </w:p>
        </w:tc>
        <w:tc>
          <w:tcPr>
            <w:tcW w:w="1067"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111.2</w:t>
            </w:r>
          </w:p>
        </w:tc>
        <w:tc>
          <w:tcPr>
            <w:tcW w:w="7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83.8</w:t>
            </w:r>
          </w:p>
        </w:tc>
        <w:tc>
          <w:tcPr>
            <w:tcW w:w="887"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119.8</w:t>
            </w:r>
          </w:p>
        </w:tc>
      </w:tr>
    </w:tbl>
    <w:p w:rsidR="008741D8" w:rsidRPr="00050374" w:rsidRDefault="008D3B2F" w:rsidP="00994A5C">
      <w:pPr>
        <w:pStyle w:val="BodyParaAfterTableFigure"/>
      </w:pPr>
      <w:r w:rsidRPr="00050374">
        <w:t xml:space="preserve">Figure </w:t>
      </w:r>
      <w:r w:rsidR="00A52143">
        <w:t>4</w:t>
      </w:r>
      <w:r w:rsidRPr="00050374">
        <w:t xml:space="preserve">-1 shows the </w:t>
      </w:r>
      <w:r w:rsidR="00D60043">
        <w:t xml:space="preserve">estimated </w:t>
      </w:r>
      <w:r w:rsidRPr="00050374">
        <w:t xml:space="preserve">hourly </w:t>
      </w:r>
      <w:r w:rsidR="0042123F" w:rsidRPr="00050374">
        <w:t>electricity patterns with and without DR on August 25</w:t>
      </w:r>
      <w:r w:rsidR="00F06440" w:rsidRPr="00050374">
        <w:t xml:space="preserve">, </w:t>
      </w:r>
      <w:r w:rsidR="008741D8" w:rsidRPr="00050374">
        <w:t>when both resources were dispatched</w:t>
      </w:r>
      <w:r w:rsidR="000A1A9E" w:rsidRPr="00050374">
        <w:t xml:space="preserve"> from 3 PM to 5 PM.  </w:t>
      </w:r>
      <w:proofErr w:type="gramStart"/>
      <w:r w:rsidR="00A37882">
        <w:t>B</w:t>
      </w:r>
      <w:r w:rsidR="000A1A9E" w:rsidRPr="00050374">
        <w:t xml:space="preserve">oth </w:t>
      </w:r>
      <w:r w:rsidR="00F95446">
        <w:t>day-ahead</w:t>
      </w:r>
      <w:r w:rsidR="000A1A9E" w:rsidRPr="00050374">
        <w:t xml:space="preserve"> and </w:t>
      </w:r>
      <w:r w:rsidR="00F95446">
        <w:t>day</w:t>
      </w:r>
      <w:r w:rsidR="00D60043">
        <w:t>-of</w:t>
      </w:r>
      <w:r w:rsidR="00F95446">
        <w:t xml:space="preserve"> </w:t>
      </w:r>
      <w:r w:rsidR="000A1A9E" w:rsidRPr="00050374">
        <w:t xml:space="preserve">resources </w:t>
      </w:r>
      <w:r w:rsidR="00011137">
        <w:t xml:space="preserve">continued to </w:t>
      </w:r>
      <w:r w:rsidR="000A1A9E" w:rsidRPr="00050374">
        <w:t xml:space="preserve">reduce demand levels for </w:t>
      </w:r>
      <w:r w:rsidR="00011137">
        <w:t>one or</w:t>
      </w:r>
      <w:r w:rsidR="00A37882">
        <w:t xml:space="preserve"> two </w:t>
      </w:r>
      <w:r w:rsidR="00011137">
        <w:t xml:space="preserve">hours </w:t>
      </w:r>
      <w:r w:rsidR="000A1A9E" w:rsidRPr="00050374">
        <w:t xml:space="preserve">after the event had </w:t>
      </w:r>
      <w:r w:rsidR="00D60043">
        <w:t>ended</w:t>
      </w:r>
      <w:r w:rsidR="000A1A9E" w:rsidRPr="00050374">
        <w:t>.</w:t>
      </w:r>
      <w:proofErr w:type="gramEnd"/>
      <w:r w:rsidR="000A1A9E" w:rsidRPr="00050374">
        <w:t xml:space="preserve">  The electricity loads for customers in the </w:t>
      </w:r>
      <w:r w:rsidR="00F95446">
        <w:t>day-ahead</w:t>
      </w:r>
      <w:r w:rsidR="000A1A9E" w:rsidRPr="00050374">
        <w:t xml:space="preserve"> notification option are </w:t>
      </w:r>
      <w:r w:rsidR="00A37882">
        <w:t>slightly</w:t>
      </w:r>
      <w:r w:rsidR="000A1A9E" w:rsidRPr="00050374">
        <w:t xml:space="preserve"> higher</w:t>
      </w:r>
      <w:r w:rsidR="005670AC" w:rsidRPr="00050374">
        <w:t xml:space="preserve"> than for customers dispatched on a day</w:t>
      </w:r>
      <w:r w:rsidR="00D60043">
        <w:t>-of</w:t>
      </w:r>
      <w:r w:rsidR="005670AC" w:rsidRPr="00050374">
        <w:t xml:space="preserve"> basis. </w:t>
      </w:r>
      <w:r w:rsidR="000A1A9E" w:rsidRPr="00050374">
        <w:t xml:space="preserve"> </w:t>
      </w:r>
    </w:p>
    <w:p w:rsidR="007A49F0" w:rsidRPr="00EB4EED" w:rsidRDefault="000A1A9E" w:rsidP="00BA25E2">
      <w:pPr>
        <w:pStyle w:val="TableFigureCaption"/>
      </w:pPr>
      <w:r w:rsidRPr="00EB4EED">
        <w:t xml:space="preserve">Figure </w:t>
      </w:r>
      <w:r w:rsidR="00A52143" w:rsidRPr="00EB4EED">
        <w:t>4</w:t>
      </w:r>
      <w:r w:rsidRPr="00EB4EED">
        <w:t>-1:</w:t>
      </w:r>
      <w:r w:rsidR="00BA25E2">
        <w:t xml:space="preserve"> </w:t>
      </w:r>
      <w:r w:rsidRPr="00EB4EED">
        <w:t>PG&amp;E AMP Hourly Impacts for August 25, 2011</w:t>
      </w:r>
    </w:p>
    <w:p w:rsidR="00D649A8" w:rsidRPr="00A37882" w:rsidRDefault="005310C6" w:rsidP="00EB4EED">
      <w:pPr>
        <w:pStyle w:val="BodyParagraph"/>
        <w:jc w:val="center"/>
      </w:pPr>
      <w:r>
        <w:rPr>
          <w:noProof/>
        </w:rPr>
        <w:drawing>
          <wp:inline distT="0" distB="0" distL="0" distR="0">
            <wp:extent cx="2552700" cy="228600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552700" cy="2286000"/>
                    </a:xfrm>
                    <a:prstGeom prst="rect">
                      <a:avLst/>
                    </a:prstGeom>
                    <a:noFill/>
                    <a:ln w="9525">
                      <a:noFill/>
                      <a:miter lim="800000"/>
                      <a:headEnd/>
                      <a:tailEnd/>
                    </a:ln>
                  </pic:spPr>
                </pic:pic>
              </a:graphicData>
            </a:graphic>
          </wp:inline>
        </w:drawing>
      </w:r>
      <w:r w:rsidR="00A03C0E">
        <w:rPr>
          <w:noProof/>
        </w:rPr>
        <w:drawing>
          <wp:inline distT="0" distB="0" distL="0" distR="0">
            <wp:extent cx="2552430" cy="2286000"/>
            <wp:effectExtent l="19050" t="0" r="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a:stretch>
                      <a:fillRect/>
                    </a:stretch>
                  </pic:blipFill>
                  <pic:spPr bwMode="auto">
                    <a:xfrm>
                      <a:off x="0" y="0"/>
                      <a:ext cx="2552430" cy="2286000"/>
                    </a:xfrm>
                    <a:prstGeom prst="rect">
                      <a:avLst/>
                    </a:prstGeom>
                    <a:noFill/>
                  </pic:spPr>
                </pic:pic>
              </a:graphicData>
            </a:graphic>
          </wp:inline>
        </w:drawing>
      </w:r>
    </w:p>
    <w:p w:rsidR="008D3B2F" w:rsidRPr="00EB4EED" w:rsidRDefault="008D3B2F" w:rsidP="00EB4EED">
      <w:pPr>
        <w:pStyle w:val="BodyParagraph"/>
        <w:rPr>
          <w:rStyle w:val="Strong"/>
          <w:b w:val="0"/>
          <w:bCs w:val="0"/>
        </w:rPr>
      </w:pPr>
    </w:p>
    <w:p w:rsidR="005670AC" w:rsidRPr="00050374" w:rsidRDefault="00D60043" w:rsidP="00BA25E2">
      <w:pPr>
        <w:pStyle w:val="Heading3"/>
      </w:pPr>
      <w:bookmarkStart w:id="101" w:name="_Toc326074012"/>
      <w:r>
        <w:lastRenderedPageBreak/>
        <w:t xml:space="preserve">AMP </w:t>
      </w:r>
      <w:r w:rsidR="005670AC" w:rsidRPr="00050374">
        <w:t>Demand Reductions by Industry</w:t>
      </w:r>
      <w:bookmarkEnd w:id="101"/>
    </w:p>
    <w:p w:rsidR="0062645C" w:rsidRPr="00050374" w:rsidRDefault="001D6CCB" w:rsidP="0062645C">
      <w:pPr>
        <w:pStyle w:val="BodyParagraph"/>
        <w:keepNext/>
      </w:pPr>
      <w:r w:rsidRPr="00050374">
        <w:t xml:space="preserve">Table </w:t>
      </w:r>
      <w:r w:rsidR="00A52143">
        <w:t>4</w:t>
      </w:r>
      <w:r w:rsidRPr="00050374">
        <w:t>-3</w:t>
      </w:r>
      <w:r w:rsidR="00A5705A" w:rsidRPr="00050374">
        <w:t xml:space="preserve"> shows load impacts by industry</w:t>
      </w:r>
      <w:r w:rsidR="00567FEB">
        <w:t xml:space="preserve"> for the average 2011 </w:t>
      </w:r>
      <w:r w:rsidR="00D60043">
        <w:t xml:space="preserve">AMP </w:t>
      </w:r>
      <w:r w:rsidR="00567FEB">
        <w:t>event</w:t>
      </w:r>
      <w:r w:rsidR="00A5705A" w:rsidRPr="00050374">
        <w:t xml:space="preserve">.  </w:t>
      </w:r>
      <w:r w:rsidR="003C584F">
        <w:t xml:space="preserve">It reflects the mix of customers called during the 2011 events.  </w:t>
      </w:r>
      <w:r w:rsidR="00F95446">
        <w:t>Day-ahead</w:t>
      </w:r>
      <w:r w:rsidR="001E375F" w:rsidRPr="00050374">
        <w:t xml:space="preserve"> resources </w:t>
      </w:r>
      <w:r w:rsidR="00BD2EEA">
        <w:t>come</w:t>
      </w:r>
      <w:r w:rsidR="00BD2EEA" w:rsidRPr="00050374">
        <w:t xml:space="preserve"> </w:t>
      </w:r>
      <w:r w:rsidR="00BD2EEA">
        <w:t>primarily</w:t>
      </w:r>
      <w:r w:rsidR="00BD2EEA" w:rsidRPr="00050374">
        <w:t xml:space="preserve"> </w:t>
      </w:r>
      <w:r w:rsidR="001E375F" w:rsidRPr="00050374">
        <w:t xml:space="preserve">from the </w:t>
      </w:r>
      <w:r w:rsidR="00F60DC0" w:rsidRPr="00050374">
        <w:t>M</w:t>
      </w:r>
      <w:r w:rsidR="001E375F" w:rsidRPr="00050374">
        <w:t>anufacturing sector, which account</w:t>
      </w:r>
      <w:r w:rsidR="00B33BDB">
        <w:t>ed for 7</w:t>
      </w:r>
      <w:r w:rsidR="004869AB">
        <w:t>9</w:t>
      </w:r>
      <w:r w:rsidR="00B33BDB">
        <w:t xml:space="preserve">% of the aggregate load reduction for </w:t>
      </w:r>
      <w:r w:rsidR="00F95446">
        <w:t>day-ahead</w:t>
      </w:r>
      <w:r w:rsidR="00270ED1">
        <w:t> </w:t>
      </w:r>
      <w:r w:rsidR="00B33BDB">
        <w:t xml:space="preserve">resources.  </w:t>
      </w:r>
    </w:p>
    <w:p w:rsidR="00A5705A" w:rsidRDefault="00A5705A" w:rsidP="00BA25E2">
      <w:pPr>
        <w:pStyle w:val="TableFigureCaption"/>
        <w:rPr>
          <w:rStyle w:val="Strong"/>
          <w:b/>
          <w:bCs w:val="0"/>
        </w:rPr>
      </w:pPr>
      <w:r w:rsidRPr="00050374">
        <w:rPr>
          <w:rStyle w:val="Strong"/>
          <w:b/>
          <w:bCs w:val="0"/>
        </w:rPr>
        <w:t xml:space="preserve">Table </w:t>
      </w:r>
      <w:r w:rsidR="00A52143">
        <w:rPr>
          <w:rStyle w:val="Strong"/>
          <w:b/>
          <w:bCs w:val="0"/>
        </w:rPr>
        <w:t>4</w:t>
      </w:r>
      <w:r w:rsidRPr="00050374">
        <w:rPr>
          <w:rStyle w:val="Strong"/>
          <w:b/>
          <w:bCs w:val="0"/>
        </w:rPr>
        <w:t>-</w:t>
      </w:r>
      <w:r w:rsidR="001D6CCB" w:rsidRPr="00050374">
        <w:rPr>
          <w:rStyle w:val="Strong"/>
          <w:b/>
          <w:bCs w:val="0"/>
        </w:rPr>
        <w:t>3</w:t>
      </w:r>
      <w:r w:rsidRPr="00050374">
        <w:rPr>
          <w:rStyle w:val="Strong"/>
          <w:b/>
          <w:bCs w:val="0"/>
        </w:rPr>
        <w:t>:</w:t>
      </w:r>
      <w:r w:rsidR="00270ED1">
        <w:rPr>
          <w:rStyle w:val="Strong"/>
          <w:b/>
          <w:bCs w:val="0"/>
        </w:rPr>
        <w:t xml:space="preserve"> </w:t>
      </w:r>
      <w:r w:rsidRPr="00050374">
        <w:rPr>
          <w:rStyle w:val="Strong"/>
          <w:b/>
          <w:bCs w:val="0"/>
        </w:rPr>
        <w:t>Estimated Ex</w:t>
      </w:r>
      <w:r w:rsidR="004F6B7C" w:rsidRPr="00050374">
        <w:rPr>
          <w:rStyle w:val="Strong"/>
          <w:b/>
          <w:bCs w:val="0"/>
        </w:rPr>
        <w:t xml:space="preserve"> </w:t>
      </w:r>
      <w:r w:rsidRPr="00050374">
        <w:rPr>
          <w:rStyle w:val="Strong"/>
          <w:b/>
          <w:bCs w:val="0"/>
        </w:rPr>
        <w:t>Post Load Impacts by Industry</w:t>
      </w:r>
      <w:r w:rsidRPr="00050374">
        <w:rPr>
          <w:rStyle w:val="Strong"/>
          <w:b/>
          <w:bCs w:val="0"/>
        </w:rPr>
        <w:br/>
        <w:t>Average 2011 PG&amp;E AMP Event</w:t>
      </w:r>
    </w:p>
    <w:tbl>
      <w:tblPr>
        <w:tblW w:w="9409" w:type="dxa"/>
        <w:jc w:val="center"/>
        <w:tblInd w:w="103" w:type="dxa"/>
        <w:tblLook w:val="04A0"/>
      </w:tblPr>
      <w:tblGrid>
        <w:gridCol w:w="874"/>
        <w:gridCol w:w="2011"/>
        <w:gridCol w:w="700"/>
        <w:gridCol w:w="990"/>
        <w:gridCol w:w="999"/>
        <w:gridCol w:w="999"/>
        <w:gridCol w:w="1008"/>
        <w:gridCol w:w="1008"/>
        <w:gridCol w:w="820"/>
      </w:tblGrid>
      <w:tr w:rsidR="00A03C0E" w:rsidRPr="00A03C0E" w:rsidTr="00A03C0E">
        <w:trPr>
          <w:trHeight w:val="816"/>
          <w:jc w:val="center"/>
        </w:trPr>
        <w:tc>
          <w:tcPr>
            <w:tcW w:w="874" w:type="dxa"/>
            <w:tcBorders>
              <w:top w:val="single" w:sz="4" w:space="0" w:color="auto"/>
              <w:left w:val="single" w:sz="4" w:space="0" w:color="auto"/>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Program</w:t>
            </w:r>
          </w:p>
        </w:tc>
        <w:tc>
          <w:tcPr>
            <w:tcW w:w="2011"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Industry</w:t>
            </w:r>
          </w:p>
        </w:tc>
        <w:tc>
          <w:tcPr>
            <w:tcW w:w="700"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Accts</w:t>
            </w:r>
          </w:p>
        </w:tc>
        <w:tc>
          <w:tcPr>
            <w:tcW w:w="990"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Avg. Reference Load (kW)</w:t>
            </w:r>
          </w:p>
        </w:tc>
        <w:tc>
          <w:tcPr>
            <w:tcW w:w="999"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Avg. Load Reduction (kW)</w:t>
            </w:r>
          </w:p>
        </w:tc>
        <w:tc>
          <w:tcPr>
            <w:tcW w:w="999"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 Load Reduction</w:t>
            </w:r>
          </w:p>
        </w:tc>
        <w:tc>
          <w:tcPr>
            <w:tcW w:w="1008"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Aggregate Reference Load (MW)</w:t>
            </w:r>
          </w:p>
        </w:tc>
        <w:tc>
          <w:tcPr>
            <w:tcW w:w="1008"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Aggregate Load Impact (MW)</w:t>
            </w:r>
          </w:p>
        </w:tc>
        <w:tc>
          <w:tcPr>
            <w:tcW w:w="820" w:type="dxa"/>
            <w:tcBorders>
              <w:top w:val="single" w:sz="4" w:space="0" w:color="auto"/>
              <w:left w:val="nil"/>
              <w:bottom w:val="single" w:sz="4" w:space="0" w:color="auto"/>
              <w:right w:val="single" w:sz="4" w:space="0" w:color="auto"/>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Avg. Temp During Event</w:t>
            </w:r>
          </w:p>
        </w:tc>
      </w:tr>
      <w:tr w:rsidR="00A03C0E" w:rsidRPr="00A03C0E" w:rsidTr="00A03C0E">
        <w:trPr>
          <w:trHeight w:val="396"/>
          <w:jc w:val="center"/>
        </w:trPr>
        <w:tc>
          <w:tcPr>
            <w:tcW w:w="874" w:type="dxa"/>
            <w:vMerge w:val="restart"/>
            <w:tcBorders>
              <w:top w:val="nil"/>
              <w:left w:val="single" w:sz="4" w:space="0" w:color="auto"/>
              <w:bottom w:val="single" w:sz="4" w:space="0" w:color="000000"/>
              <w:right w:val="single" w:sz="4" w:space="0" w:color="auto"/>
            </w:tcBorders>
            <w:shd w:val="clear" w:color="auto" w:fill="auto"/>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AMP-DA</w:t>
            </w: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Agriculture, Mining &amp; Construction</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19</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180.0</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61.7</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34.3%</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3.4</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1.2</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89.8</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Hotels and Apartment Buildings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14</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537.7</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189.3</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35.2%</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7.5</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2.7</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70.9</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Institutional/Government</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336.4</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188.2</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55.9%</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2.7</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1.5</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93.1</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Manufacturing</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106</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1011.6</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392.3</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38.8%</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107.2</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41.6</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86.2</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Offices, Finance, Services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13</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411.0</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66.0</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16.1%</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5.3</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0.9</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82.6</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Other or unknown</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357.1</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33.9</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9.5%</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0.4</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76.6</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Retail stores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30</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388.2</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50.4</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13.0%</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11.6</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1.5</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85.6</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Schools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42</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290.6</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56.0</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19.3%</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12.2</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2.4</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89.0</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Water Districts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97.6</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13.6</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13.9%</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0.1</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93.3</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Wholesale, Transport, other utilities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17</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374.3</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85.8</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22.9%</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6.4</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1.5</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89.7</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All Customers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249</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625.4</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211.9</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33.9%</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155.7</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52.8</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86.3</w:t>
            </w:r>
          </w:p>
        </w:tc>
      </w:tr>
      <w:tr w:rsidR="00A03C0E" w:rsidRPr="00A03C0E" w:rsidTr="00A03C0E">
        <w:trPr>
          <w:trHeight w:val="396"/>
          <w:jc w:val="center"/>
        </w:trPr>
        <w:tc>
          <w:tcPr>
            <w:tcW w:w="874" w:type="dxa"/>
            <w:vMerge w:val="restart"/>
            <w:tcBorders>
              <w:top w:val="nil"/>
              <w:left w:val="single" w:sz="4" w:space="0" w:color="auto"/>
              <w:bottom w:val="single" w:sz="4" w:space="0" w:color="000000"/>
              <w:right w:val="single" w:sz="4" w:space="0" w:color="auto"/>
            </w:tcBorders>
            <w:shd w:val="clear" w:color="auto" w:fill="auto"/>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AMP-DO</w:t>
            </w: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Agriculture, Mining &amp; Construction</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170</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438.9</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174.9</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39.8%</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74.6</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29.7</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90.9</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Hotels and Apartment Buildings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120</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545.1</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64.0</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11.7%</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65.4</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7.7</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71.8</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Institutional/Government</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39</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777.1</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142.9</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18.4%</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30.3</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5.6</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74.4</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Manufacturing</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95</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988.7</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289.2</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29.2%</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93.9</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27.5</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87.5</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Offices, Finance, Services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44</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517.2</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87.0</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16.8%</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22.8</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3.8</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74.4</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Other or unknown</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125.1</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12.0</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9.6%</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0.1</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0.0</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70.9</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Retail stores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181</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237.9</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24.2</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10.2%</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43.1</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4.4</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84.1</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Schools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20</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1346.7</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173.8</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12.9%</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26.9</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3.5</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84.4</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Water Districts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39</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762.0</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403.6</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53.0%</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29.7</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15.7</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88.9</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Wholesale, Transport, other utilities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65</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407.5</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208.6</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51.2%</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26.5</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13.6</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89.8</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201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All Customers</w:t>
            </w:r>
          </w:p>
        </w:tc>
        <w:tc>
          <w:tcPr>
            <w:tcW w:w="7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772</w:t>
            </w:r>
          </w:p>
        </w:tc>
        <w:tc>
          <w:tcPr>
            <w:tcW w:w="99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534.2</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144.0</w:t>
            </w:r>
          </w:p>
        </w:tc>
        <w:tc>
          <w:tcPr>
            <w:tcW w:w="999"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27.0%</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412.4</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111.2</w:t>
            </w:r>
          </w:p>
        </w:tc>
        <w:tc>
          <w:tcPr>
            <w:tcW w:w="82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83.8</w:t>
            </w:r>
          </w:p>
        </w:tc>
      </w:tr>
    </w:tbl>
    <w:p w:rsidR="005310C6" w:rsidRDefault="005310C6">
      <w:pPr>
        <w:pStyle w:val="BodyParagraph"/>
      </w:pPr>
    </w:p>
    <w:p w:rsidR="00F60DC0" w:rsidRPr="00050374" w:rsidRDefault="00B33BDB" w:rsidP="0062645C">
      <w:pPr>
        <w:pStyle w:val="BodyParaAfterTableFigure"/>
      </w:pPr>
      <w:r w:rsidRPr="00050374">
        <w:lastRenderedPageBreak/>
        <w:t xml:space="preserve">In contrast, resources with </w:t>
      </w:r>
      <w:r w:rsidR="00F95446">
        <w:t>day</w:t>
      </w:r>
      <w:r w:rsidR="00D60043">
        <w:t>-of</w:t>
      </w:r>
      <w:r w:rsidR="00F95446">
        <w:t xml:space="preserve"> notification</w:t>
      </w:r>
      <w:r w:rsidRPr="00050374">
        <w:t xml:space="preserve"> are more diversely distributed across different business segments. </w:t>
      </w:r>
      <w:r>
        <w:t xml:space="preserve"> </w:t>
      </w:r>
      <w:r w:rsidR="00AA209A" w:rsidRPr="00050374">
        <w:t xml:space="preserve">Overall, </w:t>
      </w:r>
      <w:r w:rsidR="00780B0B">
        <w:t>approximately</w:t>
      </w:r>
      <w:r w:rsidR="007D7D61" w:rsidRPr="00050374">
        <w:t xml:space="preserve"> half </w:t>
      </w:r>
      <w:r w:rsidR="0062645C" w:rsidRPr="00050374">
        <w:t xml:space="preserve">of </w:t>
      </w:r>
      <w:r w:rsidR="009C58C5">
        <w:t>the aggregate load impact</w:t>
      </w:r>
      <w:r w:rsidR="0062645C" w:rsidRPr="00050374">
        <w:t xml:space="preserve"> </w:t>
      </w:r>
      <w:r w:rsidR="00AA209A" w:rsidRPr="00050374">
        <w:t xml:space="preserve">from </w:t>
      </w:r>
      <w:r w:rsidR="00D60043">
        <w:t>d</w:t>
      </w:r>
      <w:r w:rsidR="00F95446">
        <w:t>ay</w:t>
      </w:r>
      <w:r w:rsidR="00D60043">
        <w:t>-of</w:t>
      </w:r>
      <w:r w:rsidR="00F95446">
        <w:t xml:space="preserve"> resource</w:t>
      </w:r>
      <w:r w:rsidR="00AA209A" w:rsidRPr="00050374">
        <w:t xml:space="preserve">s </w:t>
      </w:r>
      <w:r w:rsidR="007D7D61" w:rsidRPr="00050374">
        <w:t>came from the</w:t>
      </w:r>
      <w:r w:rsidR="009C58C5">
        <w:t xml:space="preserve"> combined </w:t>
      </w:r>
      <w:r w:rsidR="0062645C" w:rsidRPr="00050374">
        <w:t>Agriculture</w:t>
      </w:r>
      <w:r w:rsidR="007D7D61" w:rsidRPr="00050374">
        <w:t>, Mining</w:t>
      </w:r>
      <w:r w:rsidR="0062645C" w:rsidRPr="00050374">
        <w:t xml:space="preserve"> &amp; Construction and </w:t>
      </w:r>
      <w:r w:rsidR="007D7D61" w:rsidRPr="00050374">
        <w:t>Manufacturing segments</w:t>
      </w:r>
      <w:r w:rsidR="009C58C5">
        <w:t>, each of which accounted for</w:t>
      </w:r>
      <w:r w:rsidR="00BD2EEA">
        <w:t xml:space="preserve"> roughly one quarter</w:t>
      </w:r>
      <w:r w:rsidR="007D7D61" w:rsidRPr="00050374">
        <w:t xml:space="preserve"> </w:t>
      </w:r>
      <w:r w:rsidR="009C58C5">
        <w:t>of the total aggregate demand response</w:t>
      </w:r>
      <w:r w:rsidR="0062645C" w:rsidRPr="00050374">
        <w:t xml:space="preserve">.  </w:t>
      </w:r>
      <w:r w:rsidR="009C58C5">
        <w:t>C</w:t>
      </w:r>
      <w:r w:rsidR="0062645C" w:rsidRPr="00050374">
        <w:t xml:space="preserve">ustomers in these segments are larger than </w:t>
      </w:r>
      <w:r w:rsidR="006E2457">
        <w:t xml:space="preserve">the program </w:t>
      </w:r>
      <w:r w:rsidR="0062645C" w:rsidRPr="00050374">
        <w:t xml:space="preserve">average.  </w:t>
      </w:r>
      <w:r w:rsidR="006E2457">
        <w:t xml:space="preserve">Water districts accounted for </w:t>
      </w:r>
      <w:r w:rsidR="00D649A8">
        <w:t>1</w:t>
      </w:r>
      <w:r w:rsidR="00A03C0E">
        <w:t>2</w:t>
      </w:r>
      <w:r w:rsidR="006E2457">
        <w:t xml:space="preserve">% of the aggregate demand response even though they only accounted for </w:t>
      </w:r>
      <w:r w:rsidR="00A03C0E">
        <w:t>8</w:t>
      </w:r>
      <w:r w:rsidR="006E2457">
        <w:t>% of the enrolled accounts</w:t>
      </w:r>
      <w:r w:rsidR="004869AB">
        <w:t xml:space="preserve"> because they are typically larger accounts and </w:t>
      </w:r>
      <w:r w:rsidR="006E2457">
        <w:t xml:space="preserve">reduced their loads by nearly 50% on event days. </w:t>
      </w:r>
      <w:r w:rsidR="00F56ADB">
        <w:t xml:space="preserve"> </w:t>
      </w:r>
      <w:r w:rsidR="006E2457">
        <w:t xml:space="preserve">Other high responders included </w:t>
      </w:r>
      <w:r w:rsidR="00F56ADB">
        <w:t xml:space="preserve">the </w:t>
      </w:r>
      <w:r w:rsidR="0062645C" w:rsidRPr="00050374">
        <w:t>Agriculture</w:t>
      </w:r>
      <w:r w:rsidR="007D7D61" w:rsidRPr="00050374">
        <w:t>, Mining</w:t>
      </w:r>
      <w:r w:rsidR="0062645C" w:rsidRPr="00050374">
        <w:t xml:space="preserve"> &amp; Construction</w:t>
      </w:r>
      <w:r w:rsidR="004869AB">
        <w:t xml:space="preserve"> and</w:t>
      </w:r>
      <w:r w:rsidR="0062645C" w:rsidRPr="00050374">
        <w:t xml:space="preserve"> </w:t>
      </w:r>
      <w:r w:rsidR="007D7D61" w:rsidRPr="00050374">
        <w:t xml:space="preserve">Wholesale, Transport, </w:t>
      </w:r>
      <w:r w:rsidR="00F56ADB">
        <w:t>O</w:t>
      </w:r>
      <w:r w:rsidR="007D7D61" w:rsidRPr="00050374">
        <w:t xml:space="preserve">ther utilities, </w:t>
      </w:r>
      <w:r w:rsidR="004869AB">
        <w:t>both of</w:t>
      </w:r>
      <w:r w:rsidR="006E2457">
        <w:t xml:space="preserve"> which reduced load by more than 30%.  The average reduction in the manufacturing segment was </w:t>
      </w:r>
      <w:r w:rsidR="00D649A8">
        <w:t>2</w:t>
      </w:r>
      <w:r w:rsidR="002D0E81">
        <w:t>4</w:t>
      </w:r>
      <w:r w:rsidR="006E2457">
        <w:t xml:space="preserve">%.  Relatively low, but still significant, demand reductions were provided by the </w:t>
      </w:r>
      <w:r w:rsidR="00D60043">
        <w:t>H</w:t>
      </w:r>
      <w:r w:rsidR="006E2457">
        <w:t xml:space="preserve">otel, </w:t>
      </w:r>
      <w:r w:rsidR="00D60043">
        <w:t>R</w:t>
      </w:r>
      <w:r w:rsidR="006E2457">
        <w:t xml:space="preserve">etail, </w:t>
      </w:r>
      <w:r w:rsidR="00D60043">
        <w:t>S</w:t>
      </w:r>
      <w:r w:rsidR="006E2457">
        <w:t xml:space="preserve">chool and </w:t>
      </w:r>
      <w:r w:rsidR="00D60043">
        <w:t>O</w:t>
      </w:r>
      <w:r w:rsidR="006E2457">
        <w:t xml:space="preserve">ffice segments.  </w:t>
      </w:r>
    </w:p>
    <w:p w:rsidR="005310C6" w:rsidRDefault="00D60043">
      <w:pPr>
        <w:pStyle w:val="Heading3"/>
      </w:pPr>
      <w:bookmarkStart w:id="102" w:name="_Toc326074013"/>
      <w:r>
        <w:t xml:space="preserve">AMP </w:t>
      </w:r>
      <w:r w:rsidR="005670AC" w:rsidRPr="00050374">
        <w:t>Demand Reductions by Local Capacity Area</w:t>
      </w:r>
      <w:bookmarkEnd w:id="102"/>
    </w:p>
    <w:p w:rsidR="00273702" w:rsidRPr="00050374" w:rsidRDefault="00A5705A" w:rsidP="00A5705A">
      <w:pPr>
        <w:pStyle w:val="BodyParagraph"/>
      </w:pPr>
      <w:r w:rsidRPr="00050374">
        <w:t xml:space="preserve">Table </w:t>
      </w:r>
      <w:r w:rsidR="00A52143">
        <w:t>4</w:t>
      </w:r>
      <w:r w:rsidRPr="00050374">
        <w:t>-</w:t>
      </w:r>
      <w:r w:rsidR="001D6CCB" w:rsidRPr="00050374">
        <w:t>4</w:t>
      </w:r>
      <w:r w:rsidRPr="00050374">
        <w:t xml:space="preserve"> shows load impacts by local capacity area</w:t>
      </w:r>
      <w:r w:rsidR="00531A3F">
        <w:t xml:space="preserve"> (LCA)</w:t>
      </w:r>
      <w:r w:rsidRPr="00050374">
        <w:t xml:space="preserve">.  </w:t>
      </w:r>
      <w:r w:rsidR="0011473B" w:rsidRPr="00050374">
        <w:t>Local capacity areas a</w:t>
      </w:r>
      <w:r w:rsidR="004F6B7C" w:rsidRPr="00050374">
        <w:t>re</w:t>
      </w:r>
      <w:r w:rsidR="0011473B" w:rsidRPr="00050374">
        <w:t xml:space="preserve"> geographic planning areas defined by the California </w:t>
      </w:r>
      <w:r w:rsidR="0003650B">
        <w:t>Independent System Operator</w:t>
      </w:r>
      <w:r w:rsidR="0011473B" w:rsidRPr="00050374">
        <w:t xml:space="preserve"> that reflect transmission constraints and the location of generators.</w:t>
      </w:r>
      <w:r w:rsidR="00273702" w:rsidRPr="00050374">
        <w:t xml:space="preserve">  </w:t>
      </w:r>
    </w:p>
    <w:p w:rsidR="00273702" w:rsidRPr="00050374" w:rsidRDefault="0011473B" w:rsidP="00A5705A">
      <w:pPr>
        <w:pStyle w:val="BodyParagraph"/>
      </w:pPr>
      <w:r w:rsidRPr="00050374">
        <w:t xml:space="preserve">The day-ahead AMP </w:t>
      </w:r>
      <w:r w:rsidR="001140D5" w:rsidRPr="00050374">
        <w:t>customers</w:t>
      </w:r>
      <w:r w:rsidRPr="00050374">
        <w:t xml:space="preserve"> </w:t>
      </w:r>
      <w:r w:rsidR="001140D5" w:rsidRPr="00050374">
        <w:t xml:space="preserve">demand reductions are concentrated in the </w:t>
      </w:r>
      <w:proofErr w:type="gramStart"/>
      <w:r w:rsidR="001140D5" w:rsidRPr="00050374">
        <w:t>Other</w:t>
      </w:r>
      <w:proofErr w:type="gramEnd"/>
      <w:r w:rsidR="001140D5" w:rsidRPr="00050374">
        <w:t xml:space="preserve"> category</w:t>
      </w:r>
      <w:r w:rsidR="00780B0B">
        <w:t xml:space="preserve"> – typically in the Central Valley –</w:t>
      </w:r>
      <w:r w:rsidR="001140D5" w:rsidRPr="00050374">
        <w:t xml:space="preserve"> and</w:t>
      </w:r>
      <w:r w:rsidR="006E2457">
        <w:t>, to a much less extent,</w:t>
      </w:r>
      <w:r w:rsidR="001140D5" w:rsidRPr="00050374">
        <w:t xml:space="preserve"> in the</w:t>
      </w:r>
      <w:r w:rsidR="0041125E" w:rsidRPr="00050374">
        <w:t xml:space="preserve"> Greater Fresno and</w:t>
      </w:r>
      <w:r w:rsidR="001140D5" w:rsidRPr="00050374">
        <w:t xml:space="preserve"> Greater Bay Area</w:t>
      </w:r>
      <w:r w:rsidR="004F6B7C" w:rsidRPr="00050374">
        <w:t>.</w:t>
      </w:r>
      <w:r w:rsidR="001140D5" w:rsidRPr="00050374">
        <w:t xml:space="preserve">  </w:t>
      </w:r>
      <w:r w:rsidR="00273702" w:rsidRPr="00050374">
        <w:t>Customer</w:t>
      </w:r>
      <w:r w:rsidR="004F6B7C" w:rsidRPr="00050374">
        <w:t>s</w:t>
      </w:r>
      <w:r w:rsidR="00273702" w:rsidRPr="00050374">
        <w:t xml:space="preserve"> in </w:t>
      </w:r>
      <w:r w:rsidR="003E754F">
        <w:t xml:space="preserve">the </w:t>
      </w:r>
      <w:proofErr w:type="gramStart"/>
      <w:r w:rsidR="00273702" w:rsidRPr="00050374">
        <w:t>Other</w:t>
      </w:r>
      <w:proofErr w:type="gramEnd"/>
      <w:r w:rsidR="00531A3F">
        <w:t xml:space="preserve"> </w:t>
      </w:r>
      <w:r w:rsidR="003E754F">
        <w:t xml:space="preserve">categories </w:t>
      </w:r>
      <w:r w:rsidR="00273702" w:rsidRPr="00050374">
        <w:t xml:space="preserve">make up </w:t>
      </w:r>
      <w:r w:rsidR="00780B0B">
        <w:t>29</w:t>
      </w:r>
      <w:r w:rsidR="00DB192C" w:rsidRPr="00050374">
        <w:t xml:space="preserve">%, </w:t>
      </w:r>
      <w:r w:rsidR="00780B0B">
        <w:t>4</w:t>
      </w:r>
      <w:r w:rsidR="003E754F">
        <w:t>5</w:t>
      </w:r>
      <w:r w:rsidR="00273702" w:rsidRPr="00050374">
        <w:t xml:space="preserve">% and </w:t>
      </w:r>
      <w:r w:rsidR="002D0E81">
        <w:t>62</w:t>
      </w:r>
      <w:r w:rsidR="00273702" w:rsidRPr="00050374">
        <w:t xml:space="preserve">% of the </w:t>
      </w:r>
      <w:r w:rsidR="00F95446">
        <w:t>day-ahead</w:t>
      </w:r>
      <w:r w:rsidR="00273702" w:rsidRPr="00050374">
        <w:t xml:space="preserve"> customers, reference load and demand reductions, respectively. </w:t>
      </w:r>
      <w:r w:rsidR="00D16214" w:rsidRPr="00050374">
        <w:t xml:space="preserve"> </w:t>
      </w:r>
      <w:r w:rsidR="0058510A">
        <w:t>T</w:t>
      </w:r>
      <w:r w:rsidR="00273702" w:rsidRPr="00050374">
        <w:t>he</w:t>
      </w:r>
      <w:r w:rsidR="0041125E" w:rsidRPr="00050374">
        <w:t xml:space="preserve"> </w:t>
      </w:r>
      <w:r w:rsidR="00531A3F">
        <w:t>majority of</w:t>
      </w:r>
      <w:r w:rsidR="00531A3F" w:rsidRPr="00050374">
        <w:t xml:space="preserve"> </w:t>
      </w:r>
      <w:r w:rsidR="0041125E" w:rsidRPr="00050374">
        <w:t>customers</w:t>
      </w:r>
      <w:r w:rsidR="00273702" w:rsidRPr="00050374">
        <w:t xml:space="preserve"> </w:t>
      </w:r>
      <w:r w:rsidR="006E2457">
        <w:t xml:space="preserve">in the </w:t>
      </w:r>
      <w:proofErr w:type="gramStart"/>
      <w:r w:rsidR="006E2457">
        <w:t>Other</w:t>
      </w:r>
      <w:proofErr w:type="gramEnd"/>
      <w:r w:rsidR="006E2457">
        <w:t xml:space="preserve"> category </w:t>
      </w:r>
      <w:r w:rsidR="0041125E" w:rsidRPr="00050374">
        <w:t>are</w:t>
      </w:r>
      <w:r w:rsidR="00273702" w:rsidRPr="00050374">
        <w:t xml:space="preserve"> </w:t>
      </w:r>
      <w:r w:rsidR="0041125E" w:rsidRPr="00050374">
        <w:t xml:space="preserve">energy-intensive </w:t>
      </w:r>
      <w:r w:rsidR="00273702" w:rsidRPr="00050374">
        <w:t xml:space="preserve">Manufacturing </w:t>
      </w:r>
      <w:r w:rsidR="00531A3F">
        <w:t>businesses</w:t>
      </w:r>
      <w:r w:rsidR="00273702" w:rsidRPr="00050374">
        <w:t xml:space="preserve">.  </w:t>
      </w:r>
    </w:p>
    <w:p w:rsidR="00AA39FA" w:rsidRDefault="00273702" w:rsidP="00A5705A">
      <w:pPr>
        <w:pStyle w:val="BodyParagraph"/>
      </w:pPr>
      <w:r w:rsidRPr="00050374">
        <w:t xml:space="preserve">Day-of AMP resources are more widely distributed than </w:t>
      </w:r>
      <w:r w:rsidR="00F95446">
        <w:t>day-ahead</w:t>
      </w:r>
      <w:r w:rsidRPr="00050374">
        <w:t xml:space="preserve"> resources, but a larg</w:t>
      </w:r>
      <w:r w:rsidR="001D6CCB" w:rsidRPr="00050374">
        <w:t>er share of demand reduction resources are</w:t>
      </w:r>
      <w:r w:rsidRPr="00050374">
        <w:t xml:space="preserve"> still outside the primary load pockets.  Overall, </w:t>
      </w:r>
      <w:r w:rsidR="00D649A8">
        <w:t>3</w:t>
      </w:r>
      <w:r w:rsidR="003E754F">
        <w:t>7</w:t>
      </w:r>
      <w:r w:rsidR="00D649A8">
        <w:t xml:space="preserve">%, </w:t>
      </w:r>
      <w:r w:rsidR="003E754F">
        <w:t>20</w:t>
      </w:r>
      <w:r w:rsidRPr="00050374">
        <w:t xml:space="preserve">% and </w:t>
      </w:r>
      <w:r w:rsidR="00D649A8">
        <w:t>1</w:t>
      </w:r>
      <w:r w:rsidR="003E754F">
        <w:t>9</w:t>
      </w:r>
      <w:r w:rsidRPr="00050374">
        <w:t xml:space="preserve">% of aggregate </w:t>
      </w:r>
      <w:r w:rsidR="004A0337" w:rsidRPr="00050374">
        <w:t>demand reductions</w:t>
      </w:r>
      <w:r w:rsidRPr="00050374">
        <w:t xml:space="preserve"> came from the </w:t>
      </w:r>
      <w:r w:rsidR="004A0337" w:rsidRPr="00050374">
        <w:t>Other</w:t>
      </w:r>
      <w:r w:rsidRPr="00050374">
        <w:t xml:space="preserve">, </w:t>
      </w:r>
      <w:r w:rsidR="004A0337" w:rsidRPr="00050374">
        <w:t>Greater Fresno</w:t>
      </w:r>
      <w:r w:rsidRPr="00050374">
        <w:t xml:space="preserve"> and </w:t>
      </w:r>
      <w:r w:rsidR="004A0337" w:rsidRPr="00050374">
        <w:t>Kern</w:t>
      </w:r>
      <w:r w:rsidRPr="00050374">
        <w:t xml:space="preserve"> </w:t>
      </w:r>
      <w:r w:rsidR="004A0337" w:rsidRPr="00050374">
        <w:t>local capacity areas</w:t>
      </w:r>
      <w:r w:rsidRPr="00050374">
        <w:t xml:space="preserve">, respectively. </w:t>
      </w:r>
      <w:r w:rsidR="004A0337" w:rsidRPr="00050374">
        <w:t xml:space="preserve"> The accounts in these areas are mainly</w:t>
      </w:r>
      <w:r w:rsidRPr="00050374">
        <w:t xml:space="preserve"> </w:t>
      </w:r>
      <w:r w:rsidR="004A0337" w:rsidRPr="00050374">
        <w:t xml:space="preserve">in California’s Central Valley and reflect </w:t>
      </w:r>
      <w:r w:rsidR="00D60043">
        <w:t>a</w:t>
      </w:r>
      <w:r w:rsidR="004A0337" w:rsidRPr="00050374">
        <w:t xml:space="preserve"> higher concentration of customers in the Manufacturing, Agriculture &amp; Construction and Wholesale &amp; Transport business segments.</w:t>
      </w:r>
      <w:r w:rsidRPr="00050374">
        <w:t xml:space="preserve">  </w:t>
      </w:r>
      <w:r w:rsidR="00DB192C" w:rsidRPr="00050374">
        <w:t>Although 4</w:t>
      </w:r>
      <w:r w:rsidR="00A03C0E">
        <w:t>0</w:t>
      </w:r>
      <w:r w:rsidR="004A0337" w:rsidRPr="00050374">
        <w:t xml:space="preserve">% of the accounts with </w:t>
      </w:r>
      <w:r w:rsidR="00F95446">
        <w:t>day</w:t>
      </w:r>
      <w:r w:rsidR="00D60043">
        <w:t>-of</w:t>
      </w:r>
      <w:r w:rsidR="00F95446">
        <w:t xml:space="preserve"> notification</w:t>
      </w:r>
      <w:r w:rsidR="004A0337" w:rsidRPr="00050374">
        <w:t xml:space="preserve"> were in the</w:t>
      </w:r>
      <w:r w:rsidR="0003650B">
        <w:t xml:space="preserve"> Greater</w:t>
      </w:r>
      <w:r w:rsidR="004A0337" w:rsidRPr="00050374">
        <w:t xml:space="preserve"> Bay Area</w:t>
      </w:r>
      <w:r w:rsidR="00DB192C" w:rsidRPr="00050374">
        <w:t>, they jointly ma</w:t>
      </w:r>
      <w:r w:rsidR="00D60043">
        <w:t>d</w:t>
      </w:r>
      <w:r w:rsidR="00DB192C" w:rsidRPr="00050374">
        <w:t>e</w:t>
      </w:r>
      <w:r w:rsidR="00EC5CF2">
        <w:t xml:space="preserve"> up only </w:t>
      </w:r>
      <w:r w:rsidR="00780B0B">
        <w:t>1</w:t>
      </w:r>
      <w:r w:rsidR="003E754F">
        <w:t>1</w:t>
      </w:r>
      <w:r w:rsidR="004A0337" w:rsidRPr="00050374">
        <w:t>% of program resources</w:t>
      </w:r>
      <w:r w:rsidR="0003650B">
        <w:t xml:space="preserve">, since </w:t>
      </w:r>
      <w:r w:rsidR="004A0337" w:rsidRPr="00050374">
        <w:t>Greater Bay Area cu</w:t>
      </w:r>
      <w:r w:rsidR="001D6CCB" w:rsidRPr="00050374">
        <w:t>s</w:t>
      </w:r>
      <w:r w:rsidR="004A0337" w:rsidRPr="00050374">
        <w:t xml:space="preserve">tomers </w:t>
      </w:r>
      <w:r w:rsidR="001D6CCB" w:rsidRPr="00050374">
        <w:t xml:space="preserve">reduced a smaller share </w:t>
      </w:r>
      <w:r w:rsidR="00DB192C" w:rsidRPr="00050374">
        <w:t>of their electricity demand</w:t>
      </w:r>
      <w:r w:rsidR="001D6CCB" w:rsidRPr="00050374">
        <w:t xml:space="preserve"> and </w:t>
      </w:r>
      <w:r w:rsidR="002D27E9">
        <w:t>we</w:t>
      </w:r>
      <w:r w:rsidR="0062645C" w:rsidRPr="00050374">
        <w:t>r</w:t>
      </w:r>
      <w:r w:rsidR="001D6CCB" w:rsidRPr="00050374">
        <w:t>e generally smaller.</w:t>
      </w:r>
      <w:r w:rsidR="001140D5" w:rsidRPr="00050374">
        <w:t xml:space="preserve"> </w:t>
      </w:r>
    </w:p>
    <w:p w:rsidR="00AA39FA" w:rsidRDefault="00AA39FA">
      <w:pPr>
        <w:rPr>
          <w:rFonts w:ascii="Arial" w:hAnsi="Arial"/>
          <w:sz w:val="20"/>
        </w:rPr>
      </w:pPr>
      <w:r>
        <w:br w:type="page"/>
      </w:r>
    </w:p>
    <w:p w:rsidR="00A5705A" w:rsidRDefault="001D6CCB" w:rsidP="00BA25E2">
      <w:pPr>
        <w:pStyle w:val="TableFigureCaption"/>
        <w:rPr>
          <w:rStyle w:val="Strong"/>
          <w:b/>
          <w:bCs w:val="0"/>
        </w:rPr>
      </w:pPr>
      <w:r w:rsidRPr="00050374">
        <w:rPr>
          <w:rStyle w:val="Strong"/>
          <w:b/>
          <w:bCs w:val="0"/>
        </w:rPr>
        <w:lastRenderedPageBreak/>
        <w:t xml:space="preserve">Table </w:t>
      </w:r>
      <w:r w:rsidR="00A52143">
        <w:rPr>
          <w:rStyle w:val="Strong"/>
          <w:b/>
          <w:bCs w:val="0"/>
        </w:rPr>
        <w:t>4</w:t>
      </w:r>
      <w:r w:rsidRPr="00050374">
        <w:rPr>
          <w:rStyle w:val="Strong"/>
          <w:b/>
          <w:bCs w:val="0"/>
        </w:rPr>
        <w:t>-4</w:t>
      </w:r>
      <w:r w:rsidR="00A5705A" w:rsidRPr="00050374">
        <w:rPr>
          <w:rStyle w:val="Strong"/>
          <w:b/>
          <w:bCs w:val="0"/>
        </w:rPr>
        <w:t>:</w:t>
      </w:r>
      <w:r w:rsidR="00BA25E2">
        <w:rPr>
          <w:rStyle w:val="Strong"/>
          <w:b/>
          <w:bCs w:val="0"/>
        </w:rPr>
        <w:t xml:space="preserve"> </w:t>
      </w:r>
      <w:r w:rsidR="00A5705A" w:rsidRPr="00050374">
        <w:rPr>
          <w:rStyle w:val="Strong"/>
          <w:b/>
          <w:bCs w:val="0"/>
        </w:rPr>
        <w:t>Estimated Ex</w:t>
      </w:r>
      <w:r w:rsidR="00D16214" w:rsidRPr="00050374">
        <w:rPr>
          <w:rStyle w:val="Strong"/>
          <w:b/>
          <w:bCs w:val="0"/>
        </w:rPr>
        <w:t xml:space="preserve"> </w:t>
      </w:r>
      <w:r w:rsidR="00A5705A" w:rsidRPr="00050374">
        <w:rPr>
          <w:rStyle w:val="Strong"/>
          <w:b/>
          <w:bCs w:val="0"/>
        </w:rPr>
        <w:t>Post Load Impacts by Local Capacity Area</w:t>
      </w:r>
      <w:r w:rsidR="00A5705A" w:rsidRPr="00050374">
        <w:rPr>
          <w:rStyle w:val="Strong"/>
          <w:b/>
          <w:bCs w:val="0"/>
        </w:rPr>
        <w:br/>
        <w:t>Average 2011 PG&amp;E AMP Event</w:t>
      </w:r>
    </w:p>
    <w:tbl>
      <w:tblPr>
        <w:tblW w:w="9653" w:type="dxa"/>
        <w:jc w:val="center"/>
        <w:tblInd w:w="103" w:type="dxa"/>
        <w:tblLook w:val="04A0"/>
      </w:tblPr>
      <w:tblGrid>
        <w:gridCol w:w="874"/>
        <w:gridCol w:w="1561"/>
        <w:gridCol w:w="810"/>
        <w:gridCol w:w="1200"/>
        <w:gridCol w:w="1100"/>
        <w:gridCol w:w="1000"/>
        <w:gridCol w:w="1008"/>
        <w:gridCol w:w="1100"/>
        <w:gridCol w:w="1000"/>
      </w:tblGrid>
      <w:tr w:rsidR="00A03C0E" w:rsidRPr="00A03C0E" w:rsidTr="00A03C0E">
        <w:trPr>
          <w:trHeight w:val="816"/>
          <w:jc w:val="center"/>
        </w:trPr>
        <w:tc>
          <w:tcPr>
            <w:tcW w:w="874" w:type="dxa"/>
            <w:tcBorders>
              <w:top w:val="single" w:sz="4" w:space="0" w:color="auto"/>
              <w:left w:val="single" w:sz="4" w:space="0" w:color="auto"/>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Program</w:t>
            </w:r>
          </w:p>
        </w:tc>
        <w:tc>
          <w:tcPr>
            <w:tcW w:w="1561"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Local Capacity Area</w:t>
            </w:r>
          </w:p>
        </w:tc>
        <w:tc>
          <w:tcPr>
            <w:tcW w:w="810"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Accts</w:t>
            </w:r>
          </w:p>
        </w:tc>
        <w:tc>
          <w:tcPr>
            <w:tcW w:w="1200"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Avg. Reference Load (kW)</w:t>
            </w:r>
          </w:p>
        </w:tc>
        <w:tc>
          <w:tcPr>
            <w:tcW w:w="1100"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Average Load Reduction (kW)</w:t>
            </w:r>
          </w:p>
        </w:tc>
        <w:tc>
          <w:tcPr>
            <w:tcW w:w="1000"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 Load Reduction</w:t>
            </w:r>
          </w:p>
        </w:tc>
        <w:tc>
          <w:tcPr>
            <w:tcW w:w="1008"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Aggregate Reference Load (MW)</w:t>
            </w:r>
          </w:p>
        </w:tc>
        <w:tc>
          <w:tcPr>
            <w:tcW w:w="1100" w:type="dxa"/>
            <w:tcBorders>
              <w:top w:val="single" w:sz="4" w:space="0" w:color="auto"/>
              <w:left w:val="nil"/>
              <w:bottom w:val="single" w:sz="4" w:space="0" w:color="auto"/>
              <w:right w:val="single" w:sz="4" w:space="0" w:color="FFFFFF"/>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Aggregate Load Impact (MW)</w:t>
            </w:r>
          </w:p>
        </w:tc>
        <w:tc>
          <w:tcPr>
            <w:tcW w:w="1000" w:type="dxa"/>
            <w:tcBorders>
              <w:top w:val="single" w:sz="4" w:space="0" w:color="auto"/>
              <w:left w:val="nil"/>
              <w:bottom w:val="single" w:sz="4" w:space="0" w:color="auto"/>
              <w:right w:val="single" w:sz="4" w:space="0" w:color="auto"/>
            </w:tcBorders>
            <w:shd w:val="clear" w:color="000000" w:fill="376091"/>
            <w:vAlign w:val="bottom"/>
            <w:hideMark/>
          </w:tcPr>
          <w:p w:rsidR="00A03C0E" w:rsidRPr="00A03C0E" w:rsidRDefault="00A03C0E" w:rsidP="00A03C0E">
            <w:pPr>
              <w:spacing w:after="0" w:line="240" w:lineRule="auto"/>
              <w:jc w:val="center"/>
              <w:rPr>
                <w:rFonts w:ascii="Arial" w:eastAsia="Times New Roman" w:hAnsi="Arial" w:cs="Arial"/>
                <w:b/>
                <w:bCs/>
                <w:color w:val="FFFFFF"/>
                <w:sz w:val="16"/>
                <w:szCs w:val="16"/>
              </w:rPr>
            </w:pPr>
            <w:r w:rsidRPr="00A03C0E">
              <w:rPr>
                <w:rFonts w:ascii="Arial" w:eastAsia="Times New Roman" w:hAnsi="Arial" w:cs="Arial"/>
                <w:b/>
                <w:bCs/>
                <w:color w:val="FFFFFF"/>
                <w:sz w:val="16"/>
                <w:szCs w:val="16"/>
              </w:rPr>
              <w:t>Avg. Temp During Event</w:t>
            </w:r>
          </w:p>
        </w:tc>
      </w:tr>
      <w:tr w:rsidR="00A03C0E" w:rsidRPr="00A03C0E" w:rsidTr="00A03C0E">
        <w:trPr>
          <w:trHeight w:val="396"/>
          <w:jc w:val="center"/>
        </w:trPr>
        <w:tc>
          <w:tcPr>
            <w:tcW w:w="874" w:type="dxa"/>
            <w:vMerge w:val="restart"/>
            <w:tcBorders>
              <w:top w:val="nil"/>
              <w:left w:val="single" w:sz="4" w:space="0" w:color="auto"/>
              <w:bottom w:val="single" w:sz="4" w:space="0" w:color="000000"/>
              <w:right w:val="single" w:sz="4" w:space="0" w:color="auto"/>
            </w:tcBorders>
            <w:shd w:val="clear" w:color="auto" w:fill="auto"/>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AMP-DA</w:t>
            </w: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Greater Bay Area</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78</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495.6</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82.2</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16.6%</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38.7</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6.4</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74.9</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Greater Fresno</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38</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822.3</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306.9</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37.3%</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31.2</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11.7</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97.1</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Kern</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503.4</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81.5</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16.2%</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1.0</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0.2</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97.1</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Northern Coast</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22</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261.9</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33.2</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12.7%</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5.8</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0.7</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80.1</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Other</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71</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993.7</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458.2</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46.1%</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70.6</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32.5</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90.4</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Sierra</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28</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216.8</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20.2</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9.3%</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6.1</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0.6</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94.7</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Stockton</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276.4</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79.5</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28.8%</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3.3</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1.0</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92.1</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All Customers</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249</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625.4</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211.9</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33.9%</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155.7</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52.8</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86.3</w:t>
            </w:r>
          </w:p>
        </w:tc>
      </w:tr>
      <w:tr w:rsidR="00A03C0E" w:rsidRPr="00A03C0E" w:rsidTr="00A03C0E">
        <w:trPr>
          <w:trHeight w:val="396"/>
          <w:jc w:val="center"/>
        </w:trPr>
        <w:tc>
          <w:tcPr>
            <w:tcW w:w="874" w:type="dxa"/>
            <w:vMerge w:val="restart"/>
            <w:tcBorders>
              <w:top w:val="nil"/>
              <w:left w:val="single" w:sz="4" w:space="0" w:color="auto"/>
              <w:bottom w:val="single" w:sz="4" w:space="0" w:color="000000"/>
              <w:right w:val="single" w:sz="4" w:space="0" w:color="auto"/>
            </w:tcBorders>
            <w:shd w:val="clear" w:color="auto" w:fill="auto"/>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AMP-DO</w:t>
            </w: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Greater Bay Area</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305</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390.9</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39.9</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10.2%</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119.2</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12.2</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73.6</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Greater Fresno</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123</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390.0</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180.6</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46.3%</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48.0</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22.2</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98.4</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Humboldt</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818.4</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225.0</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27.5%</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4.1</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1.1</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63.0</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Kern</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87</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532.8</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244.9</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46.0%</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46.4</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21.3</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97.1</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Northern Coast</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38</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416.5</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103.1</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24.7%</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15.8</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3.9</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84.1</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Other</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156</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994.8</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262.9</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26.4%</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155.2</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41.0</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82.0</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Sierra</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25</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462.1</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201.7</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43.7%</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11.6</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5.0</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92.9</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 xml:space="preserve"> Stockton</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35</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371.9</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132.9</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35.7%</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13.0</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4.7</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color w:val="000000"/>
                <w:sz w:val="16"/>
                <w:szCs w:val="16"/>
              </w:rPr>
            </w:pPr>
            <w:r w:rsidRPr="00A03C0E">
              <w:rPr>
                <w:rFonts w:ascii="Arial" w:eastAsia="Times New Roman" w:hAnsi="Arial" w:cs="Arial"/>
                <w:color w:val="000000"/>
                <w:sz w:val="16"/>
                <w:szCs w:val="16"/>
              </w:rPr>
              <w:t>91.8</w:t>
            </w:r>
          </w:p>
        </w:tc>
      </w:tr>
      <w:tr w:rsidR="00A03C0E" w:rsidRPr="00A03C0E" w:rsidTr="00A03C0E">
        <w:trPr>
          <w:trHeight w:val="396"/>
          <w:jc w:val="center"/>
        </w:trPr>
        <w:tc>
          <w:tcPr>
            <w:tcW w:w="874" w:type="dxa"/>
            <w:vMerge/>
            <w:tcBorders>
              <w:top w:val="nil"/>
              <w:left w:val="single" w:sz="4" w:space="0" w:color="auto"/>
              <w:bottom w:val="single" w:sz="4" w:space="0" w:color="000000"/>
              <w:right w:val="single" w:sz="4" w:space="0" w:color="auto"/>
            </w:tcBorders>
            <w:vAlign w:val="center"/>
            <w:hideMark/>
          </w:tcPr>
          <w:p w:rsidR="00A03C0E" w:rsidRPr="00A03C0E" w:rsidRDefault="00A03C0E" w:rsidP="00A03C0E">
            <w:pPr>
              <w:spacing w:after="0" w:line="240" w:lineRule="auto"/>
              <w:rPr>
                <w:rFonts w:ascii="Arial" w:eastAsia="Times New Roman" w:hAnsi="Arial" w:cs="Arial"/>
                <w:color w:val="000000"/>
                <w:sz w:val="16"/>
                <w:szCs w:val="16"/>
              </w:rPr>
            </w:pPr>
          </w:p>
        </w:tc>
        <w:tc>
          <w:tcPr>
            <w:tcW w:w="1561"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All Customers</w:t>
            </w:r>
          </w:p>
        </w:tc>
        <w:tc>
          <w:tcPr>
            <w:tcW w:w="81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772</w:t>
            </w:r>
          </w:p>
        </w:tc>
        <w:tc>
          <w:tcPr>
            <w:tcW w:w="12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534.2</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144.0</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27.0%</w:t>
            </w:r>
          </w:p>
        </w:tc>
        <w:tc>
          <w:tcPr>
            <w:tcW w:w="1008"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412.4</w:t>
            </w:r>
          </w:p>
        </w:tc>
        <w:tc>
          <w:tcPr>
            <w:tcW w:w="11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111.2</w:t>
            </w:r>
          </w:p>
        </w:tc>
        <w:tc>
          <w:tcPr>
            <w:tcW w:w="1000" w:type="dxa"/>
            <w:tcBorders>
              <w:top w:val="nil"/>
              <w:left w:val="nil"/>
              <w:bottom w:val="single" w:sz="4" w:space="0" w:color="auto"/>
              <w:right w:val="single" w:sz="4" w:space="0" w:color="auto"/>
            </w:tcBorders>
            <w:shd w:val="clear" w:color="auto" w:fill="auto"/>
            <w:noWrap/>
            <w:vAlign w:val="center"/>
            <w:hideMark/>
          </w:tcPr>
          <w:p w:rsidR="00A03C0E" w:rsidRPr="00A03C0E" w:rsidRDefault="00A03C0E" w:rsidP="00A03C0E">
            <w:pPr>
              <w:spacing w:after="0" w:line="240" w:lineRule="auto"/>
              <w:jc w:val="center"/>
              <w:rPr>
                <w:rFonts w:ascii="Arial" w:eastAsia="Times New Roman" w:hAnsi="Arial" w:cs="Arial"/>
                <w:b/>
                <w:bCs/>
                <w:color w:val="000000"/>
                <w:sz w:val="16"/>
                <w:szCs w:val="16"/>
              </w:rPr>
            </w:pPr>
            <w:r w:rsidRPr="00A03C0E">
              <w:rPr>
                <w:rFonts w:ascii="Arial" w:eastAsia="Times New Roman" w:hAnsi="Arial" w:cs="Arial"/>
                <w:b/>
                <w:bCs/>
                <w:color w:val="000000"/>
                <w:sz w:val="16"/>
                <w:szCs w:val="16"/>
              </w:rPr>
              <w:t>83.8</w:t>
            </w:r>
          </w:p>
        </w:tc>
      </w:tr>
    </w:tbl>
    <w:p w:rsidR="0041026C" w:rsidRDefault="0041026C" w:rsidP="00A5705A">
      <w:pPr>
        <w:pStyle w:val="ListParagraph"/>
        <w:jc w:val="center"/>
        <w:rPr>
          <w:rStyle w:val="Strong"/>
        </w:rPr>
      </w:pPr>
    </w:p>
    <w:p w:rsidR="005310C6" w:rsidRDefault="00D60043">
      <w:pPr>
        <w:pStyle w:val="Heading3"/>
      </w:pPr>
      <w:bookmarkStart w:id="103" w:name="_Toc320625152"/>
      <w:bookmarkStart w:id="104" w:name="_Toc320626083"/>
      <w:bookmarkStart w:id="105" w:name="_Toc320626895"/>
      <w:bookmarkStart w:id="106" w:name="_Toc320627134"/>
      <w:bookmarkStart w:id="107" w:name="_Toc320693150"/>
      <w:bookmarkStart w:id="108" w:name="_Toc320703027"/>
      <w:bookmarkStart w:id="109" w:name="_Toc326074014"/>
      <w:bookmarkEnd w:id="103"/>
      <w:bookmarkEnd w:id="104"/>
      <w:bookmarkEnd w:id="105"/>
      <w:bookmarkEnd w:id="106"/>
      <w:bookmarkEnd w:id="107"/>
      <w:bookmarkEnd w:id="108"/>
      <w:r>
        <w:t xml:space="preserve">AMP </w:t>
      </w:r>
      <w:r w:rsidR="005670AC" w:rsidRPr="00050374">
        <w:t>Demand Reductions by Customer Size</w:t>
      </w:r>
      <w:bookmarkEnd w:id="109"/>
    </w:p>
    <w:p w:rsidR="00EA6C6A" w:rsidRPr="00050374" w:rsidRDefault="003E5B2E" w:rsidP="00F772BA">
      <w:pPr>
        <w:pStyle w:val="BodyParagraph"/>
      </w:pPr>
      <w:r>
        <w:t>Figure</w:t>
      </w:r>
      <w:r w:rsidRPr="00050374">
        <w:t xml:space="preserve"> </w:t>
      </w:r>
      <w:r w:rsidR="00A52143">
        <w:t>4</w:t>
      </w:r>
      <w:r w:rsidR="001D6CCB" w:rsidRPr="00050374">
        <w:t>-</w:t>
      </w:r>
      <w:r>
        <w:t>2</w:t>
      </w:r>
      <w:r w:rsidRPr="00050374">
        <w:t xml:space="preserve"> </w:t>
      </w:r>
      <w:r w:rsidR="00A5705A" w:rsidRPr="00050374">
        <w:t xml:space="preserve">shows load impacts by customer </w:t>
      </w:r>
      <w:r w:rsidR="001D6CCB" w:rsidRPr="00050374">
        <w:t>size</w:t>
      </w:r>
      <w:r w:rsidR="006E2457">
        <w:t xml:space="preserve">.  </w:t>
      </w:r>
      <w:r w:rsidR="002171A9">
        <w:t>T</w:t>
      </w:r>
      <w:r w:rsidR="00A5705A" w:rsidRPr="00050374">
        <w:t xml:space="preserve">he average </w:t>
      </w:r>
      <w:r w:rsidR="001D6CCB" w:rsidRPr="00050374">
        <w:t xml:space="preserve">demand </w:t>
      </w:r>
      <w:r w:rsidR="00A5705A" w:rsidRPr="00050374">
        <w:t xml:space="preserve">during </w:t>
      </w:r>
      <w:r w:rsidR="001D6CCB" w:rsidRPr="00050374">
        <w:t xml:space="preserve">weekday, </w:t>
      </w:r>
      <w:r w:rsidR="00A5705A" w:rsidRPr="00050374">
        <w:t xml:space="preserve">summer </w:t>
      </w:r>
      <w:r w:rsidR="001D6CCB" w:rsidRPr="00050374">
        <w:t xml:space="preserve">peak </w:t>
      </w:r>
      <w:r w:rsidR="00A5705A" w:rsidRPr="00050374">
        <w:t>hours</w:t>
      </w:r>
      <w:r w:rsidR="001D6CCB" w:rsidRPr="00050374">
        <w:t xml:space="preserve"> (1 PM to 6 PM)</w:t>
      </w:r>
      <w:r w:rsidR="00A5705A" w:rsidRPr="00050374">
        <w:t xml:space="preserve"> </w:t>
      </w:r>
      <w:r w:rsidR="002171A9">
        <w:t xml:space="preserve">was calculated </w:t>
      </w:r>
      <w:r w:rsidR="00A5705A" w:rsidRPr="00050374">
        <w:t xml:space="preserve">for each customer and then divided into quintiles.  As expected, the largest fifth of customers accounted for most of the aggregate </w:t>
      </w:r>
      <w:r w:rsidR="00EA6C6A" w:rsidRPr="00050374">
        <w:t xml:space="preserve">reference load and </w:t>
      </w:r>
      <w:r w:rsidR="00A5705A" w:rsidRPr="00050374">
        <w:t>load impact during AMP event days.</w:t>
      </w:r>
      <w:r w:rsidR="00EA6C6A" w:rsidRPr="00050374">
        <w:t xml:space="preserve">  </w:t>
      </w:r>
    </w:p>
    <w:p w:rsidR="00A711A9" w:rsidRPr="00050374" w:rsidRDefault="00A711A9" w:rsidP="00A711A9">
      <w:pPr>
        <w:pStyle w:val="BodyParagraph"/>
      </w:pPr>
      <w:r w:rsidRPr="00050374">
        <w:t>For day-ahead resources, the largest f</w:t>
      </w:r>
      <w:r w:rsidR="005920D3">
        <w:t>ifth of customers account</w:t>
      </w:r>
      <w:r w:rsidR="002171A9">
        <w:t>ed</w:t>
      </w:r>
      <w:r w:rsidR="005920D3">
        <w:t xml:space="preserve"> for </w:t>
      </w:r>
      <w:r w:rsidR="003E754F">
        <w:t>71</w:t>
      </w:r>
      <w:r w:rsidRPr="00050374">
        <w:t>% of t</w:t>
      </w:r>
      <w:r w:rsidR="005920D3">
        <w:t xml:space="preserve">he program reference load and </w:t>
      </w:r>
      <w:r w:rsidR="00D649A8">
        <w:t>8</w:t>
      </w:r>
      <w:r w:rsidR="003E754F">
        <w:t>3</w:t>
      </w:r>
      <w:r w:rsidRPr="00050374">
        <w:t>% of the load impacts.  For day-of resources, the concentration is similar; the largest fi</w:t>
      </w:r>
      <w:r w:rsidR="002171A9">
        <w:t>fth of customers accounted</w:t>
      </w:r>
      <w:r w:rsidR="005920D3">
        <w:t xml:space="preserve"> for </w:t>
      </w:r>
      <w:r w:rsidR="001929AF">
        <w:t>71</w:t>
      </w:r>
      <w:r w:rsidR="005920D3">
        <w:t xml:space="preserve">% of the reference load and </w:t>
      </w:r>
      <w:r w:rsidR="003E754F">
        <w:t>6</w:t>
      </w:r>
      <w:r w:rsidR="001929AF">
        <w:t>7</w:t>
      </w:r>
      <w:r w:rsidRPr="00050374">
        <w:t xml:space="preserve">% </w:t>
      </w:r>
      <w:r w:rsidR="00F56ADB">
        <w:t xml:space="preserve">of </w:t>
      </w:r>
      <w:r w:rsidRPr="00050374">
        <w:t>the load impacts.</w:t>
      </w:r>
      <w:r w:rsidR="00BB6A50">
        <w:t xml:space="preserve">  </w:t>
      </w:r>
    </w:p>
    <w:p w:rsidR="00A711A9" w:rsidRPr="00763059" w:rsidRDefault="003E5B2E" w:rsidP="00BA25E2">
      <w:pPr>
        <w:pStyle w:val="TableFigureCaption"/>
        <w:rPr>
          <w:rStyle w:val="Strong"/>
          <w:b/>
          <w:bCs w:val="0"/>
        </w:rPr>
      </w:pPr>
      <w:r w:rsidRPr="00763059">
        <w:rPr>
          <w:rStyle w:val="Strong"/>
          <w:b/>
          <w:bCs w:val="0"/>
        </w:rPr>
        <w:lastRenderedPageBreak/>
        <w:t xml:space="preserve">Figure </w:t>
      </w:r>
      <w:r w:rsidR="00A52143">
        <w:rPr>
          <w:rStyle w:val="Strong"/>
          <w:b/>
          <w:bCs w:val="0"/>
        </w:rPr>
        <w:t>4</w:t>
      </w:r>
      <w:r w:rsidR="00A711A9" w:rsidRPr="00763059">
        <w:rPr>
          <w:rStyle w:val="Strong"/>
          <w:b/>
          <w:bCs w:val="0"/>
        </w:rPr>
        <w:t>-</w:t>
      </w:r>
      <w:r w:rsidRPr="00763059">
        <w:rPr>
          <w:rStyle w:val="Strong"/>
          <w:b/>
          <w:bCs w:val="0"/>
        </w:rPr>
        <w:t>2</w:t>
      </w:r>
      <w:r w:rsidR="00A711A9" w:rsidRPr="00763059">
        <w:rPr>
          <w:rStyle w:val="Strong"/>
          <w:b/>
          <w:bCs w:val="0"/>
        </w:rPr>
        <w:t>:</w:t>
      </w:r>
      <w:r w:rsidR="00270ED1">
        <w:rPr>
          <w:rStyle w:val="Strong"/>
          <w:b/>
          <w:bCs w:val="0"/>
        </w:rPr>
        <w:t xml:space="preserve"> </w:t>
      </w:r>
      <w:r w:rsidR="00A711A9" w:rsidRPr="00763059">
        <w:rPr>
          <w:rStyle w:val="Strong"/>
          <w:b/>
          <w:bCs w:val="0"/>
        </w:rPr>
        <w:t>Estimated Ex</w:t>
      </w:r>
      <w:r w:rsidR="00D16214" w:rsidRPr="00763059">
        <w:rPr>
          <w:rStyle w:val="Strong"/>
          <w:b/>
          <w:bCs w:val="0"/>
        </w:rPr>
        <w:t xml:space="preserve"> </w:t>
      </w:r>
      <w:r w:rsidR="00A711A9" w:rsidRPr="00763059">
        <w:rPr>
          <w:rStyle w:val="Strong"/>
          <w:b/>
          <w:bCs w:val="0"/>
        </w:rPr>
        <w:t xml:space="preserve">Post Load Impacts by </w:t>
      </w:r>
      <w:r w:rsidR="00B95A7B" w:rsidRPr="00763059">
        <w:rPr>
          <w:rStyle w:val="Strong"/>
          <w:b/>
          <w:bCs w:val="0"/>
        </w:rPr>
        <w:t>Customer Size</w:t>
      </w:r>
      <w:r w:rsidR="00A711A9" w:rsidRPr="00763059">
        <w:rPr>
          <w:rStyle w:val="Strong"/>
          <w:b/>
          <w:bCs w:val="0"/>
        </w:rPr>
        <w:br/>
        <w:t>Average 2011 PG&amp;E AMP Event</w:t>
      </w:r>
    </w:p>
    <w:p w:rsidR="005310C6" w:rsidRDefault="005310C6">
      <w:pPr>
        <w:pStyle w:val="ListParagraph"/>
        <w:jc w:val="center"/>
        <w:rPr>
          <w:rStyle w:val="Strong"/>
        </w:rPr>
      </w:pPr>
      <w:r>
        <w:rPr>
          <w:noProof/>
        </w:rPr>
        <w:drawing>
          <wp:inline distT="0" distB="0" distL="0" distR="0">
            <wp:extent cx="5905500" cy="2400300"/>
            <wp:effectExtent l="1905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905500" cy="2400300"/>
                    </a:xfrm>
                    <a:prstGeom prst="rect">
                      <a:avLst/>
                    </a:prstGeom>
                    <a:noFill/>
                    <a:ln w="9525">
                      <a:noFill/>
                      <a:miter lim="800000"/>
                      <a:headEnd/>
                      <a:tailEnd/>
                    </a:ln>
                  </pic:spPr>
                </pic:pic>
              </a:graphicData>
            </a:graphic>
          </wp:inline>
        </w:drawing>
      </w:r>
    </w:p>
    <w:p w:rsidR="005310C6" w:rsidRDefault="00A5705A">
      <w:pPr>
        <w:pStyle w:val="Heading2"/>
        <w:spacing w:before="360"/>
        <w:ind w:left="547" w:hanging="547"/>
      </w:pPr>
      <w:bookmarkStart w:id="110" w:name="_Toc320625154"/>
      <w:bookmarkStart w:id="111" w:name="_Toc320626085"/>
      <w:bookmarkStart w:id="112" w:name="_Toc320626897"/>
      <w:bookmarkStart w:id="113" w:name="_Toc320627136"/>
      <w:bookmarkStart w:id="114" w:name="_Toc320693152"/>
      <w:bookmarkStart w:id="115" w:name="_Toc320703029"/>
      <w:bookmarkStart w:id="116" w:name="_Toc326074015"/>
      <w:bookmarkEnd w:id="110"/>
      <w:bookmarkEnd w:id="111"/>
      <w:bookmarkEnd w:id="112"/>
      <w:bookmarkEnd w:id="113"/>
      <w:bookmarkEnd w:id="114"/>
      <w:bookmarkEnd w:id="115"/>
      <w:r w:rsidRPr="00050374">
        <w:t>C</w:t>
      </w:r>
      <w:r w:rsidR="00EA6C6A" w:rsidRPr="00050374">
        <w:t xml:space="preserve">apacity Bidding Program </w:t>
      </w:r>
      <w:r w:rsidR="00A462D3">
        <w:t>Load Impacts</w:t>
      </w:r>
      <w:bookmarkEnd w:id="116"/>
    </w:p>
    <w:p w:rsidR="006A1974" w:rsidRPr="00050374" w:rsidRDefault="0062645C" w:rsidP="00A5705A">
      <w:pPr>
        <w:pStyle w:val="BodyParagraph"/>
      </w:pPr>
      <w:r w:rsidRPr="00050374">
        <w:t xml:space="preserve">Table </w:t>
      </w:r>
      <w:r w:rsidR="00A52143">
        <w:t>4</w:t>
      </w:r>
      <w:r w:rsidRPr="00050374">
        <w:t>-</w:t>
      </w:r>
      <w:r w:rsidR="003E5B2E">
        <w:t>5</w:t>
      </w:r>
      <w:r w:rsidR="00A5705A" w:rsidRPr="00050374">
        <w:t xml:space="preserve"> </w:t>
      </w:r>
      <w:r w:rsidR="002171A9">
        <w:t xml:space="preserve">contains </w:t>
      </w:r>
      <w:r w:rsidR="00A5705A" w:rsidRPr="00050374">
        <w:t>the estimated ex</w:t>
      </w:r>
      <w:r w:rsidR="00D16214" w:rsidRPr="00050374">
        <w:t xml:space="preserve"> </w:t>
      </w:r>
      <w:r w:rsidR="00A5705A" w:rsidRPr="00050374">
        <w:t xml:space="preserve">post load impacts for each CBP event day and </w:t>
      </w:r>
      <w:r w:rsidR="002171A9">
        <w:t xml:space="preserve">for </w:t>
      </w:r>
      <w:r w:rsidR="00A5705A" w:rsidRPr="00050374">
        <w:t xml:space="preserve">the average event in 2011. </w:t>
      </w:r>
      <w:r w:rsidR="006A1974" w:rsidRPr="00050374">
        <w:t xml:space="preserve"> CBP </w:t>
      </w:r>
      <w:r w:rsidR="00F95446">
        <w:t>day</w:t>
      </w:r>
      <w:r w:rsidR="00D60043">
        <w:t>-of</w:t>
      </w:r>
      <w:r w:rsidR="00F95446">
        <w:t xml:space="preserve"> resource</w:t>
      </w:r>
      <w:r w:rsidR="006A1974" w:rsidRPr="00050374">
        <w:t>s were dispatched for two events starting at 3 PM and ending at 5 PM, while the event window for CBP day-ahead reso</w:t>
      </w:r>
      <w:r w:rsidR="002171A9">
        <w:t>urces varied across the seven events that were called in</w:t>
      </w:r>
      <w:r w:rsidR="00A00B41">
        <w:t> </w:t>
      </w:r>
      <w:r w:rsidR="002171A9">
        <w:t>2011</w:t>
      </w:r>
      <w:r w:rsidR="006A1974" w:rsidRPr="00050374">
        <w:t xml:space="preserve">. </w:t>
      </w:r>
    </w:p>
    <w:p w:rsidR="0041026C" w:rsidRDefault="006A1974" w:rsidP="00A5705A">
      <w:pPr>
        <w:pStyle w:val="BodyParagraph"/>
      </w:pPr>
      <w:r w:rsidRPr="00050374">
        <w:t xml:space="preserve">On average, </w:t>
      </w:r>
      <w:r w:rsidR="00A5705A" w:rsidRPr="00050374">
        <w:t xml:space="preserve">day-ahead </w:t>
      </w:r>
      <w:r w:rsidRPr="00050374">
        <w:t xml:space="preserve">notification </w:t>
      </w:r>
      <w:r w:rsidR="00DA6187" w:rsidRPr="00050374">
        <w:t xml:space="preserve">customers reduced demand by </w:t>
      </w:r>
      <w:r w:rsidR="0041026C">
        <w:t>29</w:t>
      </w:r>
      <w:r w:rsidR="00D649A8" w:rsidRPr="00050374">
        <w:t>%</w:t>
      </w:r>
      <w:r w:rsidRPr="00050374">
        <w:t xml:space="preserve"> and delivered 1</w:t>
      </w:r>
      <w:r w:rsidR="001741D9">
        <w:t>4</w:t>
      </w:r>
      <w:r w:rsidRPr="00050374">
        <w:t xml:space="preserve"> MW of demand reduction</w:t>
      </w:r>
      <w:r w:rsidR="00A5705A" w:rsidRPr="00050374">
        <w:t xml:space="preserve">.  </w:t>
      </w:r>
      <w:r w:rsidRPr="00050374">
        <w:t>Customer</w:t>
      </w:r>
      <w:r w:rsidR="00D16214" w:rsidRPr="00050374">
        <w:t>s</w:t>
      </w:r>
      <w:r w:rsidRPr="00050374">
        <w:t xml:space="preserve"> with </w:t>
      </w:r>
      <w:r w:rsidR="00F95446">
        <w:t>same-day notification</w:t>
      </w:r>
      <w:r w:rsidRPr="00050374">
        <w:t xml:space="preserve"> </w:t>
      </w:r>
      <w:r w:rsidR="002171A9">
        <w:t xml:space="preserve">had </w:t>
      </w:r>
      <w:r w:rsidRPr="00050374">
        <w:t>smalle</w:t>
      </w:r>
      <w:r w:rsidR="00FD7445">
        <w:t>r percent demand reduction</w:t>
      </w:r>
      <w:r w:rsidR="002171A9">
        <w:t>s.  F</w:t>
      </w:r>
      <w:r w:rsidR="00D5738E">
        <w:t xml:space="preserve">or the average event, customers on the 1-4 </w:t>
      </w:r>
      <w:r w:rsidR="002171A9">
        <w:t>h</w:t>
      </w:r>
      <w:r w:rsidR="00D5738E">
        <w:t xml:space="preserve">our product reduced demand </w:t>
      </w:r>
      <w:r w:rsidR="00D649A8">
        <w:t>2</w:t>
      </w:r>
      <w:r w:rsidR="0041026C">
        <w:t>2</w:t>
      </w:r>
      <w:r w:rsidR="00D649A8" w:rsidRPr="00050374">
        <w:t>%</w:t>
      </w:r>
      <w:r w:rsidRPr="00050374">
        <w:t xml:space="preserve"> and delivered </w:t>
      </w:r>
      <w:r w:rsidR="00D5738E">
        <w:t>13</w:t>
      </w:r>
      <w:r w:rsidR="00D5738E" w:rsidRPr="00050374">
        <w:t xml:space="preserve"> </w:t>
      </w:r>
      <w:r w:rsidRPr="00050374">
        <w:t>MW of aggregate demand reduction</w:t>
      </w:r>
      <w:r w:rsidR="00D5738E">
        <w:t xml:space="preserve">, whereas customers on the 2-6 </w:t>
      </w:r>
      <w:r w:rsidR="002171A9">
        <w:t>h</w:t>
      </w:r>
      <w:r w:rsidR="00D5738E">
        <w:t xml:space="preserve">our product reduced demand </w:t>
      </w:r>
      <w:r w:rsidR="006436C3">
        <w:t>2</w:t>
      </w:r>
      <w:r w:rsidR="0041026C">
        <w:t>0</w:t>
      </w:r>
      <w:r w:rsidR="00D5738E">
        <w:t xml:space="preserve">% and delivered </w:t>
      </w:r>
      <w:r w:rsidR="006436C3">
        <w:t>4.</w:t>
      </w:r>
      <w:r w:rsidR="0041026C">
        <w:t>6</w:t>
      </w:r>
      <w:r w:rsidR="00D5738E">
        <w:t xml:space="preserve"> MW of aggregate demand reduction</w:t>
      </w:r>
      <w:r w:rsidRPr="00050374">
        <w:t>.  The</w:t>
      </w:r>
      <w:r w:rsidR="00A63998" w:rsidRPr="00050374">
        <w:t xml:space="preserve"> </w:t>
      </w:r>
      <w:r w:rsidR="002171A9">
        <w:t xml:space="preserve">estimated </w:t>
      </w:r>
      <w:r w:rsidR="00A63998" w:rsidRPr="00050374">
        <w:t xml:space="preserve">impacts </w:t>
      </w:r>
      <w:r w:rsidR="00FD7445">
        <w:t>are</w:t>
      </w:r>
      <w:r w:rsidR="00D649A8">
        <w:t xml:space="preserve"> </w:t>
      </w:r>
      <w:r w:rsidR="0041026C">
        <w:t>generally</w:t>
      </w:r>
      <w:r w:rsidR="00FD7445">
        <w:t xml:space="preserve"> consistent across events, </w:t>
      </w:r>
      <w:r w:rsidR="002171A9">
        <w:t>except for the</w:t>
      </w:r>
      <w:r w:rsidR="00FD7445">
        <w:t xml:space="preserve"> July 5 day</w:t>
      </w:r>
      <w:r w:rsidR="00D60043">
        <w:t>-of</w:t>
      </w:r>
      <w:r w:rsidR="00FD7445">
        <w:t xml:space="preserve"> notification customers</w:t>
      </w:r>
      <w:r w:rsidR="002171A9">
        <w:t>, which had the lowest percentage reduction of all the events, at 17%</w:t>
      </w:r>
      <w:r w:rsidR="00FD7445">
        <w:t>.</w:t>
      </w:r>
      <w:r w:rsidR="006436C3">
        <w:t xml:space="preserve">  </w:t>
      </w:r>
      <w:r w:rsidR="00D60043">
        <w:t xml:space="preserve">This relatively low load </w:t>
      </w:r>
      <w:r w:rsidR="001741D9">
        <w:t xml:space="preserve">reduction </w:t>
      </w:r>
      <w:r w:rsidR="00D60043">
        <w:t xml:space="preserve">may have been due to the fact that July 5 was the day </w:t>
      </w:r>
      <w:r w:rsidR="0041026C">
        <w:t xml:space="preserve">immediately </w:t>
      </w:r>
      <w:r w:rsidR="00D60043">
        <w:t>after a holiday</w:t>
      </w:r>
      <w:r w:rsidR="006436C3">
        <w:t xml:space="preserve">. </w:t>
      </w:r>
    </w:p>
    <w:p w:rsidR="0041026C" w:rsidRPr="00050374" w:rsidRDefault="0041026C" w:rsidP="0041026C">
      <w:pPr>
        <w:pStyle w:val="BodyParaAfterTableFigure"/>
      </w:pPr>
      <w:r w:rsidRPr="00050374">
        <w:t xml:space="preserve">Figure </w:t>
      </w:r>
      <w:r>
        <w:t>4</w:t>
      </w:r>
      <w:r w:rsidRPr="00050374">
        <w:t>-</w:t>
      </w:r>
      <w:r>
        <w:t>3</w:t>
      </w:r>
      <w:r w:rsidRPr="00050374">
        <w:t xml:space="preserve"> shows the </w:t>
      </w:r>
      <w:r>
        <w:t xml:space="preserve">estimated </w:t>
      </w:r>
      <w:r w:rsidRPr="00050374">
        <w:t xml:space="preserve">hourly electricity patterns with and without DR on September 21, when both </w:t>
      </w:r>
      <w:r>
        <w:t xml:space="preserve">day-of and day-ahead </w:t>
      </w:r>
      <w:r w:rsidRPr="00050374">
        <w:t>resources wer</w:t>
      </w:r>
      <w:r>
        <w:t>e dispatched from 3 PM to 5 PM.  The responses of both resources are similar in magnitude and load reductions are tightly bounded to the event window.</w:t>
      </w:r>
    </w:p>
    <w:p w:rsidR="00270ED1" w:rsidRDefault="00270ED1">
      <w:pPr>
        <w:rPr>
          <w:rFonts w:ascii="Verdana" w:hAnsi="Verdana"/>
          <w:sz w:val="18"/>
        </w:rPr>
      </w:pPr>
      <w:r>
        <w:br w:type="page"/>
      </w:r>
    </w:p>
    <w:p w:rsidR="00EA6C6A" w:rsidRDefault="0062645C" w:rsidP="00270ED1">
      <w:pPr>
        <w:pStyle w:val="TableFigureCaption"/>
        <w:rPr>
          <w:rStyle w:val="Strong"/>
          <w:b/>
          <w:bCs w:val="0"/>
        </w:rPr>
      </w:pPr>
      <w:r w:rsidRPr="00050374">
        <w:rPr>
          <w:rStyle w:val="Strong"/>
          <w:b/>
          <w:bCs w:val="0"/>
        </w:rPr>
        <w:lastRenderedPageBreak/>
        <w:t xml:space="preserve">Table </w:t>
      </w:r>
      <w:r w:rsidR="00A52143">
        <w:rPr>
          <w:rStyle w:val="Strong"/>
          <w:b/>
          <w:bCs w:val="0"/>
        </w:rPr>
        <w:t>4</w:t>
      </w:r>
      <w:r w:rsidRPr="00050374">
        <w:rPr>
          <w:rStyle w:val="Strong"/>
          <w:b/>
          <w:bCs w:val="0"/>
        </w:rPr>
        <w:t>-</w:t>
      </w:r>
      <w:r w:rsidR="003E5B2E">
        <w:rPr>
          <w:rStyle w:val="Strong"/>
          <w:b/>
          <w:bCs w:val="0"/>
        </w:rPr>
        <w:t>5</w:t>
      </w:r>
      <w:r w:rsidR="00A5705A" w:rsidRPr="00050374">
        <w:rPr>
          <w:rStyle w:val="Strong"/>
          <w:b/>
          <w:bCs w:val="0"/>
        </w:rPr>
        <w:t>:</w:t>
      </w:r>
      <w:r w:rsidR="00270ED1">
        <w:rPr>
          <w:rStyle w:val="Strong"/>
          <w:b/>
          <w:bCs w:val="0"/>
        </w:rPr>
        <w:t xml:space="preserve"> </w:t>
      </w:r>
      <w:r w:rsidR="00A5705A" w:rsidRPr="00050374">
        <w:rPr>
          <w:rStyle w:val="Strong"/>
          <w:b/>
          <w:bCs w:val="0"/>
        </w:rPr>
        <w:t>Estimated Ex</w:t>
      </w:r>
      <w:r w:rsidR="00D16214" w:rsidRPr="00050374">
        <w:rPr>
          <w:rStyle w:val="Strong"/>
          <w:b/>
          <w:bCs w:val="0"/>
        </w:rPr>
        <w:t xml:space="preserve"> </w:t>
      </w:r>
      <w:r w:rsidR="00A5705A" w:rsidRPr="00050374">
        <w:rPr>
          <w:rStyle w:val="Strong"/>
          <w:b/>
          <w:bCs w:val="0"/>
        </w:rPr>
        <w:t>Post Load Impacts by Event Day</w:t>
      </w:r>
      <w:r w:rsidR="00A5705A" w:rsidRPr="00050374">
        <w:rPr>
          <w:rStyle w:val="Strong"/>
          <w:b/>
          <w:bCs w:val="0"/>
        </w:rPr>
        <w:br/>
        <w:t>2011 PG&amp;E CBP Events</w:t>
      </w:r>
    </w:p>
    <w:tbl>
      <w:tblPr>
        <w:tblW w:w="5000" w:type="pct"/>
        <w:tblLayout w:type="fixed"/>
        <w:tblLook w:val="04A0"/>
      </w:tblPr>
      <w:tblGrid>
        <w:gridCol w:w="798"/>
        <w:gridCol w:w="1356"/>
        <w:gridCol w:w="879"/>
        <w:gridCol w:w="907"/>
        <w:gridCol w:w="914"/>
        <w:gridCol w:w="914"/>
        <w:gridCol w:w="922"/>
        <w:gridCol w:w="922"/>
        <w:gridCol w:w="878"/>
        <w:gridCol w:w="956"/>
      </w:tblGrid>
      <w:tr w:rsidR="0041026C" w:rsidRPr="0041026C" w:rsidTr="00270ED1">
        <w:trPr>
          <w:trHeight w:val="996"/>
        </w:trPr>
        <w:tc>
          <w:tcPr>
            <w:tcW w:w="422" w:type="pct"/>
            <w:tcBorders>
              <w:top w:val="single" w:sz="4" w:space="0" w:color="auto"/>
              <w:left w:val="single" w:sz="4" w:space="0" w:color="auto"/>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Program</w:t>
            </w:r>
          </w:p>
        </w:tc>
        <w:tc>
          <w:tcPr>
            <w:tcW w:w="717" w:type="pct"/>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Event Date</w:t>
            </w:r>
          </w:p>
        </w:tc>
        <w:tc>
          <w:tcPr>
            <w:tcW w:w="465" w:type="pct"/>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Accts</w:t>
            </w:r>
          </w:p>
        </w:tc>
        <w:tc>
          <w:tcPr>
            <w:tcW w:w="480" w:type="pct"/>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Avg. Reference Load (kW)</w:t>
            </w:r>
          </w:p>
        </w:tc>
        <w:tc>
          <w:tcPr>
            <w:tcW w:w="484" w:type="pct"/>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Avg. Load Reduction (kW)</w:t>
            </w:r>
          </w:p>
        </w:tc>
        <w:tc>
          <w:tcPr>
            <w:tcW w:w="484" w:type="pct"/>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 Load Reduction</w:t>
            </w:r>
          </w:p>
        </w:tc>
        <w:tc>
          <w:tcPr>
            <w:tcW w:w="488" w:type="pct"/>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Aggregate Reference Load (MW)</w:t>
            </w:r>
          </w:p>
        </w:tc>
        <w:tc>
          <w:tcPr>
            <w:tcW w:w="488" w:type="pct"/>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Aggregate Load Impact (MW)</w:t>
            </w:r>
          </w:p>
        </w:tc>
        <w:tc>
          <w:tcPr>
            <w:tcW w:w="465" w:type="pct"/>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Avg. Temp During Event</w:t>
            </w:r>
          </w:p>
        </w:tc>
        <w:tc>
          <w:tcPr>
            <w:tcW w:w="506" w:type="pct"/>
            <w:tcBorders>
              <w:top w:val="single" w:sz="4" w:space="0" w:color="auto"/>
              <w:left w:val="nil"/>
              <w:bottom w:val="single" w:sz="4" w:space="0" w:color="auto"/>
              <w:right w:val="single" w:sz="4" w:space="0" w:color="auto"/>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Nominated MW*</w:t>
            </w:r>
          </w:p>
        </w:tc>
      </w:tr>
      <w:tr w:rsidR="0041026C" w:rsidRPr="0041026C" w:rsidTr="00270ED1">
        <w:trPr>
          <w:trHeight w:val="396"/>
        </w:trPr>
        <w:tc>
          <w:tcPr>
            <w:tcW w:w="422" w:type="pct"/>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CBP-DA 1-4 Hour</w:t>
            </w:r>
          </w:p>
        </w:tc>
        <w:tc>
          <w:tcPr>
            <w:tcW w:w="71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07/05/2011</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127</w:t>
            </w:r>
          </w:p>
        </w:tc>
        <w:tc>
          <w:tcPr>
            <w:tcW w:w="48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295.1</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80.9</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27.4%</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37.5</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10.3</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92.3</w:t>
            </w:r>
          </w:p>
        </w:tc>
        <w:tc>
          <w:tcPr>
            <w:tcW w:w="506"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17.9</w:t>
            </w:r>
          </w:p>
        </w:tc>
      </w:tr>
      <w:tr w:rsidR="0041026C" w:rsidRPr="0041026C" w:rsidTr="00270ED1">
        <w:trPr>
          <w:trHeight w:val="396"/>
        </w:trPr>
        <w:tc>
          <w:tcPr>
            <w:tcW w:w="422"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71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07/06/2011</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127</w:t>
            </w:r>
          </w:p>
        </w:tc>
        <w:tc>
          <w:tcPr>
            <w:tcW w:w="48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286.9</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92.4</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32.2%</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36.4</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11.7</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94.2</w:t>
            </w:r>
          </w:p>
        </w:tc>
        <w:tc>
          <w:tcPr>
            <w:tcW w:w="506"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17.9</w:t>
            </w:r>
          </w:p>
        </w:tc>
      </w:tr>
      <w:tr w:rsidR="0041026C" w:rsidRPr="0041026C" w:rsidTr="00270ED1">
        <w:trPr>
          <w:trHeight w:val="396"/>
        </w:trPr>
        <w:tc>
          <w:tcPr>
            <w:tcW w:w="422"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71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08/25/2011</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154</w:t>
            </w:r>
          </w:p>
        </w:tc>
        <w:tc>
          <w:tcPr>
            <w:tcW w:w="48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351.0</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102.3</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29.2%</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54.1</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15.8</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87.7</w:t>
            </w:r>
          </w:p>
        </w:tc>
        <w:tc>
          <w:tcPr>
            <w:tcW w:w="506"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19.1</w:t>
            </w:r>
          </w:p>
        </w:tc>
      </w:tr>
      <w:tr w:rsidR="0041026C" w:rsidRPr="0041026C" w:rsidTr="00270ED1">
        <w:trPr>
          <w:trHeight w:val="396"/>
        </w:trPr>
        <w:tc>
          <w:tcPr>
            <w:tcW w:w="422"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71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08/26/2011</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154</w:t>
            </w:r>
          </w:p>
        </w:tc>
        <w:tc>
          <w:tcPr>
            <w:tcW w:w="48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349.3</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116.5</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33.3%</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53.8</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17.9</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87.4</w:t>
            </w:r>
          </w:p>
        </w:tc>
        <w:tc>
          <w:tcPr>
            <w:tcW w:w="506"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19.1</w:t>
            </w:r>
          </w:p>
        </w:tc>
      </w:tr>
      <w:tr w:rsidR="0041026C" w:rsidRPr="0041026C" w:rsidTr="00270ED1">
        <w:trPr>
          <w:trHeight w:val="396"/>
        </w:trPr>
        <w:tc>
          <w:tcPr>
            <w:tcW w:w="422"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71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09/07/2011</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162</w:t>
            </w:r>
          </w:p>
        </w:tc>
        <w:tc>
          <w:tcPr>
            <w:tcW w:w="48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304.7</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84.0</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27.6%</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49.4</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13.6</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92.7</w:t>
            </w:r>
          </w:p>
        </w:tc>
        <w:tc>
          <w:tcPr>
            <w:tcW w:w="506"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19.9</w:t>
            </w:r>
          </w:p>
        </w:tc>
      </w:tr>
      <w:tr w:rsidR="0041026C" w:rsidRPr="0041026C" w:rsidTr="00270ED1">
        <w:trPr>
          <w:trHeight w:val="396"/>
        </w:trPr>
        <w:tc>
          <w:tcPr>
            <w:tcW w:w="422"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71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09/21/2011</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162</w:t>
            </w:r>
          </w:p>
        </w:tc>
        <w:tc>
          <w:tcPr>
            <w:tcW w:w="48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308.0</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85.0</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27.6%</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49.9</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13.8</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91.1</w:t>
            </w:r>
          </w:p>
        </w:tc>
        <w:tc>
          <w:tcPr>
            <w:tcW w:w="506"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19.9</w:t>
            </w:r>
          </w:p>
        </w:tc>
      </w:tr>
      <w:tr w:rsidR="0041026C" w:rsidRPr="0041026C" w:rsidTr="00270ED1">
        <w:trPr>
          <w:trHeight w:val="396"/>
        </w:trPr>
        <w:tc>
          <w:tcPr>
            <w:tcW w:w="422"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71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09/22/2011</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161</w:t>
            </w:r>
          </w:p>
        </w:tc>
        <w:tc>
          <w:tcPr>
            <w:tcW w:w="48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309.8</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81.5</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26.3%</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49.9</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13.1</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91.0</w:t>
            </w:r>
          </w:p>
        </w:tc>
        <w:tc>
          <w:tcPr>
            <w:tcW w:w="506"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19.9</w:t>
            </w:r>
          </w:p>
        </w:tc>
      </w:tr>
      <w:tr w:rsidR="0041026C" w:rsidRPr="0041026C" w:rsidTr="00270ED1">
        <w:trPr>
          <w:trHeight w:val="396"/>
        </w:trPr>
        <w:tc>
          <w:tcPr>
            <w:tcW w:w="422"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71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Average Event</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150</w:t>
            </w:r>
          </w:p>
        </w:tc>
        <w:tc>
          <w:tcPr>
            <w:tcW w:w="48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315.7</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90.7</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28.7%</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47.4</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13.6</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90.8</w:t>
            </w:r>
          </w:p>
        </w:tc>
        <w:tc>
          <w:tcPr>
            <w:tcW w:w="506"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19.1</w:t>
            </w:r>
          </w:p>
        </w:tc>
      </w:tr>
      <w:tr w:rsidR="0041026C" w:rsidRPr="0041026C" w:rsidTr="00270ED1">
        <w:trPr>
          <w:trHeight w:val="396"/>
        </w:trPr>
        <w:tc>
          <w:tcPr>
            <w:tcW w:w="422" w:type="pct"/>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CBP-DO 1-4 Hour</w:t>
            </w:r>
          </w:p>
        </w:tc>
        <w:tc>
          <w:tcPr>
            <w:tcW w:w="71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07/05/2011</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150</w:t>
            </w:r>
          </w:p>
        </w:tc>
        <w:tc>
          <w:tcPr>
            <w:tcW w:w="48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418.5</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70.9</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16.9%</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62.8</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10.6</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90.3</w:t>
            </w:r>
          </w:p>
        </w:tc>
        <w:tc>
          <w:tcPr>
            <w:tcW w:w="506"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16.7</w:t>
            </w:r>
          </w:p>
        </w:tc>
      </w:tr>
      <w:tr w:rsidR="0041026C" w:rsidRPr="0041026C" w:rsidTr="00270ED1">
        <w:trPr>
          <w:trHeight w:val="396"/>
        </w:trPr>
        <w:tc>
          <w:tcPr>
            <w:tcW w:w="422"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71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09/21/2011</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127</w:t>
            </w:r>
          </w:p>
        </w:tc>
        <w:tc>
          <w:tcPr>
            <w:tcW w:w="48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405.8</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104.3</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25.7%</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51.5</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13.3</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90.4</w:t>
            </w:r>
          </w:p>
        </w:tc>
        <w:tc>
          <w:tcPr>
            <w:tcW w:w="506"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13.5</w:t>
            </w:r>
          </w:p>
        </w:tc>
      </w:tr>
      <w:tr w:rsidR="0041026C" w:rsidRPr="0041026C" w:rsidTr="00270ED1">
        <w:trPr>
          <w:trHeight w:val="432"/>
        </w:trPr>
        <w:tc>
          <w:tcPr>
            <w:tcW w:w="422"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71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Average Event</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139</w:t>
            </w:r>
          </w:p>
        </w:tc>
        <w:tc>
          <w:tcPr>
            <w:tcW w:w="48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410.5</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91.9</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22.4%</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57.1</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12.8</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90.3</w:t>
            </w:r>
          </w:p>
        </w:tc>
        <w:tc>
          <w:tcPr>
            <w:tcW w:w="506"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15.1</w:t>
            </w:r>
          </w:p>
        </w:tc>
      </w:tr>
      <w:tr w:rsidR="0041026C" w:rsidRPr="0041026C" w:rsidTr="00270ED1">
        <w:trPr>
          <w:trHeight w:val="420"/>
        </w:trPr>
        <w:tc>
          <w:tcPr>
            <w:tcW w:w="422" w:type="pc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CBP-DO 2-6 Hour</w:t>
            </w:r>
          </w:p>
        </w:tc>
        <w:tc>
          <w:tcPr>
            <w:tcW w:w="71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09/21/2011</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80</w:t>
            </w:r>
          </w:p>
        </w:tc>
        <w:tc>
          <w:tcPr>
            <w:tcW w:w="48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284.2</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57.5</w:t>
            </w:r>
          </w:p>
        </w:tc>
        <w:tc>
          <w:tcPr>
            <w:tcW w:w="48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20.2%</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22.7</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4.6</w:t>
            </w:r>
          </w:p>
        </w:tc>
        <w:tc>
          <w:tcPr>
            <w:tcW w:w="46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88.8</w:t>
            </w:r>
          </w:p>
        </w:tc>
        <w:tc>
          <w:tcPr>
            <w:tcW w:w="506"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4.0</w:t>
            </w:r>
          </w:p>
        </w:tc>
      </w:tr>
    </w:tbl>
    <w:p w:rsidR="00A14074" w:rsidRDefault="00A14074" w:rsidP="00BA25E2">
      <w:pPr>
        <w:pStyle w:val="TableFigureCaption"/>
      </w:pPr>
    </w:p>
    <w:p w:rsidR="0062645C" w:rsidRPr="00050374" w:rsidRDefault="00DA6187" w:rsidP="00BA25E2">
      <w:pPr>
        <w:pStyle w:val="TableFigureCaption"/>
      </w:pPr>
      <w:r w:rsidRPr="00763059">
        <w:t>Figure</w:t>
      </w:r>
      <w:r w:rsidRPr="00050374">
        <w:t xml:space="preserve"> </w:t>
      </w:r>
      <w:r w:rsidR="00A52143">
        <w:t>4</w:t>
      </w:r>
      <w:r w:rsidRPr="00050374">
        <w:t>-</w:t>
      </w:r>
      <w:r w:rsidR="003E5B2E">
        <w:t>3</w:t>
      </w:r>
      <w:r w:rsidR="0062645C" w:rsidRPr="00050374">
        <w:t>:</w:t>
      </w:r>
      <w:r w:rsidR="00270ED1">
        <w:t xml:space="preserve"> </w:t>
      </w:r>
      <w:r w:rsidR="0062645C" w:rsidRPr="00050374">
        <w:t xml:space="preserve">PG&amp;E CBP Hourly Impacts for </w:t>
      </w:r>
      <w:r w:rsidR="00202F46">
        <w:t>September</w:t>
      </w:r>
      <w:r w:rsidRPr="00050374">
        <w:t xml:space="preserve"> </w:t>
      </w:r>
      <w:r w:rsidR="00202F46">
        <w:t>21</w:t>
      </w:r>
      <w:r w:rsidR="0062645C" w:rsidRPr="00050374">
        <w:t>, 2011</w:t>
      </w:r>
    </w:p>
    <w:p w:rsidR="00D649A8" w:rsidRPr="00270ED1" w:rsidRDefault="005310C6" w:rsidP="00270ED1">
      <w:pPr>
        <w:pStyle w:val="BodyParagraph"/>
        <w:jc w:val="center"/>
        <w:rPr>
          <w:rStyle w:val="Strong"/>
          <w:b w:val="0"/>
          <w:bCs w:val="0"/>
        </w:rPr>
      </w:pPr>
      <w:r>
        <w:rPr>
          <w:noProof/>
        </w:rPr>
        <w:drawing>
          <wp:inline distT="0" distB="0" distL="0" distR="0">
            <wp:extent cx="2552700" cy="2286000"/>
            <wp:effectExtent l="1905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552700" cy="2286000"/>
                    </a:xfrm>
                    <a:prstGeom prst="rect">
                      <a:avLst/>
                    </a:prstGeom>
                    <a:noFill/>
                    <a:ln w="9525">
                      <a:noFill/>
                      <a:miter lim="800000"/>
                      <a:headEnd/>
                      <a:tailEnd/>
                    </a:ln>
                  </pic:spPr>
                </pic:pic>
              </a:graphicData>
            </a:graphic>
          </wp:inline>
        </w:drawing>
      </w:r>
      <w:r>
        <w:rPr>
          <w:noProof/>
        </w:rPr>
        <w:drawing>
          <wp:inline distT="0" distB="0" distL="0" distR="0">
            <wp:extent cx="2552700" cy="2286000"/>
            <wp:effectExtent l="19050" t="0" r="0"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552700" cy="2286000"/>
                    </a:xfrm>
                    <a:prstGeom prst="rect">
                      <a:avLst/>
                    </a:prstGeom>
                    <a:noFill/>
                    <a:ln w="9525">
                      <a:noFill/>
                      <a:miter lim="800000"/>
                      <a:headEnd/>
                      <a:tailEnd/>
                    </a:ln>
                  </pic:spPr>
                </pic:pic>
              </a:graphicData>
            </a:graphic>
          </wp:inline>
        </w:drawing>
      </w:r>
    </w:p>
    <w:p w:rsidR="0062645C" w:rsidRPr="00050374" w:rsidRDefault="00D60043" w:rsidP="00BA25E2">
      <w:pPr>
        <w:pStyle w:val="Heading3"/>
      </w:pPr>
      <w:bookmarkStart w:id="117" w:name="_Toc320625156"/>
      <w:bookmarkStart w:id="118" w:name="_Toc320626087"/>
      <w:bookmarkStart w:id="119" w:name="_Toc320626899"/>
      <w:bookmarkStart w:id="120" w:name="_Toc320627138"/>
      <w:bookmarkStart w:id="121" w:name="_Toc320693154"/>
      <w:bookmarkStart w:id="122" w:name="_Toc320703031"/>
      <w:bookmarkStart w:id="123" w:name="_Toc326074016"/>
      <w:bookmarkEnd w:id="117"/>
      <w:bookmarkEnd w:id="118"/>
      <w:bookmarkEnd w:id="119"/>
      <w:bookmarkEnd w:id="120"/>
      <w:bookmarkEnd w:id="121"/>
      <w:bookmarkEnd w:id="122"/>
      <w:r>
        <w:t xml:space="preserve">CBP </w:t>
      </w:r>
      <w:r w:rsidR="0062645C" w:rsidRPr="00050374">
        <w:t>Demand Reductions by Industry</w:t>
      </w:r>
      <w:bookmarkEnd w:id="123"/>
    </w:p>
    <w:p w:rsidR="008D7B94" w:rsidRPr="00050374" w:rsidRDefault="00B01C5D" w:rsidP="008D7B94">
      <w:pPr>
        <w:pStyle w:val="BodyParagraph"/>
        <w:keepNext/>
      </w:pPr>
      <w:r>
        <w:t xml:space="preserve">Table </w:t>
      </w:r>
      <w:r w:rsidR="00A52143">
        <w:t>4</w:t>
      </w:r>
      <w:r>
        <w:t>-</w:t>
      </w:r>
      <w:r w:rsidR="003E5B2E">
        <w:t>6</w:t>
      </w:r>
      <w:r w:rsidR="008D7B94" w:rsidRPr="00050374">
        <w:t xml:space="preserve"> shows load impacts by industry</w:t>
      </w:r>
      <w:r w:rsidR="006436C3">
        <w:t xml:space="preserve"> for the average </w:t>
      </w:r>
      <w:r w:rsidR="00F56ADB">
        <w:t xml:space="preserve">PG&amp;E CBP </w:t>
      </w:r>
      <w:r w:rsidR="006436C3">
        <w:t>event</w:t>
      </w:r>
      <w:r w:rsidR="008D7B94" w:rsidRPr="00050374">
        <w:t xml:space="preserve">.  </w:t>
      </w:r>
      <w:r w:rsidR="00965D89">
        <w:t xml:space="preserve">Results for industries with few customers may not be statistically significant and should be interpreted with caution. </w:t>
      </w:r>
      <w:r w:rsidR="0015737F">
        <w:t xml:space="preserve"> </w:t>
      </w:r>
      <w:r w:rsidR="00F95446">
        <w:t>Day-ahead</w:t>
      </w:r>
      <w:r w:rsidR="008D7B94" w:rsidRPr="00050374">
        <w:t xml:space="preserve"> resources </w:t>
      </w:r>
      <w:r w:rsidR="006436C3">
        <w:t>we</w:t>
      </w:r>
      <w:r w:rsidR="008D7B94" w:rsidRPr="00050374">
        <w:t>re mainly from the Manufacturi</w:t>
      </w:r>
      <w:r w:rsidR="00FD7445">
        <w:t xml:space="preserve">ng sector, which accounts for </w:t>
      </w:r>
      <w:r w:rsidR="00C550E2">
        <w:t>9</w:t>
      </w:r>
      <w:r w:rsidR="008D7B94" w:rsidRPr="00050374">
        <w:t xml:space="preserve">% of </w:t>
      </w:r>
      <w:r w:rsidR="00F56ADB">
        <w:t>accounts</w:t>
      </w:r>
      <w:r w:rsidR="008D7B94" w:rsidRPr="00050374">
        <w:t xml:space="preserve">, </w:t>
      </w:r>
      <w:r w:rsidR="00EA64BF">
        <w:t>4</w:t>
      </w:r>
      <w:r w:rsidR="002D0E81">
        <w:t>4</w:t>
      </w:r>
      <w:r w:rsidR="008D7B94" w:rsidRPr="00050374">
        <w:t>% of the</w:t>
      </w:r>
      <w:r w:rsidR="00EA64BF">
        <w:t xml:space="preserve"> event</w:t>
      </w:r>
      <w:r w:rsidR="00E84681">
        <w:t>-</w:t>
      </w:r>
      <w:r w:rsidR="00EA64BF">
        <w:t>day reference load and 4</w:t>
      </w:r>
      <w:r w:rsidR="00965D89">
        <w:t>0</w:t>
      </w:r>
      <w:r w:rsidR="008D7B94" w:rsidRPr="00050374">
        <w:t xml:space="preserve">% of the </w:t>
      </w:r>
      <w:r w:rsidR="0006539C">
        <w:t xml:space="preserve">aggregate </w:t>
      </w:r>
      <w:r w:rsidR="008D7B94" w:rsidRPr="00050374">
        <w:t xml:space="preserve">impact.  </w:t>
      </w:r>
      <w:r w:rsidR="0084737F" w:rsidRPr="00050374">
        <w:t>Agriculture, Mining &amp; Constructio</w:t>
      </w:r>
      <w:r w:rsidR="00FD7445">
        <w:t>n account</w:t>
      </w:r>
      <w:r w:rsidR="006436C3">
        <w:t>ed</w:t>
      </w:r>
      <w:r w:rsidR="00FD7445">
        <w:t xml:space="preserve"> for an additiona</w:t>
      </w:r>
      <w:r w:rsidR="00EA64BF">
        <w:t xml:space="preserve">l </w:t>
      </w:r>
      <w:r w:rsidR="00C550E2">
        <w:t>38</w:t>
      </w:r>
      <w:r w:rsidR="0084737F" w:rsidRPr="00050374">
        <w:t>% of the aggregat</w:t>
      </w:r>
      <w:r w:rsidR="00FD7445">
        <w:t xml:space="preserve">e load impact, despite having </w:t>
      </w:r>
      <w:r w:rsidR="0006539C">
        <w:t xml:space="preserve">only </w:t>
      </w:r>
      <w:r w:rsidR="00D649A8">
        <w:t>1</w:t>
      </w:r>
      <w:r w:rsidR="00C550E2">
        <w:t>5</w:t>
      </w:r>
      <w:r w:rsidR="0084737F" w:rsidRPr="00050374">
        <w:t xml:space="preserve">% of the </w:t>
      </w:r>
      <w:r w:rsidR="0084737F" w:rsidRPr="00050374">
        <w:lastRenderedPageBreak/>
        <w:t>reference load; this customer seg</w:t>
      </w:r>
      <w:r w:rsidR="00FD7445">
        <w:t>ment reduced loads on average 72</w:t>
      </w:r>
      <w:r w:rsidR="0084737F" w:rsidRPr="00050374">
        <w:t xml:space="preserve">%, a far greater drop than other customer segments.  </w:t>
      </w:r>
      <w:r w:rsidR="008D7B94" w:rsidRPr="00050374">
        <w:t xml:space="preserve">In contrast, </w:t>
      </w:r>
      <w:r w:rsidR="006436C3">
        <w:t xml:space="preserve">reductions from </w:t>
      </w:r>
      <w:r w:rsidR="008D7B94" w:rsidRPr="00050374">
        <w:t xml:space="preserve">resources with </w:t>
      </w:r>
      <w:r w:rsidR="00F95446">
        <w:t>day</w:t>
      </w:r>
      <w:r w:rsidR="00D60043">
        <w:t>-of</w:t>
      </w:r>
      <w:r w:rsidR="00F95446">
        <w:t xml:space="preserve"> notification</w:t>
      </w:r>
      <w:r w:rsidR="006436C3">
        <w:t xml:space="preserve"> we</w:t>
      </w:r>
      <w:r w:rsidR="008D7B94" w:rsidRPr="00050374">
        <w:t xml:space="preserve">re </w:t>
      </w:r>
      <w:r w:rsidR="006436C3">
        <w:t>concentrated in</w:t>
      </w:r>
      <w:r w:rsidR="00FD7445">
        <w:t xml:space="preserve"> </w:t>
      </w:r>
      <w:r w:rsidR="00E84681">
        <w:t xml:space="preserve">a </w:t>
      </w:r>
      <w:r w:rsidR="00FD7445">
        <w:t xml:space="preserve">different business </w:t>
      </w:r>
      <w:r w:rsidR="00D649A8">
        <w:t>segment</w:t>
      </w:r>
      <w:r w:rsidR="00C550E2">
        <w:t>s</w:t>
      </w:r>
      <w:r w:rsidR="008D7B94" w:rsidRPr="00050374">
        <w:t>.</w:t>
      </w:r>
      <w:r w:rsidR="00FD7445">
        <w:t xml:space="preserve">  Retail stores, which ma</w:t>
      </w:r>
      <w:r w:rsidR="006436C3">
        <w:t>d</w:t>
      </w:r>
      <w:r w:rsidR="00FD7445">
        <w:t>e up 7</w:t>
      </w:r>
      <w:r w:rsidR="00C550E2">
        <w:t>7</w:t>
      </w:r>
      <w:r w:rsidR="00FD7445">
        <w:t>% of day</w:t>
      </w:r>
      <w:r w:rsidR="00D60043">
        <w:t>-of</w:t>
      </w:r>
      <w:r w:rsidR="00FD7445">
        <w:t xml:space="preserve"> customers, account</w:t>
      </w:r>
      <w:r w:rsidR="006436C3">
        <w:t xml:space="preserve">ed </w:t>
      </w:r>
      <w:r w:rsidR="00FD7445">
        <w:t xml:space="preserve">for </w:t>
      </w:r>
      <w:r w:rsidR="0015737F">
        <w:t>60</w:t>
      </w:r>
      <w:r w:rsidR="00FD7445">
        <w:t xml:space="preserve">% of </w:t>
      </w:r>
      <w:r w:rsidR="00200AE7">
        <w:t xml:space="preserve">the program </w:t>
      </w:r>
      <w:r w:rsidR="00FD7445">
        <w:t>reference load and 4</w:t>
      </w:r>
      <w:r w:rsidR="0015737F">
        <w:t>2</w:t>
      </w:r>
      <w:r w:rsidR="00FD7445">
        <w:t xml:space="preserve">% of </w:t>
      </w:r>
      <w:r w:rsidR="0006539C">
        <w:t xml:space="preserve">the aggregate </w:t>
      </w:r>
      <w:r w:rsidR="00FD7445">
        <w:t>load impact.</w:t>
      </w:r>
      <w:r w:rsidR="008D7B94" w:rsidRPr="00050374">
        <w:t xml:space="preserve"> </w:t>
      </w:r>
      <w:r w:rsidR="0084737F" w:rsidRPr="00050374">
        <w:t xml:space="preserve"> </w:t>
      </w:r>
    </w:p>
    <w:p w:rsidR="00A5705A" w:rsidRDefault="00B01C5D" w:rsidP="00BA25E2">
      <w:pPr>
        <w:pStyle w:val="TableFigureCaption"/>
        <w:rPr>
          <w:rStyle w:val="Strong"/>
          <w:b/>
        </w:rPr>
      </w:pPr>
      <w:r>
        <w:rPr>
          <w:rStyle w:val="Strong"/>
          <w:b/>
        </w:rPr>
        <w:t xml:space="preserve">Table </w:t>
      </w:r>
      <w:r w:rsidR="00A52143">
        <w:rPr>
          <w:rStyle w:val="Strong"/>
          <w:b/>
        </w:rPr>
        <w:t>4</w:t>
      </w:r>
      <w:r>
        <w:rPr>
          <w:rStyle w:val="Strong"/>
          <w:b/>
        </w:rPr>
        <w:t>-</w:t>
      </w:r>
      <w:r w:rsidR="003E5B2E">
        <w:rPr>
          <w:rStyle w:val="Strong"/>
          <w:b/>
        </w:rPr>
        <w:t>6</w:t>
      </w:r>
      <w:r w:rsidR="00A5705A" w:rsidRPr="00050374">
        <w:rPr>
          <w:rStyle w:val="Strong"/>
          <w:b/>
        </w:rPr>
        <w:t>:</w:t>
      </w:r>
      <w:r w:rsidR="00270ED1">
        <w:rPr>
          <w:rStyle w:val="Strong"/>
          <w:b/>
        </w:rPr>
        <w:t xml:space="preserve"> </w:t>
      </w:r>
      <w:r w:rsidR="00A5705A" w:rsidRPr="00050374">
        <w:rPr>
          <w:rStyle w:val="Strong"/>
          <w:b/>
        </w:rPr>
        <w:t>Estimated Ex</w:t>
      </w:r>
      <w:r w:rsidR="00D16214" w:rsidRPr="00050374">
        <w:rPr>
          <w:rStyle w:val="Strong"/>
          <w:b/>
        </w:rPr>
        <w:t xml:space="preserve"> </w:t>
      </w:r>
      <w:r w:rsidR="00A5705A" w:rsidRPr="00050374">
        <w:rPr>
          <w:rStyle w:val="Strong"/>
          <w:b/>
        </w:rPr>
        <w:t>Post Load Impacts by Industry</w:t>
      </w:r>
      <w:r w:rsidR="00A5705A" w:rsidRPr="00050374">
        <w:rPr>
          <w:rStyle w:val="Strong"/>
          <w:b/>
        </w:rPr>
        <w:br/>
        <w:t>Average 2011 PG&amp;E CBP Event</w:t>
      </w:r>
    </w:p>
    <w:tbl>
      <w:tblPr>
        <w:tblW w:w="9583" w:type="dxa"/>
        <w:tblLayout w:type="fixed"/>
        <w:tblLook w:val="04A0"/>
      </w:tblPr>
      <w:tblGrid>
        <w:gridCol w:w="800"/>
        <w:gridCol w:w="2659"/>
        <w:gridCol w:w="642"/>
        <w:gridCol w:w="909"/>
        <w:gridCol w:w="916"/>
        <w:gridCol w:w="916"/>
        <w:gridCol w:w="928"/>
        <w:gridCol w:w="924"/>
        <w:gridCol w:w="889"/>
      </w:tblGrid>
      <w:tr w:rsidR="0041026C" w:rsidRPr="0041026C" w:rsidTr="00270ED1">
        <w:trPr>
          <w:trHeight w:val="1116"/>
        </w:trPr>
        <w:tc>
          <w:tcPr>
            <w:tcW w:w="800" w:type="dxa"/>
            <w:tcBorders>
              <w:top w:val="single" w:sz="4" w:space="0" w:color="auto"/>
              <w:left w:val="single" w:sz="4" w:space="0" w:color="auto"/>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Program</w:t>
            </w:r>
          </w:p>
        </w:tc>
        <w:tc>
          <w:tcPr>
            <w:tcW w:w="2659"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Industry</w:t>
            </w:r>
          </w:p>
        </w:tc>
        <w:tc>
          <w:tcPr>
            <w:tcW w:w="642"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Accts</w:t>
            </w:r>
          </w:p>
        </w:tc>
        <w:tc>
          <w:tcPr>
            <w:tcW w:w="909"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Avg. Reference Load (kW)</w:t>
            </w:r>
          </w:p>
        </w:tc>
        <w:tc>
          <w:tcPr>
            <w:tcW w:w="916"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Average Load Reduction (kW)</w:t>
            </w:r>
          </w:p>
        </w:tc>
        <w:tc>
          <w:tcPr>
            <w:tcW w:w="916"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 Load Reduction</w:t>
            </w:r>
          </w:p>
        </w:tc>
        <w:tc>
          <w:tcPr>
            <w:tcW w:w="928"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Aggregate Reference Load (MW)</w:t>
            </w:r>
          </w:p>
        </w:tc>
        <w:tc>
          <w:tcPr>
            <w:tcW w:w="924"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Aggregate Load Impact (MW)</w:t>
            </w:r>
          </w:p>
        </w:tc>
        <w:tc>
          <w:tcPr>
            <w:tcW w:w="889" w:type="dxa"/>
            <w:tcBorders>
              <w:top w:val="single" w:sz="4" w:space="0" w:color="auto"/>
              <w:left w:val="nil"/>
              <w:bottom w:val="single" w:sz="4" w:space="0" w:color="auto"/>
              <w:right w:val="single" w:sz="4" w:space="0" w:color="auto"/>
            </w:tcBorders>
            <w:shd w:val="clear" w:color="000000" w:fill="376091"/>
            <w:tcMar>
              <w:left w:w="43" w:type="dxa"/>
              <w:right w:w="43" w:type="dxa"/>
            </w:tcMar>
            <w:vAlign w:val="center"/>
            <w:hideMark/>
          </w:tcPr>
          <w:p w:rsidR="0041026C" w:rsidRPr="0041026C" w:rsidRDefault="0041026C" w:rsidP="00270ED1">
            <w:pPr>
              <w:spacing w:after="0" w:line="240" w:lineRule="auto"/>
              <w:jc w:val="center"/>
              <w:rPr>
                <w:rFonts w:ascii="Arial" w:hAnsi="Arial" w:cs="Arial"/>
                <w:b/>
                <w:bCs/>
                <w:color w:val="FFFFFF"/>
                <w:sz w:val="16"/>
                <w:szCs w:val="16"/>
              </w:rPr>
            </w:pPr>
            <w:r w:rsidRPr="0041026C">
              <w:rPr>
                <w:rFonts w:ascii="Arial" w:hAnsi="Arial" w:cs="Arial"/>
                <w:b/>
                <w:bCs/>
                <w:color w:val="FFFFFF"/>
                <w:sz w:val="16"/>
                <w:szCs w:val="16"/>
              </w:rPr>
              <w:t>Avg. Temp During Event</w:t>
            </w:r>
          </w:p>
        </w:tc>
      </w:tr>
      <w:tr w:rsidR="0041026C" w:rsidRPr="0041026C" w:rsidTr="00270ED1">
        <w:trPr>
          <w:trHeight w:val="396"/>
        </w:trPr>
        <w:tc>
          <w:tcPr>
            <w:tcW w:w="800" w:type="dxa"/>
            <w:vMerge w:val="restart"/>
            <w:tcBorders>
              <w:top w:val="nil"/>
              <w:left w:val="single" w:sz="4" w:space="0" w:color="auto"/>
              <w:bottom w:val="single" w:sz="4" w:space="0" w:color="000000"/>
              <w:right w:val="single" w:sz="4" w:space="0" w:color="auto"/>
            </w:tcBorders>
            <w:shd w:val="clear" w:color="auto" w:fill="auto"/>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CBP-DA</w:t>
            </w: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All Customers</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150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315.7</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90.7</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28.7%</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47.4</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13.6</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90.8</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Agriculture, Mining &amp; Construction</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88.1</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63.5</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72.1%</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7.1</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5.1</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95.0</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Hotels and Apartment Buildings</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1757.3</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199.8</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11.4%</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5.3</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0.6</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74.3</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Manufacturing</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13</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1583.3</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421.7</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26.6%</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20.6</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5.5</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89.5</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Other or unknown</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0.0</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0.0</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-15.9%</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0.0</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0.0</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84.7</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Retail stores</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44</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190.0</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27.1</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14.2%</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8.4</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1.2</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83.6</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Schools</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3291.8</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236.1</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7.2%</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3.3</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0.2</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97.0</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Water Districts</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41.4</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41.8</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100.9%</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0.0</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0.0</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98.6</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Wholesale, Transport, other utilities</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6</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483.0</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146.8</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30.4%</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2.9</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0.9</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97.2</w:t>
            </w:r>
          </w:p>
        </w:tc>
      </w:tr>
      <w:tr w:rsidR="0041026C" w:rsidRPr="0041026C" w:rsidTr="00270ED1">
        <w:trPr>
          <w:trHeight w:val="396"/>
        </w:trPr>
        <w:tc>
          <w:tcPr>
            <w:tcW w:w="800" w:type="dxa"/>
            <w:vMerge w:val="restart"/>
            <w:tcBorders>
              <w:top w:val="nil"/>
              <w:left w:val="single" w:sz="4" w:space="0" w:color="auto"/>
              <w:bottom w:val="single" w:sz="4" w:space="0" w:color="000000"/>
              <w:right w:val="single" w:sz="4" w:space="0" w:color="auto"/>
            </w:tcBorders>
            <w:shd w:val="clear" w:color="auto" w:fill="auto"/>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CBP-DO</w:t>
            </w: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All Customers</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219</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363.6</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72.2</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19.9%</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79.6</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15.8</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b/>
                <w:bCs/>
                <w:color w:val="000000"/>
                <w:sz w:val="16"/>
                <w:szCs w:val="16"/>
              </w:rPr>
            </w:pPr>
            <w:r w:rsidRPr="0041026C">
              <w:rPr>
                <w:rFonts w:ascii="Arial" w:hAnsi="Arial" w:cs="Arial"/>
                <w:b/>
                <w:bCs/>
                <w:color w:val="000000"/>
                <w:sz w:val="16"/>
                <w:szCs w:val="16"/>
              </w:rPr>
              <w:t>89.9</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Agriculture, Mining &amp; Construction</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453.6</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363.9</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80.2%</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3.6</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2.9</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99.2</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Hotels and Apartment Buildings</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459.9</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31.3</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6.8%</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4.6</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0.3</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84.8</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Institutional/Government</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192.6</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41.0</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21.3%</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0.6</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0.1</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98.0</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Manufacturing</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12</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1088.4</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225.3</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20.7%</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13.1</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2.7</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95.4</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Offices, Finance, Services</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7</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749.4</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122.1</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16.3%</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5.2</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0.9</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83.1</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Retail stores</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168</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284.9</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39.8</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14.0%</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47.9</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6.7</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89.4</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Schools</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2149.1</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45.4</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2.1%</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2.1</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0.0</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97.8</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Water Districts</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5</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350.3</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229.3</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65.5%</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1.8</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1.1</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86.7</w:t>
            </w:r>
          </w:p>
        </w:tc>
      </w:tr>
      <w:tr w:rsidR="0041026C" w:rsidRPr="0041026C" w:rsidTr="00270ED1">
        <w:trPr>
          <w:trHeight w:val="396"/>
        </w:trPr>
        <w:tc>
          <w:tcPr>
            <w:tcW w:w="800"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41026C" w:rsidRPr="0041026C" w:rsidRDefault="0041026C" w:rsidP="0041026C">
            <w:pPr>
              <w:spacing w:after="0" w:line="240" w:lineRule="auto"/>
              <w:rPr>
                <w:rFonts w:ascii="Arial" w:hAnsi="Arial" w:cs="Arial"/>
                <w:color w:val="000000"/>
                <w:sz w:val="16"/>
                <w:szCs w:val="16"/>
              </w:rPr>
            </w:pPr>
          </w:p>
        </w:tc>
        <w:tc>
          <w:tcPr>
            <w:tcW w:w="265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 xml:space="preserve"> Wholesale, Transport, other utilities</w:t>
            </w:r>
          </w:p>
        </w:tc>
        <w:tc>
          <w:tcPr>
            <w:tcW w:w="64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7</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260.2</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177.0</w:t>
            </w:r>
          </w:p>
        </w:tc>
        <w:tc>
          <w:tcPr>
            <w:tcW w:w="9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68.0%</w:t>
            </w:r>
          </w:p>
        </w:tc>
        <w:tc>
          <w:tcPr>
            <w:tcW w:w="92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1.8</w:t>
            </w:r>
          </w:p>
        </w:tc>
        <w:tc>
          <w:tcPr>
            <w:tcW w:w="92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1.2</w:t>
            </w:r>
          </w:p>
        </w:tc>
        <w:tc>
          <w:tcPr>
            <w:tcW w:w="88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1026C" w:rsidRPr="0041026C" w:rsidRDefault="0041026C" w:rsidP="0041026C">
            <w:pPr>
              <w:spacing w:after="0" w:line="240" w:lineRule="auto"/>
              <w:jc w:val="center"/>
              <w:rPr>
                <w:rFonts w:ascii="Arial" w:hAnsi="Arial" w:cs="Arial"/>
                <w:color w:val="000000"/>
                <w:sz w:val="16"/>
                <w:szCs w:val="16"/>
              </w:rPr>
            </w:pPr>
            <w:r w:rsidRPr="0041026C">
              <w:rPr>
                <w:rFonts w:ascii="Arial" w:hAnsi="Arial" w:cs="Arial"/>
                <w:color w:val="000000"/>
                <w:sz w:val="16"/>
                <w:szCs w:val="16"/>
              </w:rPr>
              <w:t>93.1</w:t>
            </w:r>
          </w:p>
        </w:tc>
      </w:tr>
    </w:tbl>
    <w:p w:rsidR="005310C6" w:rsidRDefault="0006539C">
      <w:pPr>
        <w:pStyle w:val="Heading3"/>
        <w:spacing w:before="360"/>
      </w:pPr>
      <w:bookmarkStart w:id="124" w:name="_Toc319666701"/>
      <w:bookmarkStart w:id="125" w:name="_Toc319671353"/>
      <w:bookmarkStart w:id="126" w:name="_Toc319671600"/>
      <w:bookmarkStart w:id="127" w:name="_Toc319671848"/>
      <w:bookmarkStart w:id="128" w:name="_Toc319672096"/>
      <w:bookmarkStart w:id="129" w:name="_Toc319666723"/>
      <w:bookmarkStart w:id="130" w:name="_Toc319671375"/>
      <w:bookmarkStart w:id="131" w:name="_Toc319671622"/>
      <w:bookmarkStart w:id="132" w:name="_Toc319671870"/>
      <w:bookmarkStart w:id="133" w:name="_Toc319672118"/>
      <w:bookmarkStart w:id="134" w:name="_Toc319666733"/>
      <w:bookmarkStart w:id="135" w:name="_Toc319671385"/>
      <w:bookmarkStart w:id="136" w:name="_Toc319671632"/>
      <w:bookmarkStart w:id="137" w:name="_Toc319671880"/>
      <w:bookmarkStart w:id="138" w:name="_Toc319672128"/>
      <w:bookmarkStart w:id="139" w:name="_Toc319666743"/>
      <w:bookmarkStart w:id="140" w:name="_Toc319671395"/>
      <w:bookmarkStart w:id="141" w:name="_Toc319671642"/>
      <w:bookmarkStart w:id="142" w:name="_Toc319671890"/>
      <w:bookmarkStart w:id="143" w:name="_Toc319672138"/>
      <w:bookmarkStart w:id="144" w:name="_Toc319666753"/>
      <w:bookmarkStart w:id="145" w:name="_Toc319671405"/>
      <w:bookmarkStart w:id="146" w:name="_Toc319671652"/>
      <w:bookmarkStart w:id="147" w:name="_Toc319671900"/>
      <w:bookmarkStart w:id="148" w:name="_Toc319672148"/>
      <w:bookmarkStart w:id="149" w:name="_Toc319666763"/>
      <w:bookmarkStart w:id="150" w:name="_Toc319671415"/>
      <w:bookmarkStart w:id="151" w:name="_Toc319671662"/>
      <w:bookmarkStart w:id="152" w:name="_Toc319671910"/>
      <w:bookmarkStart w:id="153" w:name="_Toc319672158"/>
      <w:bookmarkStart w:id="154" w:name="_Toc319666773"/>
      <w:bookmarkStart w:id="155" w:name="_Toc319671425"/>
      <w:bookmarkStart w:id="156" w:name="_Toc319671672"/>
      <w:bookmarkStart w:id="157" w:name="_Toc319671920"/>
      <w:bookmarkStart w:id="158" w:name="_Toc319672168"/>
      <w:bookmarkStart w:id="159" w:name="_Toc319666783"/>
      <w:bookmarkStart w:id="160" w:name="_Toc319671435"/>
      <w:bookmarkStart w:id="161" w:name="_Toc319671682"/>
      <w:bookmarkStart w:id="162" w:name="_Toc319671930"/>
      <w:bookmarkStart w:id="163" w:name="_Toc319672178"/>
      <w:bookmarkStart w:id="164" w:name="_Toc319666793"/>
      <w:bookmarkStart w:id="165" w:name="_Toc319671445"/>
      <w:bookmarkStart w:id="166" w:name="_Toc319671692"/>
      <w:bookmarkStart w:id="167" w:name="_Toc319671940"/>
      <w:bookmarkStart w:id="168" w:name="_Toc319672188"/>
      <w:bookmarkStart w:id="169" w:name="_Toc319666813"/>
      <w:bookmarkStart w:id="170" w:name="_Toc319671465"/>
      <w:bookmarkStart w:id="171" w:name="_Toc319671712"/>
      <w:bookmarkStart w:id="172" w:name="_Toc319671960"/>
      <w:bookmarkStart w:id="173" w:name="_Toc319672208"/>
      <w:bookmarkStart w:id="174" w:name="_Toc319666823"/>
      <w:bookmarkStart w:id="175" w:name="_Toc319671475"/>
      <w:bookmarkStart w:id="176" w:name="_Toc319671722"/>
      <w:bookmarkStart w:id="177" w:name="_Toc319671970"/>
      <w:bookmarkStart w:id="178" w:name="_Toc319672218"/>
      <w:bookmarkStart w:id="179" w:name="_Toc319666833"/>
      <w:bookmarkStart w:id="180" w:name="_Toc319671485"/>
      <w:bookmarkStart w:id="181" w:name="_Toc319671732"/>
      <w:bookmarkStart w:id="182" w:name="_Toc319671980"/>
      <w:bookmarkStart w:id="183" w:name="_Toc319672228"/>
      <w:bookmarkStart w:id="184" w:name="_Toc319666843"/>
      <w:bookmarkStart w:id="185" w:name="_Toc319671495"/>
      <w:bookmarkStart w:id="186" w:name="_Toc319671742"/>
      <w:bookmarkStart w:id="187" w:name="_Toc319671990"/>
      <w:bookmarkStart w:id="188" w:name="_Toc319672238"/>
      <w:bookmarkStart w:id="189" w:name="_Toc319666853"/>
      <w:bookmarkStart w:id="190" w:name="_Toc319671505"/>
      <w:bookmarkStart w:id="191" w:name="_Toc319671752"/>
      <w:bookmarkStart w:id="192" w:name="_Toc319672000"/>
      <w:bookmarkStart w:id="193" w:name="_Toc319672248"/>
      <w:bookmarkStart w:id="194" w:name="_Toc319666863"/>
      <w:bookmarkStart w:id="195" w:name="_Toc319671515"/>
      <w:bookmarkStart w:id="196" w:name="_Toc319671762"/>
      <w:bookmarkStart w:id="197" w:name="_Toc319672010"/>
      <w:bookmarkStart w:id="198" w:name="_Toc319672258"/>
      <w:bookmarkStart w:id="199" w:name="_Toc319666873"/>
      <w:bookmarkStart w:id="200" w:name="_Toc319671525"/>
      <w:bookmarkStart w:id="201" w:name="_Toc319671772"/>
      <w:bookmarkStart w:id="202" w:name="_Toc319672020"/>
      <w:bookmarkStart w:id="203" w:name="_Toc319672268"/>
      <w:bookmarkStart w:id="204" w:name="_Toc319666883"/>
      <w:bookmarkStart w:id="205" w:name="_Toc319671535"/>
      <w:bookmarkStart w:id="206" w:name="_Toc319671782"/>
      <w:bookmarkStart w:id="207" w:name="_Toc319672030"/>
      <w:bookmarkStart w:id="208" w:name="_Toc319672278"/>
      <w:bookmarkStart w:id="209" w:name="_Toc319666893"/>
      <w:bookmarkStart w:id="210" w:name="_Toc319671545"/>
      <w:bookmarkStart w:id="211" w:name="_Toc319671792"/>
      <w:bookmarkStart w:id="212" w:name="_Toc319672040"/>
      <w:bookmarkStart w:id="213" w:name="_Toc319672288"/>
      <w:bookmarkStart w:id="214" w:name="_Toc318805730"/>
      <w:bookmarkStart w:id="215" w:name="_Toc318805751"/>
      <w:bookmarkStart w:id="216" w:name="_Toc318805761"/>
      <w:bookmarkStart w:id="217" w:name="_Toc318805771"/>
      <w:bookmarkStart w:id="218" w:name="_Toc318805781"/>
      <w:bookmarkStart w:id="219" w:name="_Toc318805801"/>
      <w:bookmarkStart w:id="220" w:name="_Toc318805811"/>
      <w:bookmarkStart w:id="221" w:name="_Toc318805821"/>
      <w:bookmarkStart w:id="222" w:name="_Toc318805831"/>
      <w:bookmarkStart w:id="223" w:name="_Toc326074017"/>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t xml:space="preserve">CBP </w:t>
      </w:r>
      <w:r w:rsidR="00E8176B" w:rsidRPr="00050374">
        <w:t>Demand Reductions by Local Capacity Area</w:t>
      </w:r>
      <w:bookmarkEnd w:id="223"/>
    </w:p>
    <w:p w:rsidR="0046753E" w:rsidRPr="00050374" w:rsidRDefault="00B01C5D" w:rsidP="0046753E">
      <w:pPr>
        <w:pStyle w:val="BodyParagraph"/>
      </w:pPr>
      <w:r>
        <w:t>Table</w:t>
      </w:r>
      <w:r w:rsidR="00A52143">
        <w:t xml:space="preserve"> 4</w:t>
      </w:r>
      <w:r>
        <w:t>-</w:t>
      </w:r>
      <w:r w:rsidR="003E5B2E">
        <w:t>7</w:t>
      </w:r>
      <w:r w:rsidR="0046753E" w:rsidRPr="00050374">
        <w:t xml:space="preserve"> shows load impacts by local capacity area.  </w:t>
      </w:r>
      <w:r w:rsidR="006A5BED">
        <w:t>D</w:t>
      </w:r>
      <w:r w:rsidR="0046753E" w:rsidRPr="00050374">
        <w:t xml:space="preserve">ay-ahead CBP customers are </w:t>
      </w:r>
      <w:r w:rsidR="00AD784F">
        <w:t xml:space="preserve">concentrated in the Central Valley, </w:t>
      </w:r>
      <w:r w:rsidR="006A5BED">
        <w:t>al</w:t>
      </w:r>
      <w:r w:rsidR="00AD784F">
        <w:t>though they are spread across three different LCAs – Other, Greater Fresno and Kern.  Jointly</w:t>
      </w:r>
      <w:r w:rsidR="00EA64BF">
        <w:t>,</w:t>
      </w:r>
      <w:r w:rsidR="00AD784F">
        <w:t xml:space="preserve"> customer</w:t>
      </w:r>
      <w:r w:rsidR="0046753E" w:rsidRPr="00050374">
        <w:t>s</w:t>
      </w:r>
      <w:r w:rsidR="00AD784F">
        <w:t xml:space="preserve"> located in the Central Valley</w:t>
      </w:r>
      <w:r w:rsidR="0046753E" w:rsidRPr="00050374">
        <w:t xml:space="preserve"> </w:t>
      </w:r>
      <w:r w:rsidR="00812FFA">
        <w:t>ma</w:t>
      </w:r>
      <w:r w:rsidR="006A5BED">
        <w:t>de</w:t>
      </w:r>
      <w:r w:rsidR="00812FFA">
        <w:t xml:space="preserve"> up </w:t>
      </w:r>
      <w:r w:rsidR="00AD784F">
        <w:t>7</w:t>
      </w:r>
      <w:r w:rsidR="004D2191">
        <w:t>4</w:t>
      </w:r>
      <w:r w:rsidR="00812FFA">
        <w:t>%</w:t>
      </w:r>
      <w:r w:rsidR="00A12359" w:rsidRPr="00A12359">
        <w:t xml:space="preserve"> </w:t>
      </w:r>
      <w:r w:rsidR="00A12359" w:rsidRPr="00050374">
        <w:t xml:space="preserve">of the </w:t>
      </w:r>
      <w:r w:rsidR="00A12359">
        <w:t>accounts</w:t>
      </w:r>
      <w:r w:rsidR="00812FFA">
        <w:t xml:space="preserve">, </w:t>
      </w:r>
      <w:r w:rsidR="00AD784F">
        <w:t>6</w:t>
      </w:r>
      <w:r w:rsidR="004D2191">
        <w:t>1</w:t>
      </w:r>
      <w:r w:rsidR="00812FFA">
        <w:t xml:space="preserve">% </w:t>
      </w:r>
      <w:r w:rsidR="00A12359">
        <w:t xml:space="preserve">of the </w:t>
      </w:r>
      <w:r w:rsidR="00A12359" w:rsidRPr="00050374">
        <w:t xml:space="preserve">reference load </w:t>
      </w:r>
      <w:r w:rsidR="00812FFA">
        <w:t xml:space="preserve">and </w:t>
      </w:r>
      <w:r w:rsidR="004D2191">
        <w:t>89</w:t>
      </w:r>
      <w:r w:rsidR="0046753E" w:rsidRPr="00050374">
        <w:t>%</w:t>
      </w:r>
      <w:r w:rsidR="00A12359">
        <w:t xml:space="preserve"> of the</w:t>
      </w:r>
      <w:r w:rsidR="0046753E" w:rsidRPr="00050374">
        <w:t xml:space="preserve"> </w:t>
      </w:r>
      <w:r w:rsidR="0006539C">
        <w:t xml:space="preserve">aggregate </w:t>
      </w:r>
      <w:r w:rsidR="0046753E" w:rsidRPr="00050374">
        <w:t xml:space="preserve">demand reduction.  </w:t>
      </w:r>
    </w:p>
    <w:p w:rsidR="00A5705A" w:rsidRDefault="00A5705A" w:rsidP="00BA25E2">
      <w:pPr>
        <w:pStyle w:val="TableFigureCaption"/>
        <w:rPr>
          <w:rStyle w:val="Strong"/>
          <w:b/>
          <w:bCs w:val="0"/>
        </w:rPr>
      </w:pPr>
      <w:r w:rsidRPr="00763059">
        <w:rPr>
          <w:rStyle w:val="Strong"/>
          <w:b/>
          <w:bCs w:val="0"/>
        </w:rPr>
        <w:lastRenderedPageBreak/>
        <w:t xml:space="preserve">Table </w:t>
      </w:r>
      <w:r w:rsidR="00A52143">
        <w:rPr>
          <w:rStyle w:val="Strong"/>
          <w:b/>
          <w:bCs w:val="0"/>
        </w:rPr>
        <w:t>4</w:t>
      </w:r>
      <w:r w:rsidRPr="00763059">
        <w:rPr>
          <w:rStyle w:val="Strong"/>
          <w:b/>
          <w:bCs w:val="0"/>
        </w:rPr>
        <w:t>-</w:t>
      </w:r>
      <w:r w:rsidR="003E5B2E" w:rsidRPr="00763059">
        <w:rPr>
          <w:rStyle w:val="Strong"/>
          <w:b/>
          <w:bCs w:val="0"/>
        </w:rPr>
        <w:t>7</w:t>
      </w:r>
      <w:r w:rsidRPr="00763059">
        <w:rPr>
          <w:rStyle w:val="Strong"/>
          <w:b/>
          <w:bCs w:val="0"/>
        </w:rPr>
        <w:t>:</w:t>
      </w:r>
      <w:r w:rsidR="00BA25E2">
        <w:rPr>
          <w:rStyle w:val="Strong"/>
          <w:b/>
          <w:bCs w:val="0"/>
        </w:rPr>
        <w:t xml:space="preserve"> </w:t>
      </w:r>
      <w:r w:rsidRPr="00763059">
        <w:rPr>
          <w:rStyle w:val="Strong"/>
          <w:b/>
          <w:bCs w:val="0"/>
        </w:rPr>
        <w:t>Estimated Ex</w:t>
      </w:r>
      <w:r w:rsidR="00D16214" w:rsidRPr="00763059">
        <w:rPr>
          <w:rStyle w:val="Strong"/>
          <w:b/>
          <w:bCs w:val="0"/>
        </w:rPr>
        <w:t xml:space="preserve"> </w:t>
      </w:r>
      <w:r w:rsidRPr="00763059">
        <w:rPr>
          <w:rStyle w:val="Strong"/>
          <w:b/>
          <w:bCs w:val="0"/>
        </w:rPr>
        <w:t>Post Load Impacts by Local Capacity Area</w:t>
      </w:r>
      <w:r w:rsidRPr="00763059">
        <w:rPr>
          <w:rStyle w:val="Strong"/>
          <w:b/>
          <w:bCs w:val="0"/>
        </w:rPr>
        <w:br/>
        <w:t>Average 2011 PG&amp;E CBP Event</w:t>
      </w:r>
    </w:p>
    <w:tbl>
      <w:tblPr>
        <w:tblW w:w="0" w:type="auto"/>
        <w:tblLayout w:type="fixed"/>
        <w:tblLook w:val="04A0"/>
      </w:tblPr>
      <w:tblGrid>
        <w:gridCol w:w="791"/>
        <w:gridCol w:w="1882"/>
        <w:gridCol w:w="977"/>
        <w:gridCol w:w="1086"/>
        <w:gridCol w:w="996"/>
        <w:gridCol w:w="905"/>
        <w:gridCol w:w="912"/>
        <w:gridCol w:w="996"/>
        <w:gridCol w:w="901"/>
      </w:tblGrid>
      <w:tr w:rsidR="004D2191" w:rsidRPr="004D2191" w:rsidTr="00270ED1">
        <w:trPr>
          <w:trHeight w:val="816"/>
        </w:trPr>
        <w:tc>
          <w:tcPr>
            <w:tcW w:w="791" w:type="dxa"/>
            <w:tcBorders>
              <w:top w:val="single" w:sz="4" w:space="0" w:color="auto"/>
              <w:left w:val="single" w:sz="4" w:space="0" w:color="auto"/>
              <w:bottom w:val="single" w:sz="4" w:space="0" w:color="auto"/>
              <w:right w:val="single" w:sz="4" w:space="0" w:color="FFFFFF"/>
            </w:tcBorders>
            <w:shd w:val="clear" w:color="000000" w:fill="376091"/>
            <w:tcMar>
              <w:left w:w="43" w:type="dxa"/>
              <w:right w:w="43" w:type="dxa"/>
            </w:tcMar>
            <w:vAlign w:val="center"/>
            <w:hideMark/>
          </w:tcPr>
          <w:p w:rsidR="004D2191" w:rsidRPr="004D2191" w:rsidRDefault="004D2191" w:rsidP="00270ED1">
            <w:pPr>
              <w:spacing w:after="0" w:line="240" w:lineRule="auto"/>
              <w:jc w:val="center"/>
              <w:rPr>
                <w:rFonts w:ascii="Arial" w:hAnsi="Arial" w:cs="Arial"/>
                <w:b/>
                <w:bCs/>
                <w:color w:val="FFFFFF"/>
                <w:sz w:val="16"/>
                <w:szCs w:val="16"/>
              </w:rPr>
            </w:pPr>
            <w:r w:rsidRPr="004D2191">
              <w:rPr>
                <w:rFonts w:ascii="Arial" w:hAnsi="Arial" w:cs="Arial"/>
                <w:b/>
                <w:bCs/>
                <w:color w:val="FFFFFF"/>
                <w:sz w:val="16"/>
                <w:szCs w:val="16"/>
              </w:rPr>
              <w:t>Program</w:t>
            </w:r>
          </w:p>
        </w:tc>
        <w:tc>
          <w:tcPr>
            <w:tcW w:w="1882"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D2191" w:rsidRPr="004D2191" w:rsidRDefault="004D2191" w:rsidP="00270ED1">
            <w:pPr>
              <w:spacing w:after="0" w:line="240" w:lineRule="auto"/>
              <w:jc w:val="center"/>
              <w:rPr>
                <w:rFonts w:ascii="Arial" w:hAnsi="Arial" w:cs="Arial"/>
                <w:b/>
                <w:bCs/>
                <w:color w:val="FFFFFF"/>
                <w:sz w:val="16"/>
                <w:szCs w:val="16"/>
              </w:rPr>
            </w:pPr>
            <w:r w:rsidRPr="004D2191">
              <w:rPr>
                <w:rFonts w:ascii="Arial" w:hAnsi="Arial" w:cs="Arial"/>
                <w:b/>
                <w:bCs/>
                <w:color w:val="FFFFFF"/>
                <w:sz w:val="16"/>
                <w:szCs w:val="16"/>
              </w:rPr>
              <w:t>Local Capacity Area</w:t>
            </w:r>
          </w:p>
        </w:tc>
        <w:tc>
          <w:tcPr>
            <w:tcW w:w="977"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D2191" w:rsidRPr="004D2191" w:rsidRDefault="004D2191" w:rsidP="00270ED1">
            <w:pPr>
              <w:spacing w:after="0" w:line="240" w:lineRule="auto"/>
              <w:jc w:val="center"/>
              <w:rPr>
                <w:rFonts w:ascii="Arial" w:hAnsi="Arial" w:cs="Arial"/>
                <w:b/>
                <w:bCs/>
                <w:color w:val="FFFFFF"/>
                <w:sz w:val="16"/>
                <w:szCs w:val="16"/>
              </w:rPr>
            </w:pPr>
            <w:r w:rsidRPr="004D2191">
              <w:rPr>
                <w:rFonts w:ascii="Arial" w:hAnsi="Arial" w:cs="Arial"/>
                <w:b/>
                <w:bCs/>
                <w:color w:val="FFFFFF"/>
                <w:sz w:val="16"/>
                <w:szCs w:val="16"/>
              </w:rPr>
              <w:t>Accts</w:t>
            </w:r>
          </w:p>
        </w:tc>
        <w:tc>
          <w:tcPr>
            <w:tcW w:w="1086"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D2191" w:rsidRPr="004D2191" w:rsidRDefault="004D2191" w:rsidP="00270ED1">
            <w:pPr>
              <w:spacing w:after="0" w:line="240" w:lineRule="auto"/>
              <w:jc w:val="center"/>
              <w:rPr>
                <w:rFonts w:ascii="Arial" w:hAnsi="Arial" w:cs="Arial"/>
                <w:b/>
                <w:bCs/>
                <w:color w:val="FFFFFF"/>
                <w:sz w:val="16"/>
                <w:szCs w:val="16"/>
              </w:rPr>
            </w:pPr>
            <w:r w:rsidRPr="004D2191">
              <w:rPr>
                <w:rFonts w:ascii="Arial" w:hAnsi="Arial" w:cs="Arial"/>
                <w:b/>
                <w:bCs/>
                <w:color w:val="FFFFFF"/>
                <w:sz w:val="16"/>
                <w:szCs w:val="16"/>
              </w:rPr>
              <w:t>Avg. Reference Load (kW)</w:t>
            </w:r>
          </w:p>
        </w:tc>
        <w:tc>
          <w:tcPr>
            <w:tcW w:w="996"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D2191" w:rsidRPr="004D2191" w:rsidRDefault="004D2191" w:rsidP="00270ED1">
            <w:pPr>
              <w:spacing w:after="0" w:line="240" w:lineRule="auto"/>
              <w:jc w:val="center"/>
              <w:rPr>
                <w:rFonts w:ascii="Arial" w:hAnsi="Arial" w:cs="Arial"/>
                <w:b/>
                <w:bCs/>
                <w:color w:val="FFFFFF"/>
                <w:sz w:val="16"/>
                <w:szCs w:val="16"/>
              </w:rPr>
            </w:pPr>
            <w:r w:rsidRPr="004D2191">
              <w:rPr>
                <w:rFonts w:ascii="Arial" w:hAnsi="Arial" w:cs="Arial"/>
                <w:b/>
                <w:bCs/>
                <w:color w:val="FFFFFF"/>
                <w:sz w:val="16"/>
                <w:szCs w:val="16"/>
              </w:rPr>
              <w:t>Average Load Reduction (kW)</w:t>
            </w:r>
          </w:p>
        </w:tc>
        <w:tc>
          <w:tcPr>
            <w:tcW w:w="905"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D2191" w:rsidRPr="004D2191" w:rsidRDefault="004D2191" w:rsidP="00270ED1">
            <w:pPr>
              <w:spacing w:after="0" w:line="240" w:lineRule="auto"/>
              <w:jc w:val="center"/>
              <w:rPr>
                <w:rFonts w:ascii="Arial" w:hAnsi="Arial" w:cs="Arial"/>
                <w:b/>
                <w:bCs/>
                <w:color w:val="FFFFFF"/>
                <w:sz w:val="16"/>
                <w:szCs w:val="16"/>
              </w:rPr>
            </w:pPr>
            <w:r w:rsidRPr="004D2191">
              <w:rPr>
                <w:rFonts w:ascii="Arial" w:hAnsi="Arial" w:cs="Arial"/>
                <w:b/>
                <w:bCs/>
                <w:color w:val="FFFFFF"/>
                <w:sz w:val="16"/>
                <w:szCs w:val="16"/>
              </w:rPr>
              <w:t>% Load Reduction</w:t>
            </w:r>
          </w:p>
        </w:tc>
        <w:tc>
          <w:tcPr>
            <w:tcW w:w="912"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D2191" w:rsidRPr="004D2191" w:rsidRDefault="004D2191" w:rsidP="00270ED1">
            <w:pPr>
              <w:spacing w:after="0" w:line="240" w:lineRule="auto"/>
              <w:jc w:val="center"/>
              <w:rPr>
                <w:rFonts w:ascii="Arial" w:hAnsi="Arial" w:cs="Arial"/>
                <w:b/>
                <w:bCs/>
                <w:color w:val="FFFFFF"/>
                <w:sz w:val="16"/>
                <w:szCs w:val="16"/>
              </w:rPr>
            </w:pPr>
            <w:r w:rsidRPr="004D2191">
              <w:rPr>
                <w:rFonts w:ascii="Arial" w:hAnsi="Arial" w:cs="Arial"/>
                <w:b/>
                <w:bCs/>
                <w:color w:val="FFFFFF"/>
                <w:sz w:val="16"/>
                <w:szCs w:val="16"/>
              </w:rPr>
              <w:t>Aggregate Reference Load (MW)</w:t>
            </w:r>
          </w:p>
        </w:tc>
        <w:tc>
          <w:tcPr>
            <w:tcW w:w="996" w:type="dxa"/>
            <w:tcBorders>
              <w:top w:val="single" w:sz="4" w:space="0" w:color="auto"/>
              <w:left w:val="nil"/>
              <w:bottom w:val="single" w:sz="4" w:space="0" w:color="auto"/>
              <w:right w:val="single" w:sz="4" w:space="0" w:color="FFFFFF"/>
            </w:tcBorders>
            <w:shd w:val="clear" w:color="000000" w:fill="376091"/>
            <w:tcMar>
              <w:left w:w="43" w:type="dxa"/>
              <w:right w:w="43" w:type="dxa"/>
            </w:tcMar>
            <w:vAlign w:val="center"/>
            <w:hideMark/>
          </w:tcPr>
          <w:p w:rsidR="004D2191" w:rsidRPr="004D2191" w:rsidRDefault="004D2191" w:rsidP="00270ED1">
            <w:pPr>
              <w:spacing w:after="0" w:line="240" w:lineRule="auto"/>
              <w:jc w:val="center"/>
              <w:rPr>
                <w:rFonts w:ascii="Arial" w:hAnsi="Arial" w:cs="Arial"/>
                <w:b/>
                <w:bCs/>
                <w:color w:val="FFFFFF"/>
                <w:sz w:val="16"/>
                <w:szCs w:val="16"/>
              </w:rPr>
            </w:pPr>
            <w:r w:rsidRPr="004D2191">
              <w:rPr>
                <w:rFonts w:ascii="Arial" w:hAnsi="Arial" w:cs="Arial"/>
                <w:b/>
                <w:bCs/>
                <w:color w:val="FFFFFF"/>
                <w:sz w:val="16"/>
                <w:szCs w:val="16"/>
              </w:rPr>
              <w:t>Aggregate Load Impact (MW)</w:t>
            </w:r>
          </w:p>
        </w:tc>
        <w:tc>
          <w:tcPr>
            <w:tcW w:w="901" w:type="dxa"/>
            <w:tcBorders>
              <w:top w:val="single" w:sz="4" w:space="0" w:color="auto"/>
              <w:left w:val="nil"/>
              <w:bottom w:val="single" w:sz="4" w:space="0" w:color="auto"/>
              <w:right w:val="single" w:sz="4" w:space="0" w:color="auto"/>
            </w:tcBorders>
            <w:shd w:val="clear" w:color="000000" w:fill="376091"/>
            <w:tcMar>
              <w:left w:w="43" w:type="dxa"/>
              <w:right w:w="43" w:type="dxa"/>
            </w:tcMar>
            <w:vAlign w:val="center"/>
            <w:hideMark/>
          </w:tcPr>
          <w:p w:rsidR="004D2191" w:rsidRPr="004D2191" w:rsidRDefault="004D2191" w:rsidP="00270ED1">
            <w:pPr>
              <w:spacing w:after="0" w:line="240" w:lineRule="auto"/>
              <w:jc w:val="center"/>
              <w:rPr>
                <w:rFonts w:ascii="Arial" w:hAnsi="Arial" w:cs="Arial"/>
                <w:b/>
                <w:bCs/>
                <w:color w:val="FFFFFF"/>
                <w:sz w:val="16"/>
                <w:szCs w:val="16"/>
              </w:rPr>
            </w:pPr>
            <w:r w:rsidRPr="004D2191">
              <w:rPr>
                <w:rFonts w:ascii="Arial" w:hAnsi="Arial" w:cs="Arial"/>
                <w:b/>
                <w:bCs/>
                <w:color w:val="FFFFFF"/>
                <w:sz w:val="16"/>
                <w:szCs w:val="16"/>
              </w:rPr>
              <w:t>Avg. Temp During Event</w:t>
            </w:r>
          </w:p>
        </w:tc>
      </w:tr>
      <w:tr w:rsidR="004D2191" w:rsidRPr="004D2191" w:rsidTr="004D2191">
        <w:trPr>
          <w:trHeight w:val="396"/>
        </w:trPr>
        <w:tc>
          <w:tcPr>
            <w:tcW w:w="791" w:type="dxa"/>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CBP-DA</w:t>
            </w: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All Customers</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150</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315.7</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90.7</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28.7%</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47.4</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13.6</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90.8</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Greater Bay Area</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27</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444.6</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49.5</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11.1%</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12.0</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1.3</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81.2</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Greater Fresno</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42</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202.5</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107.8</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53.2%</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8.5</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4.5</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98.1</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Humboldt</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44.2</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4.5</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10.3%</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0.0</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0.0</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64.5</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Kern</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36</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53.4</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48.1</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90.0%</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1.9</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1.7</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98.7</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Northern Coast</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5</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1090.2</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12.8</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1.2%</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5.5</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0.1</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89.0</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Other</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33</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556.5</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178.1</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32.0%</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18.4</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5.9</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81.4</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Sierra</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4</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191.7</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10.3</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5.4%</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0.8</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0.0</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94.8</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Stockton</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2</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92.7</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5.5</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6.0%</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0.2</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0.0</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95.9</w:t>
            </w:r>
          </w:p>
        </w:tc>
      </w:tr>
      <w:tr w:rsidR="004D2191" w:rsidRPr="004D2191" w:rsidTr="004D2191">
        <w:trPr>
          <w:trHeight w:val="396"/>
        </w:trPr>
        <w:tc>
          <w:tcPr>
            <w:tcW w:w="791" w:type="dxa"/>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CBP-DO</w:t>
            </w: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All Customers</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219</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363.6</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72.2</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19.9%</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79.6</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15.8</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b/>
                <w:bCs/>
                <w:color w:val="000000"/>
                <w:sz w:val="16"/>
                <w:szCs w:val="16"/>
              </w:rPr>
            </w:pPr>
            <w:r w:rsidRPr="004D2191">
              <w:rPr>
                <w:rFonts w:ascii="Arial" w:hAnsi="Arial" w:cs="Arial"/>
                <w:b/>
                <w:bCs/>
                <w:color w:val="000000"/>
                <w:sz w:val="16"/>
                <w:szCs w:val="16"/>
              </w:rPr>
              <w:t>89.9</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Greater Bay Area</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93</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365.7</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37.3</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10.2%</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34.0</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3.5</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86.9</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Greater Fresno</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23</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385.7</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177.5</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46.0%</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8.9</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4.1</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99.1</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Humboldt</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2</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161.2</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15.9</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9.8%</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0.3</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0.0</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63.8</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Kern</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13</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299.6</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74.5</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24.9%</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3.9</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1.0</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99.6</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Northern Coast</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22</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295.8</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55.3</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18.7%</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6.5</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1.2</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93.1</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Other</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43</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390.0</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97.9</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25.1%</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16.8</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4.2</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83.9</w:t>
            </w:r>
          </w:p>
        </w:tc>
      </w:tr>
      <w:tr w:rsidR="004D2191" w:rsidRPr="004D2191" w:rsidTr="004D2191">
        <w:trPr>
          <w:trHeight w:val="396"/>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Sierra</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17</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409.3</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79.0</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19.3%</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7.0</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1.3</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96.0</w:t>
            </w:r>
          </w:p>
        </w:tc>
      </w:tr>
      <w:tr w:rsidR="004D2191" w:rsidRPr="004D2191" w:rsidTr="004D2191">
        <w:trPr>
          <w:trHeight w:val="360"/>
        </w:trPr>
        <w:tc>
          <w:tcPr>
            <w:tcW w:w="791"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4D2191" w:rsidRPr="004D2191" w:rsidRDefault="004D2191" w:rsidP="004D2191">
            <w:pPr>
              <w:spacing w:after="0" w:line="240" w:lineRule="auto"/>
              <w:rPr>
                <w:rFonts w:ascii="Arial" w:hAnsi="Arial" w:cs="Arial"/>
                <w:color w:val="000000"/>
                <w:sz w:val="16"/>
                <w:szCs w:val="16"/>
              </w:rPr>
            </w:pPr>
          </w:p>
        </w:tc>
        <w:tc>
          <w:tcPr>
            <w:tcW w:w="18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 xml:space="preserve"> Stockton</w:t>
            </w:r>
          </w:p>
        </w:tc>
        <w:tc>
          <w:tcPr>
            <w:tcW w:w="97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7</w:t>
            </w:r>
          </w:p>
        </w:tc>
        <w:tc>
          <w:tcPr>
            <w:tcW w:w="10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382.0</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57.6</w:t>
            </w:r>
          </w:p>
        </w:tc>
        <w:tc>
          <w:tcPr>
            <w:tcW w:w="905"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15.1%</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2.7</w:t>
            </w:r>
          </w:p>
        </w:tc>
        <w:tc>
          <w:tcPr>
            <w:tcW w:w="99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0.4</w:t>
            </w:r>
          </w:p>
        </w:tc>
        <w:tc>
          <w:tcPr>
            <w:tcW w:w="9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4D2191" w:rsidRPr="004D2191" w:rsidRDefault="004D2191" w:rsidP="004D2191">
            <w:pPr>
              <w:spacing w:after="0" w:line="240" w:lineRule="auto"/>
              <w:jc w:val="center"/>
              <w:rPr>
                <w:rFonts w:ascii="Arial" w:hAnsi="Arial" w:cs="Arial"/>
                <w:color w:val="000000"/>
                <w:sz w:val="16"/>
                <w:szCs w:val="16"/>
              </w:rPr>
            </w:pPr>
            <w:r w:rsidRPr="004D2191">
              <w:rPr>
                <w:rFonts w:ascii="Arial" w:hAnsi="Arial" w:cs="Arial"/>
                <w:color w:val="000000"/>
                <w:sz w:val="16"/>
                <w:szCs w:val="16"/>
              </w:rPr>
              <w:t>98.3</w:t>
            </w:r>
          </w:p>
        </w:tc>
      </w:tr>
    </w:tbl>
    <w:p w:rsidR="0046753E" w:rsidRPr="00050374" w:rsidRDefault="0046753E" w:rsidP="00994A5C">
      <w:pPr>
        <w:pStyle w:val="BodyParaAfterTableFigure"/>
      </w:pPr>
      <w:r w:rsidRPr="00050374">
        <w:t xml:space="preserve">Day-of CBP resources are more widely distributed than </w:t>
      </w:r>
      <w:r w:rsidR="00F95446">
        <w:t>day-ahead</w:t>
      </w:r>
      <w:r w:rsidRPr="00050374">
        <w:t xml:space="preserve"> resources, but </w:t>
      </w:r>
      <w:r w:rsidR="005472BD">
        <w:t>the largest</w:t>
      </w:r>
      <w:r w:rsidRPr="00050374">
        <w:t xml:space="preserve"> share of demand reduction resources are still outside the primary load pockets</w:t>
      </w:r>
      <w:r w:rsidR="005472BD">
        <w:t xml:space="preserve">.  Overall, </w:t>
      </w:r>
      <w:r w:rsidR="00AD784F">
        <w:t>27</w:t>
      </w:r>
      <w:r w:rsidR="005472BD">
        <w:t>%</w:t>
      </w:r>
      <w:r w:rsidR="005124A4">
        <w:t xml:space="preserve"> and</w:t>
      </w:r>
      <w:r w:rsidR="005472BD">
        <w:t xml:space="preserve"> 2</w:t>
      </w:r>
      <w:r w:rsidR="00AD784F">
        <w:t>6</w:t>
      </w:r>
      <w:r w:rsidR="005472BD">
        <w:t xml:space="preserve">% </w:t>
      </w:r>
      <w:r w:rsidRPr="00050374">
        <w:t xml:space="preserve">of aggregate demand reductions came from the </w:t>
      </w:r>
      <w:proofErr w:type="gramStart"/>
      <w:r w:rsidRPr="00050374">
        <w:t>Other</w:t>
      </w:r>
      <w:proofErr w:type="gramEnd"/>
      <w:r w:rsidR="005124A4">
        <w:t xml:space="preserve"> and</w:t>
      </w:r>
      <w:r w:rsidRPr="00050374">
        <w:t xml:space="preserve"> Greater Fresno local capacity areas, respectively.  The accounts in these areas are mainly in California’s Central Valley </w:t>
      </w:r>
      <w:r w:rsidR="009B559D">
        <w:t xml:space="preserve">and reflect </w:t>
      </w:r>
      <w:r w:rsidR="006A5BED">
        <w:t>a</w:t>
      </w:r>
      <w:r w:rsidRPr="00050374">
        <w:t xml:space="preserve"> higher concentration of customers in Manufacturing, Agriculture &amp; Construction and Wholesale &amp; Transport</w:t>
      </w:r>
      <w:r w:rsidR="005472BD">
        <w:t xml:space="preserve"> business segments.  Although </w:t>
      </w:r>
      <w:r w:rsidR="00D649A8">
        <w:t>4</w:t>
      </w:r>
      <w:r w:rsidR="004D2191">
        <w:t>3</w:t>
      </w:r>
      <w:r w:rsidR="009B559D">
        <w:t xml:space="preserve">% of </w:t>
      </w:r>
      <w:r w:rsidRPr="00050374">
        <w:t xml:space="preserve">accounts with </w:t>
      </w:r>
      <w:r w:rsidR="00F95446">
        <w:t>day</w:t>
      </w:r>
      <w:r w:rsidR="006A5BED">
        <w:t>-of</w:t>
      </w:r>
      <w:r w:rsidR="00F95446">
        <w:t xml:space="preserve"> notification</w:t>
      </w:r>
      <w:r w:rsidRPr="00050374">
        <w:t xml:space="preserve"> were in the Bay Ar</w:t>
      </w:r>
      <w:r w:rsidR="009B559D">
        <w:t>ea, they jointly mad</w:t>
      </w:r>
      <w:r w:rsidR="005472BD">
        <w:t>e up only 2</w:t>
      </w:r>
      <w:r w:rsidR="00F12F27">
        <w:t>2</w:t>
      </w:r>
      <w:r w:rsidRPr="00050374">
        <w:t xml:space="preserve">% of program resources.  Greater Bay Area customers reduced a smaller share of their electricity demand and are generally smaller. </w:t>
      </w:r>
    </w:p>
    <w:p w:rsidR="005310C6" w:rsidRDefault="006A5BED">
      <w:pPr>
        <w:pStyle w:val="Heading3"/>
      </w:pPr>
      <w:bookmarkStart w:id="224" w:name="_Toc326074018"/>
      <w:r>
        <w:t xml:space="preserve">CBP </w:t>
      </w:r>
      <w:r w:rsidR="0046753E" w:rsidRPr="00050374">
        <w:t>Demand Reductions by Customer Size</w:t>
      </w:r>
      <w:bookmarkEnd w:id="224"/>
    </w:p>
    <w:p w:rsidR="0046753E" w:rsidRPr="00050374" w:rsidRDefault="00642788" w:rsidP="0046753E">
      <w:pPr>
        <w:pStyle w:val="BodyParagraph"/>
      </w:pPr>
      <w:r>
        <w:t xml:space="preserve">Figure </w:t>
      </w:r>
      <w:r w:rsidR="00A52143">
        <w:t>4</w:t>
      </w:r>
      <w:r>
        <w:t>-</w:t>
      </w:r>
      <w:r w:rsidR="003E5B2E">
        <w:t>4</w:t>
      </w:r>
      <w:r w:rsidR="0046753E" w:rsidRPr="00050374">
        <w:t xml:space="preserve"> shows load impacts by customer size.  </w:t>
      </w:r>
      <w:r w:rsidR="00594D09">
        <w:t>T</w:t>
      </w:r>
      <w:r w:rsidR="00594D09" w:rsidRPr="00050374">
        <w:t xml:space="preserve">he average demand during weekday, summer peak hours (1 PM to 6 PM) </w:t>
      </w:r>
      <w:r w:rsidR="00594D09">
        <w:t xml:space="preserve">was calculated </w:t>
      </w:r>
      <w:r w:rsidR="00594D09" w:rsidRPr="00050374">
        <w:t xml:space="preserve">for each customer and then divided into quintiles.  </w:t>
      </w:r>
      <w:r w:rsidR="0046753E" w:rsidRPr="00050374">
        <w:t xml:space="preserve">As </w:t>
      </w:r>
      <w:r w:rsidR="00280B04">
        <w:t xml:space="preserve">was the </w:t>
      </w:r>
      <w:r w:rsidR="00280B04">
        <w:lastRenderedPageBreak/>
        <w:t>case for the</w:t>
      </w:r>
      <w:r w:rsidR="0046753E" w:rsidRPr="00050374">
        <w:t xml:space="preserve"> AMP</w:t>
      </w:r>
      <w:r w:rsidR="00280B04">
        <w:t xml:space="preserve"> program</w:t>
      </w:r>
      <w:r w:rsidR="0046753E" w:rsidRPr="00050374">
        <w:t xml:space="preserve">, the largest fifth of customers accounted for most of the aggregate reference load and load impact during CBP event days.  </w:t>
      </w:r>
    </w:p>
    <w:p w:rsidR="0046753E" w:rsidRPr="00050374" w:rsidRDefault="0046753E" w:rsidP="0046753E">
      <w:pPr>
        <w:pStyle w:val="BodyParagraph"/>
      </w:pPr>
      <w:r w:rsidRPr="00050374">
        <w:t>For day-ahead resources, the largest f</w:t>
      </w:r>
      <w:r w:rsidR="00F1202C" w:rsidRPr="00050374">
        <w:t>ifth of customers account</w:t>
      </w:r>
      <w:r w:rsidR="006A5BED">
        <w:t>ed</w:t>
      </w:r>
      <w:r w:rsidR="00F1202C" w:rsidRPr="00050374">
        <w:t xml:space="preserve"> for </w:t>
      </w:r>
      <w:r w:rsidR="00D649A8" w:rsidRPr="00050374">
        <w:t>8</w:t>
      </w:r>
      <w:r w:rsidR="004D2191">
        <w:t>0</w:t>
      </w:r>
      <w:r w:rsidRPr="00050374">
        <w:t>% of t</w:t>
      </w:r>
      <w:r w:rsidR="006F2FC1">
        <w:t>he program reference load and 6</w:t>
      </w:r>
      <w:r w:rsidR="004D2191">
        <w:t>2</w:t>
      </w:r>
      <w:r w:rsidRPr="00050374">
        <w:t>% of the load impacts.  For day-of resources, the concentration is similar</w:t>
      </w:r>
      <w:r w:rsidR="006D5226" w:rsidRPr="00050374">
        <w:t>, although less intensive</w:t>
      </w:r>
      <w:r w:rsidRPr="00050374">
        <w:t>; the lar</w:t>
      </w:r>
      <w:r w:rsidR="00EA64BF">
        <w:t>gest fifth of customers accoun</w:t>
      </w:r>
      <w:r w:rsidR="00A12359">
        <w:t>t</w:t>
      </w:r>
      <w:r w:rsidR="006A5BED">
        <w:t>ed</w:t>
      </w:r>
      <w:r w:rsidRPr="00050374">
        <w:t xml:space="preserve"> for </w:t>
      </w:r>
      <w:r w:rsidR="006F2FC1">
        <w:t>4</w:t>
      </w:r>
      <w:r w:rsidR="004D2191">
        <w:t>4</w:t>
      </w:r>
      <w:r w:rsidRPr="00050374">
        <w:t>% of the reference load an</w:t>
      </w:r>
      <w:r w:rsidR="006F2FC1">
        <w:t xml:space="preserve">d </w:t>
      </w:r>
      <w:r w:rsidR="00866E05">
        <w:t>48</w:t>
      </w:r>
      <w:r w:rsidRPr="00050374">
        <w:t>%</w:t>
      </w:r>
      <w:r w:rsidR="00866E05">
        <w:t xml:space="preserve"> of</w:t>
      </w:r>
      <w:r w:rsidRPr="00050374">
        <w:t xml:space="preserve"> the </w:t>
      </w:r>
      <w:proofErr w:type="gramStart"/>
      <w:r w:rsidRPr="00050374">
        <w:t>load</w:t>
      </w:r>
      <w:r w:rsidR="00D649A8" w:rsidRPr="00050374">
        <w:t xml:space="preserve"> </w:t>
      </w:r>
      <w:r w:rsidR="00136632">
        <w:t> </w:t>
      </w:r>
      <w:r w:rsidRPr="00050374">
        <w:t>impacts</w:t>
      </w:r>
      <w:proofErr w:type="gramEnd"/>
      <w:r w:rsidRPr="00050374">
        <w:t>.</w:t>
      </w:r>
      <w:r w:rsidR="00BB6A50">
        <w:t xml:space="preserve">  </w:t>
      </w:r>
    </w:p>
    <w:p w:rsidR="00A5705A" w:rsidRPr="00050374" w:rsidRDefault="006D5226" w:rsidP="00BA25E2">
      <w:pPr>
        <w:pStyle w:val="TableFigureCaption"/>
      </w:pPr>
      <w:r w:rsidRPr="00763059">
        <w:rPr>
          <w:rStyle w:val="Strong"/>
          <w:b/>
          <w:bCs w:val="0"/>
        </w:rPr>
        <w:t>Figure</w:t>
      </w:r>
      <w:r w:rsidR="00A5705A" w:rsidRPr="00050374">
        <w:rPr>
          <w:rStyle w:val="Strong"/>
          <w:b/>
        </w:rPr>
        <w:t xml:space="preserve"> </w:t>
      </w:r>
      <w:r w:rsidR="00A52143">
        <w:rPr>
          <w:rStyle w:val="Strong"/>
          <w:b/>
        </w:rPr>
        <w:t>4</w:t>
      </w:r>
      <w:r w:rsidRPr="00050374">
        <w:rPr>
          <w:rStyle w:val="Strong"/>
          <w:b/>
        </w:rPr>
        <w:t>-</w:t>
      </w:r>
      <w:r w:rsidR="003E5B2E">
        <w:rPr>
          <w:rStyle w:val="Strong"/>
          <w:b/>
        </w:rPr>
        <w:t>4</w:t>
      </w:r>
      <w:r w:rsidR="00A5705A" w:rsidRPr="00050374">
        <w:rPr>
          <w:rStyle w:val="Strong"/>
          <w:b/>
        </w:rPr>
        <w:t>:</w:t>
      </w:r>
      <w:r w:rsidR="00877CA8">
        <w:rPr>
          <w:rStyle w:val="Strong"/>
          <w:b/>
        </w:rPr>
        <w:t xml:space="preserve"> </w:t>
      </w:r>
      <w:r w:rsidR="00BA25E2">
        <w:rPr>
          <w:rStyle w:val="Strong"/>
          <w:b/>
        </w:rPr>
        <w:t xml:space="preserve"> </w:t>
      </w:r>
      <w:r w:rsidR="00A5705A" w:rsidRPr="00050374">
        <w:rPr>
          <w:rStyle w:val="Strong"/>
          <w:b/>
        </w:rPr>
        <w:t>Estimated Ex</w:t>
      </w:r>
      <w:r w:rsidR="00D16214" w:rsidRPr="00050374">
        <w:rPr>
          <w:rStyle w:val="Strong"/>
          <w:b/>
        </w:rPr>
        <w:t xml:space="preserve"> </w:t>
      </w:r>
      <w:r w:rsidR="00A5705A" w:rsidRPr="00050374">
        <w:rPr>
          <w:rStyle w:val="Strong"/>
          <w:b/>
        </w:rPr>
        <w:t xml:space="preserve">Post Load Impacts by </w:t>
      </w:r>
      <w:r w:rsidR="00B95A7B" w:rsidRPr="00050374">
        <w:rPr>
          <w:rStyle w:val="Strong"/>
          <w:b/>
        </w:rPr>
        <w:t>Customer Size</w:t>
      </w:r>
      <w:r w:rsidR="00A5705A" w:rsidRPr="00050374">
        <w:rPr>
          <w:rStyle w:val="Strong"/>
          <w:b/>
        </w:rPr>
        <w:br/>
        <w:t>Average 2011 PG&amp;E CBP Event</w:t>
      </w:r>
    </w:p>
    <w:p w:rsidR="00D649A8" w:rsidRPr="00050374" w:rsidRDefault="005310C6" w:rsidP="00DC52BC">
      <w:pPr>
        <w:jc w:val="center"/>
      </w:pPr>
      <w:r>
        <w:rPr>
          <w:noProof/>
        </w:rPr>
        <w:drawing>
          <wp:inline distT="0" distB="0" distL="0" distR="0">
            <wp:extent cx="5829300" cy="2124075"/>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829300" cy="2124075"/>
                    </a:xfrm>
                    <a:prstGeom prst="rect">
                      <a:avLst/>
                    </a:prstGeom>
                    <a:noFill/>
                    <a:ln w="9525">
                      <a:noFill/>
                      <a:miter lim="800000"/>
                      <a:headEnd/>
                      <a:tailEnd/>
                    </a:ln>
                  </pic:spPr>
                </pic:pic>
              </a:graphicData>
            </a:graphic>
          </wp:inline>
        </w:drawing>
      </w:r>
    </w:p>
    <w:p w:rsidR="00EF33FF" w:rsidRPr="00EF33FF" w:rsidRDefault="001D7FD4" w:rsidP="00EF33FF">
      <w:pPr>
        <w:pStyle w:val="Heading2"/>
      </w:pPr>
      <w:bookmarkStart w:id="225" w:name="_Toc318473853"/>
      <w:bookmarkStart w:id="226" w:name="_Toc319682358"/>
      <w:bookmarkStart w:id="227" w:name="_Toc326074019"/>
      <w:r>
        <w:t>Technical I</w:t>
      </w:r>
      <w:r w:rsidR="00EF33FF" w:rsidRPr="00EF33FF">
        <w:t xml:space="preserve">ncentive and </w:t>
      </w:r>
      <w:proofErr w:type="spellStart"/>
      <w:r w:rsidR="00EF33FF" w:rsidRPr="00EF33FF">
        <w:t>AutoDR</w:t>
      </w:r>
      <w:proofErr w:type="spellEnd"/>
      <w:r w:rsidR="00EF33FF" w:rsidRPr="00EF33FF">
        <w:t xml:space="preserve"> Realization Rates</w:t>
      </w:r>
      <w:bookmarkEnd w:id="225"/>
      <w:bookmarkEnd w:id="226"/>
      <w:bookmarkEnd w:id="227"/>
    </w:p>
    <w:p w:rsidR="00124047" w:rsidRDefault="00124047" w:rsidP="00124047">
      <w:pPr>
        <w:pStyle w:val="BodyParagraph"/>
      </w:pPr>
      <w:bookmarkStart w:id="228" w:name="_Toc320625160"/>
      <w:bookmarkStart w:id="229" w:name="_Toc320626091"/>
      <w:bookmarkStart w:id="230" w:name="_Toc320626903"/>
      <w:bookmarkStart w:id="231" w:name="_Toc320627143"/>
      <w:bookmarkStart w:id="232" w:name="_Toc320693159"/>
      <w:bookmarkEnd w:id="228"/>
      <w:bookmarkEnd w:id="229"/>
      <w:bookmarkEnd w:id="230"/>
      <w:bookmarkEnd w:id="231"/>
      <w:bookmarkEnd w:id="232"/>
      <w:r>
        <w:t xml:space="preserve">TI and </w:t>
      </w:r>
      <w:proofErr w:type="spellStart"/>
      <w:r>
        <w:t>AutoDR</w:t>
      </w:r>
      <w:proofErr w:type="spellEnd"/>
      <w:r>
        <w:t xml:space="preserve"> are part of a multi-stage process for automating demand response.  Customers can request an audit to identify opportunities to reduce power and determine the potential for automating load reductions via technology.  A technical incentive (TI) is paid if a customer installs equipment or reconfigures processes to automate load reductions.  The payment is provided after installation of the demand reduction technology is verified and the load reduction potential is measured onsite.  The payment is based on the amount of load that can be automatically shed when the equipment or process is running – known as the approved load shed.  With TI, the response is automated, but the customer still decides whether and when to drop load.  </w:t>
      </w:r>
      <w:proofErr w:type="spellStart"/>
      <w:r>
        <w:t>AutoDR</w:t>
      </w:r>
      <w:proofErr w:type="spellEnd"/>
      <w:r>
        <w:t xml:space="preserve"> provides an incremental incentive to encourage customers to allow the utility to remotely dispatch the automated load reduction.  </w:t>
      </w:r>
    </w:p>
    <w:p w:rsidR="00124047" w:rsidRDefault="00124047" w:rsidP="00124047">
      <w:pPr>
        <w:pStyle w:val="BodyParagraph"/>
      </w:pPr>
      <w:r>
        <w:t xml:space="preserve">To date, most TI and </w:t>
      </w:r>
      <w:proofErr w:type="spellStart"/>
      <w:r>
        <w:t>AutoDR</w:t>
      </w:r>
      <w:proofErr w:type="spellEnd"/>
      <w:r>
        <w:t xml:space="preserve"> applications have occurred in conjunction with voluntary enrollment in DR programs.</w:t>
      </w:r>
      <w:r>
        <w:rPr>
          <w:rStyle w:val="FootnoteReference"/>
        </w:rPr>
        <w:footnoteReference w:id="10"/>
      </w:r>
      <w:r>
        <w:t xml:space="preserve">  Only a subset of customers enrolled in DR programs partakes in TI or </w:t>
      </w:r>
      <w:proofErr w:type="spellStart"/>
      <w:r>
        <w:t>AutoDR</w:t>
      </w:r>
      <w:proofErr w:type="spellEnd"/>
      <w:r>
        <w:t xml:space="preserve">, and they do so voluntarily.  As a result, participants in TI or </w:t>
      </w:r>
      <w:proofErr w:type="spellStart"/>
      <w:r>
        <w:t>AutoDR</w:t>
      </w:r>
      <w:proofErr w:type="spellEnd"/>
      <w:r>
        <w:t xml:space="preserve"> are likely different from other customers in DR programs.  Success of TI and </w:t>
      </w:r>
      <w:proofErr w:type="spellStart"/>
      <w:r>
        <w:t>AutoDR</w:t>
      </w:r>
      <w:proofErr w:type="spellEnd"/>
      <w:r>
        <w:t xml:space="preserve"> programs should not be measured by whether participants provide smaller or larger reduction than the average customer in DR programs, precisely because participants in TI and </w:t>
      </w:r>
      <w:proofErr w:type="spellStart"/>
      <w:r>
        <w:t>AutoDR</w:t>
      </w:r>
      <w:proofErr w:type="spellEnd"/>
      <w:r>
        <w:t xml:space="preserve"> are likely to differ systematically from DR customer</w:t>
      </w:r>
      <w:r w:rsidR="00A14074">
        <w:t>s</w:t>
      </w:r>
      <w:r>
        <w:t xml:space="preserve"> that do not participate.  Similarly, TI participants are likely to differ systematically from </w:t>
      </w:r>
      <w:proofErr w:type="spellStart"/>
      <w:r>
        <w:t>AutoDR</w:t>
      </w:r>
      <w:proofErr w:type="spellEnd"/>
      <w:r>
        <w:t xml:space="preserve"> participants.  TI and </w:t>
      </w:r>
      <w:proofErr w:type="spellStart"/>
      <w:r>
        <w:t>AutoDR</w:t>
      </w:r>
      <w:proofErr w:type="spellEnd"/>
      <w:r>
        <w:t xml:space="preserve"> participants may not represent the mix of industry segments participating in DR programs generally; for example, PG&amp;E customers in TI and </w:t>
      </w:r>
      <w:proofErr w:type="spellStart"/>
      <w:r>
        <w:t>AutoDR</w:t>
      </w:r>
      <w:proofErr w:type="spellEnd"/>
      <w:r>
        <w:t xml:space="preserve"> are primarily from Manufacturing </w:t>
      </w:r>
      <w:r>
        <w:lastRenderedPageBreak/>
        <w:t>and Agriculture, Mining and Construction segments.  Finally, it has rarely been possible to observe customer load reductions both before and after installing enabling technology, precluding the ability to analyze and compare reductions before and after automation.</w:t>
      </w:r>
    </w:p>
    <w:p w:rsidR="00124047" w:rsidRDefault="00C61D83" w:rsidP="00124047">
      <w:pPr>
        <w:pStyle w:val="BodyParagraph"/>
      </w:pPr>
      <w:r>
        <w:fldChar w:fldCharType="begin"/>
      </w:r>
      <w:r w:rsidR="00124047">
        <w:instrText xml:space="preserve"> REF _Ref320620869 </w:instrText>
      </w:r>
      <w:r>
        <w:fldChar w:fldCharType="separate"/>
      </w:r>
      <w:r w:rsidR="00F66D5E">
        <w:t xml:space="preserve">Table </w:t>
      </w:r>
      <w:r w:rsidR="00F66D5E">
        <w:rPr>
          <w:noProof/>
        </w:rPr>
        <w:t>4</w:t>
      </w:r>
      <w:r w:rsidR="00F66D5E">
        <w:noBreakHyphen/>
        <w:t>8</w:t>
      </w:r>
      <w:r>
        <w:fldChar w:fldCharType="end"/>
      </w:r>
      <w:r w:rsidR="00124047">
        <w:t xml:space="preserve"> shows the number of PG&amp;E accounts with TI, </w:t>
      </w:r>
      <w:proofErr w:type="spellStart"/>
      <w:r w:rsidR="00124047">
        <w:t>AutoDR</w:t>
      </w:r>
      <w:proofErr w:type="spellEnd"/>
      <w:r w:rsidR="00124047">
        <w:t xml:space="preserve"> and no automation for each DR program and notification method.  For TI and </w:t>
      </w:r>
      <w:proofErr w:type="spellStart"/>
      <w:r w:rsidR="00124047">
        <w:t>AutoDR</w:t>
      </w:r>
      <w:proofErr w:type="spellEnd"/>
      <w:r w:rsidR="00124047">
        <w:t xml:space="preserve">, we also include the approved load shed upon which payment was based and the realization rate.  The realization rate indicates the share of the approved load shed that is delivered on event days.  The realization rate implicitly assumes that observed load reductions are due entirely to TI and </w:t>
      </w:r>
      <w:proofErr w:type="spellStart"/>
      <w:r w:rsidR="00124047">
        <w:t>AutoDR</w:t>
      </w:r>
      <w:proofErr w:type="spellEnd"/>
      <w:r w:rsidR="00124047">
        <w:t xml:space="preserve"> mechanisms.  It is possible that customers may take actions other than those instigated by TI and </w:t>
      </w:r>
      <w:proofErr w:type="spellStart"/>
      <w:r w:rsidR="00124047">
        <w:t>AutoDR</w:t>
      </w:r>
      <w:proofErr w:type="spellEnd"/>
      <w:r w:rsidR="00124047">
        <w:t xml:space="preserve"> during events.</w:t>
      </w:r>
    </w:p>
    <w:p w:rsidR="00124047" w:rsidRDefault="00124047" w:rsidP="00124047">
      <w:pPr>
        <w:pStyle w:val="TableFigureCaption"/>
      </w:pPr>
      <w:bookmarkStart w:id="233" w:name="_Ref320620869"/>
      <w:r>
        <w:t xml:space="preserve">Table </w:t>
      </w:r>
      <w:r w:rsidR="00C61D83">
        <w:fldChar w:fldCharType="begin"/>
      </w:r>
      <w:r>
        <w:instrText xml:space="preserve"> STYLEREF 1 \s </w:instrText>
      </w:r>
      <w:r w:rsidR="00C61D83">
        <w:fldChar w:fldCharType="separate"/>
      </w:r>
      <w:r w:rsidR="00F66D5E">
        <w:rPr>
          <w:noProof/>
        </w:rPr>
        <w:t>4</w:t>
      </w:r>
      <w:r w:rsidR="00C61D83">
        <w:fldChar w:fldCharType="end"/>
      </w:r>
      <w:r>
        <w:noBreakHyphen/>
      </w:r>
      <w:r w:rsidR="002D0E81">
        <w:t>8</w:t>
      </w:r>
      <w:bookmarkEnd w:id="233"/>
      <w:r>
        <w:t>:</w:t>
      </w:r>
      <w:r w:rsidR="00D80C88">
        <w:t xml:space="preserve"> </w:t>
      </w:r>
      <w:r>
        <w:t xml:space="preserve">PG&amp;E TI and </w:t>
      </w:r>
      <w:proofErr w:type="spellStart"/>
      <w:r>
        <w:t>AutoDR</w:t>
      </w:r>
      <w:proofErr w:type="spellEnd"/>
      <w:r>
        <w:t xml:space="preserve"> Program Results by Average Event Hour in 2011</w:t>
      </w:r>
    </w:p>
    <w:tbl>
      <w:tblPr>
        <w:tblW w:w="1018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5"/>
        <w:gridCol w:w="1079"/>
        <w:gridCol w:w="980"/>
        <w:gridCol w:w="1008"/>
        <w:gridCol w:w="1008"/>
        <w:gridCol w:w="999"/>
        <w:gridCol w:w="980"/>
        <w:gridCol w:w="1061"/>
        <w:gridCol w:w="980"/>
        <w:gridCol w:w="980"/>
      </w:tblGrid>
      <w:tr w:rsidR="00124047" w:rsidRPr="00126D2A" w:rsidTr="002D0E81">
        <w:trPr>
          <w:trHeight w:val="372"/>
        </w:trPr>
        <w:tc>
          <w:tcPr>
            <w:tcW w:w="1105" w:type="dxa"/>
            <w:vMerge w:val="restart"/>
            <w:tcBorders>
              <w:right w:val="single" w:sz="4" w:space="0" w:color="FFFFFF" w:themeColor="background1"/>
            </w:tcBorders>
            <w:shd w:val="clear" w:color="000000" w:fill="376091"/>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r w:rsidRPr="00126D2A">
              <w:rPr>
                <w:rFonts w:ascii="Arial" w:eastAsia="Times New Roman" w:hAnsi="Arial" w:cs="Arial"/>
                <w:b/>
                <w:bCs/>
                <w:color w:val="FFFFFF"/>
                <w:sz w:val="16"/>
                <w:szCs w:val="16"/>
              </w:rPr>
              <w:t>Automation Type</w:t>
            </w:r>
          </w:p>
        </w:tc>
        <w:tc>
          <w:tcPr>
            <w:tcW w:w="1079" w:type="dxa"/>
            <w:vMerge w:val="restart"/>
            <w:tcBorders>
              <w:left w:val="single" w:sz="4" w:space="0" w:color="FFFFFF" w:themeColor="background1"/>
              <w:right w:val="single" w:sz="4" w:space="0" w:color="FFFFFF" w:themeColor="background1"/>
            </w:tcBorders>
            <w:shd w:val="clear" w:color="000000" w:fill="376091"/>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r w:rsidRPr="00126D2A">
              <w:rPr>
                <w:rFonts w:ascii="Arial" w:eastAsia="Times New Roman" w:hAnsi="Arial" w:cs="Arial"/>
                <w:b/>
                <w:bCs/>
                <w:color w:val="FFFFFF"/>
                <w:sz w:val="16"/>
                <w:szCs w:val="16"/>
              </w:rPr>
              <w:t>Aggregator Program</w:t>
            </w:r>
          </w:p>
        </w:tc>
        <w:tc>
          <w:tcPr>
            <w:tcW w:w="980" w:type="dxa"/>
            <w:vMerge w:val="restart"/>
            <w:tcBorders>
              <w:left w:val="single" w:sz="4" w:space="0" w:color="FFFFFF" w:themeColor="background1"/>
              <w:right w:val="single" w:sz="4" w:space="0" w:color="FFFFFF" w:themeColor="background1"/>
            </w:tcBorders>
            <w:shd w:val="clear" w:color="000000" w:fill="376091"/>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r w:rsidRPr="00126D2A">
              <w:rPr>
                <w:rFonts w:ascii="Arial" w:eastAsia="Times New Roman" w:hAnsi="Arial" w:cs="Arial"/>
                <w:b/>
                <w:bCs/>
                <w:color w:val="FFFFFF"/>
                <w:sz w:val="16"/>
                <w:szCs w:val="16"/>
              </w:rPr>
              <w:t>Accts</w:t>
            </w:r>
          </w:p>
        </w:tc>
        <w:tc>
          <w:tcPr>
            <w:tcW w:w="1008" w:type="dxa"/>
            <w:vMerge w:val="restart"/>
            <w:tcBorders>
              <w:left w:val="single" w:sz="4" w:space="0" w:color="FFFFFF" w:themeColor="background1"/>
              <w:right w:val="single" w:sz="4" w:space="0" w:color="FFFFFF" w:themeColor="background1"/>
            </w:tcBorders>
            <w:shd w:val="clear" w:color="000000" w:fill="376091"/>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r w:rsidRPr="00126D2A">
              <w:rPr>
                <w:rFonts w:ascii="Arial" w:eastAsia="Times New Roman" w:hAnsi="Arial" w:cs="Arial"/>
                <w:b/>
                <w:bCs/>
                <w:color w:val="FFFFFF"/>
                <w:sz w:val="16"/>
                <w:szCs w:val="16"/>
              </w:rPr>
              <w:t>Aggregate Reference Load (MW)</w:t>
            </w:r>
          </w:p>
        </w:tc>
        <w:tc>
          <w:tcPr>
            <w:tcW w:w="1008" w:type="dxa"/>
            <w:vMerge w:val="restart"/>
            <w:tcBorders>
              <w:left w:val="single" w:sz="4" w:space="0" w:color="FFFFFF" w:themeColor="background1"/>
              <w:right w:val="single" w:sz="4" w:space="0" w:color="FFFFFF" w:themeColor="background1"/>
            </w:tcBorders>
            <w:shd w:val="clear" w:color="000000" w:fill="376091"/>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r w:rsidRPr="00126D2A">
              <w:rPr>
                <w:rFonts w:ascii="Arial" w:eastAsia="Times New Roman" w:hAnsi="Arial" w:cs="Arial"/>
                <w:b/>
                <w:bCs/>
                <w:color w:val="FFFFFF"/>
                <w:sz w:val="16"/>
                <w:szCs w:val="16"/>
              </w:rPr>
              <w:t>Aggregate Load Impact (MW)</w:t>
            </w:r>
          </w:p>
        </w:tc>
        <w:tc>
          <w:tcPr>
            <w:tcW w:w="999" w:type="dxa"/>
            <w:vMerge w:val="restart"/>
            <w:tcBorders>
              <w:left w:val="single" w:sz="4" w:space="0" w:color="FFFFFF" w:themeColor="background1"/>
              <w:right w:val="single" w:sz="4" w:space="0" w:color="FFFFFF" w:themeColor="background1"/>
            </w:tcBorders>
            <w:shd w:val="clear" w:color="000000" w:fill="376091"/>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r w:rsidRPr="00126D2A">
              <w:rPr>
                <w:rFonts w:ascii="Arial" w:eastAsia="Times New Roman" w:hAnsi="Arial" w:cs="Arial"/>
                <w:b/>
                <w:bCs/>
                <w:color w:val="FFFFFF"/>
                <w:sz w:val="16"/>
                <w:szCs w:val="16"/>
              </w:rPr>
              <w:t>% Load Reduction</w:t>
            </w:r>
          </w:p>
        </w:tc>
        <w:tc>
          <w:tcPr>
            <w:tcW w:w="980" w:type="dxa"/>
            <w:vMerge w:val="restart"/>
            <w:tcBorders>
              <w:left w:val="single" w:sz="4" w:space="0" w:color="FFFFFF" w:themeColor="background1"/>
              <w:right w:val="single" w:sz="4" w:space="0" w:color="FFFFFF" w:themeColor="background1"/>
            </w:tcBorders>
            <w:shd w:val="clear" w:color="000000" w:fill="376091"/>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r w:rsidRPr="00126D2A">
              <w:rPr>
                <w:rFonts w:ascii="Arial" w:eastAsia="Times New Roman" w:hAnsi="Arial" w:cs="Arial"/>
                <w:b/>
                <w:bCs/>
                <w:color w:val="FFFFFF"/>
                <w:sz w:val="16"/>
                <w:szCs w:val="16"/>
              </w:rPr>
              <w:t>Approved Load Shed (MW)</w:t>
            </w:r>
          </w:p>
        </w:tc>
        <w:tc>
          <w:tcPr>
            <w:tcW w:w="1061" w:type="dxa"/>
            <w:vMerge w:val="restart"/>
            <w:tcBorders>
              <w:left w:val="single" w:sz="4" w:space="0" w:color="FFFFFF" w:themeColor="background1"/>
              <w:right w:val="single" w:sz="4" w:space="0" w:color="FFFFFF" w:themeColor="background1"/>
            </w:tcBorders>
            <w:shd w:val="clear" w:color="000000" w:fill="376091"/>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r w:rsidRPr="00126D2A">
              <w:rPr>
                <w:rFonts w:ascii="Arial" w:eastAsia="Times New Roman" w:hAnsi="Arial" w:cs="Arial"/>
                <w:b/>
                <w:bCs/>
                <w:color w:val="FFFFFF"/>
                <w:sz w:val="16"/>
                <w:szCs w:val="16"/>
              </w:rPr>
              <w:t>Realization %</w:t>
            </w:r>
          </w:p>
        </w:tc>
        <w:tc>
          <w:tcPr>
            <w:tcW w:w="1960" w:type="dxa"/>
            <w:gridSpan w:val="2"/>
            <w:tcBorders>
              <w:left w:val="single" w:sz="4" w:space="0" w:color="FFFFFF" w:themeColor="background1"/>
              <w:bottom w:val="single" w:sz="4" w:space="0" w:color="FFFFFF" w:themeColor="background1"/>
            </w:tcBorders>
            <w:shd w:val="clear" w:color="000000" w:fill="376091"/>
            <w:noWrap/>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r w:rsidRPr="00126D2A">
              <w:rPr>
                <w:rFonts w:ascii="Arial" w:eastAsia="Times New Roman" w:hAnsi="Arial" w:cs="Arial"/>
                <w:b/>
                <w:bCs/>
                <w:color w:val="FFFFFF"/>
                <w:sz w:val="16"/>
                <w:szCs w:val="16"/>
              </w:rPr>
              <w:t>90% confidence band</w:t>
            </w:r>
          </w:p>
        </w:tc>
      </w:tr>
      <w:tr w:rsidR="00124047" w:rsidRPr="00126D2A" w:rsidTr="002D0E81">
        <w:trPr>
          <w:trHeight w:val="408"/>
        </w:trPr>
        <w:tc>
          <w:tcPr>
            <w:tcW w:w="1105" w:type="dxa"/>
            <w:vMerge/>
            <w:tcBorders>
              <w:right w:val="single" w:sz="4" w:space="0" w:color="FFFFFF" w:themeColor="background1"/>
            </w:tcBorders>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p>
        </w:tc>
        <w:tc>
          <w:tcPr>
            <w:tcW w:w="1079" w:type="dxa"/>
            <w:vMerge/>
            <w:tcBorders>
              <w:left w:val="single" w:sz="4" w:space="0" w:color="FFFFFF" w:themeColor="background1"/>
              <w:right w:val="single" w:sz="4" w:space="0" w:color="FFFFFF" w:themeColor="background1"/>
            </w:tcBorders>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p>
        </w:tc>
        <w:tc>
          <w:tcPr>
            <w:tcW w:w="980" w:type="dxa"/>
            <w:vMerge/>
            <w:tcBorders>
              <w:left w:val="single" w:sz="4" w:space="0" w:color="FFFFFF" w:themeColor="background1"/>
              <w:right w:val="single" w:sz="4" w:space="0" w:color="FFFFFF" w:themeColor="background1"/>
            </w:tcBorders>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p>
        </w:tc>
        <w:tc>
          <w:tcPr>
            <w:tcW w:w="1008" w:type="dxa"/>
            <w:vMerge/>
            <w:tcBorders>
              <w:left w:val="single" w:sz="4" w:space="0" w:color="FFFFFF" w:themeColor="background1"/>
              <w:right w:val="single" w:sz="4" w:space="0" w:color="FFFFFF" w:themeColor="background1"/>
            </w:tcBorders>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p>
        </w:tc>
        <w:tc>
          <w:tcPr>
            <w:tcW w:w="1008" w:type="dxa"/>
            <w:vMerge/>
            <w:tcBorders>
              <w:left w:val="single" w:sz="4" w:space="0" w:color="FFFFFF" w:themeColor="background1"/>
              <w:right w:val="single" w:sz="4" w:space="0" w:color="FFFFFF" w:themeColor="background1"/>
            </w:tcBorders>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p>
        </w:tc>
        <w:tc>
          <w:tcPr>
            <w:tcW w:w="999" w:type="dxa"/>
            <w:vMerge/>
            <w:tcBorders>
              <w:left w:val="single" w:sz="4" w:space="0" w:color="FFFFFF" w:themeColor="background1"/>
              <w:right w:val="single" w:sz="4" w:space="0" w:color="FFFFFF" w:themeColor="background1"/>
            </w:tcBorders>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p>
        </w:tc>
        <w:tc>
          <w:tcPr>
            <w:tcW w:w="980" w:type="dxa"/>
            <w:vMerge/>
            <w:tcBorders>
              <w:left w:val="single" w:sz="4" w:space="0" w:color="FFFFFF" w:themeColor="background1"/>
              <w:right w:val="single" w:sz="4" w:space="0" w:color="FFFFFF" w:themeColor="background1"/>
            </w:tcBorders>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p>
        </w:tc>
        <w:tc>
          <w:tcPr>
            <w:tcW w:w="1061" w:type="dxa"/>
            <w:vMerge/>
            <w:tcBorders>
              <w:left w:val="single" w:sz="4" w:space="0" w:color="FFFFFF" w:themeColor="background1"/>
              <w:right w:val="single" w:sz="4" w:space="0" w:color="FFFFFF" w:themeColor="background1"/>
            </w:tcBorders>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p>
        </w:tc>
        <w:tc>
          <w:tcPr>
            <w:tcW w:w="98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r w:rsidRPr="00126D2A">
              <w:rPr>
                <w:rFonts w:ascii="Arial" w:eastAsia="Times New Roman" w:hAnsi="Arial" w:cs="Arial"/>
                <w:b/>
                <w:bCs/>
                <w:color w:val="FFFFFF"/>
                <w:sz w:val="16"/>
                <w:szCs w:val="16"/>
              </w:rPr>
              <w:t>Lower Bound</w:t>
            </w:r>
          </w:p>
        </w:tc>
        <w:tc>
          <w:tcPr>
            <w:tcW w:w="980" w:type="dxa"/>
            <w:tcBorders>
              <w:top w:val="single" w:sz="4" w:space="0" w:color="FFFFFF" w:themeColor="background1"/>
              <w:left w:val="single" w:sz="4" w:space="0" w:color="FFFFFF" w:themeColor="background1"/>
            </w:tcBorders>
            <w:shd w:val="clear" w:color="000000" w:fill="376091"/>
            <w:vAlign w:val="center"/>
            <w:hideMark/>
          </w:tcPr>
          <w:p w:rsidR="00124047" w:rsidRPr="00126D2A" w:rsidRDefault="00124047" w:rsidP="002D0E81">
            <w:pPr>
              <w:spacing w:after="0" w:line="240" w:lineRule="auto"/>
              <w:jc w:val="center"/>
              <w:rPr>
                <w:rFonts w:ascii="Arial" w:eastAsia="Times New Roman" w:hAnsi="Arial" w:cs="Arial"/>
                <w:b/>
                <w:bCs/>
                <w:color w:val="FFFFFF"/>
                <w:sz w:val="16"/>
                <w:szCs w:val="16"/>
              </w:rPr>
            </w:pPr>
            <w:r w:rsidRPr="00126D2A">
              <w:rPr>
                <w:rFonts w:ascii="Arial" w:eastAsia="Times New Roman" w:hAnsi="Arial" w:cs="Arial"/>
                <w:b/>
                <w:bCs/>
                <w:color w:val="FFFFFF"/>
                <w:sz w:val="16"/>
                <w:szCs w:val="16"/>
              </w:rPr>
              <w:t>Upper Bound</w:t>
            </w:r>
          </w:p>
        </w:tc>
      </w:tr>
      <w:tr w:rsidR="00124047" w:rsidRPr="00126D2A" w:rsidTr="002D0E81">
        <w:trPr>
          <w:trHeight w:val="396"/>
        </w:trPr>
        <w:tc>
          <w:tcPr>
            <w:tcW w:w="1105" w:type="dxa"/>
            <w:vMerge w:val="restart"/>
            <w:shd w:val="clear" w:color="auto" w:fill="auto"/>
            <w:vAlign w:val="center"/>
            <w:hideMark/>
          </w:tcPr>
          <w:p w:rsidR="00124047" w:rsidRPr="00126D2A" w:rsidRDefault="00124047" w:rsidP="00124047">
            <w:pPr>
              <w:spacing w:after="0" w:line="240" w:lineRule="auto"/>
              <w:jc w:val="center"/>
              <w:rPr>
                <w:rFonts w:ascii="Arial" w:eastAsia="Times New Roman" w:hAnsi="Arial" w:cs="Arial"/>
                <w:color w:val="000000"/>
                <w:sz w:val="16"/>
                <w:szCs w:val="16"/>
              </w:rPr>
            </w:pPr>
            <w:r w:rsidRPr="00126D2A">
              <w:rPr>
                <w:rFonts w:ascii="Arial" w:eastAsia="Times New Roman" w:hAnsi="Arial" w:cs="Arial"/>
                <w:color w:val="000000"/>
                <w:sz w:val="16"/>
                <w:szCs w:val="16"/>
              </w:rPr>
              <w:t>Technical Incentives</w:t>
            </w:r>
          </w:p>
        </w:tc>
        <w:tc>
          <w:tcPr>
            <w:tcW w:w="1079"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AMP - DA</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3</w:t>
            </w:r>
          </w:p>
        </w:tc>
        <w:tc>
          <w:tcPr>
            <w:tcW w:w="1008"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14.0</w:t>
            </w:r>
          </w:p>
        </w:tc>
        <w:tc>
          <w:tcPr>
            <w:tcW w:w="1008"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7.4</w:t>
            </w:r>
          </w:p>
        </w:tc>
        <w:tc>
          <w:tcPr>
            <w:tcW w:w="999"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53.1%</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3.2</w:t>
            </w:r>
          </w:p>
        </w:tc>
        <w:tc>
          <w:tcPr>
            <w:tcW w:w="1061"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235.4%</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201.7%</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269.0%</w:t>
            </w:r>
          </w:p>
        </w:tc>
      </w:tr>
      <w:tr w:rsidR="00124047" w:rsidRPr="00126D2A" w:rsidTr="002D0E81">
        <w:trPr>
          <w:trHeight w:val="396"/>
        </w:trPr>
        <w:tc>
          <w:tcPr>
            <w:tcW w:w="1105" w:type="dxa"/>
            <w:vMerge/>
            <w:vAlign w:val="center"/>
            <w:hideMark/>
          </w:tcPr>
          <w:p w:rsidR="00124047" w:rsidRPr="00126D2A" w:rsidRDefault="00124047" w:rsidP="00124047">
            <w:pPr>
              <w:spacing w:after="0" w:line="240" w:lineRule="auto"/>
              <w:rPr>
                <w:rFonts w:ascii="Arial" w:eastAsia="Times New Roman" w:hAnsi="Arial" w:cs="Arial"/>
                <w:color w:val="000000"/>
                <w:sz w:val="16"/>
                <w:szCs w:val="16"/>
              </w:rPr>
            </w:pPr>
          </w:p>
        </w:tc>
        <w:tc>
          <w:tcPr>
            <w:tcW w:w="1079"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AMP - DO</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13</w:t>
            </w:r>
          </w:p>
        </w:tc>
        <w:tc>
          <w:tcPr>
            <w:tcW w:w="1008"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16.9</w:t>
            </w:r>
          </w:p>
        </w:tc>
        <w:tc>
          <w:tcPr>
            <w:tcW w:w="1008"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1.4</w:t>
            </w:r>
          </w:p>
        </w:tc>
        <w:tc>
          <w:tcPr>
            <w:tcW w:w="999"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8.1%</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11.6</w:t>
            </w:r>
          </w:p>
        </w:tc>
        <w:tc>
          <w:tcPr>
            <w:tcW w:w="1061"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11.8%</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7.8%</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15.8%</w:t>
            </w:r>
          </w:p>
        </w:tc>
      </w:tr>
      <w:tr w:rsidR="00124047" w:rsidRPr="00126D2A" w:rsidTr="002D0E81">
        <w:trPr>
          <w:trHeight w:val="396"/>
        </w:trPr>
        <w:tc>
          <w:tcPr>
            <w:tcW w:w="1105" w:type="dxa"/>
            <w:vMerge/>
            <w:vAlign w:val="center"/>
            <w:hideMark/>
          </w:tcPr>
          <w:p w:rsidR="00124047" w:rsidRPr="00126D2A" w:rsidRDefault="00124047" w:rsidP="00124047">
            <w:pPr>
              <w:spacing w:after="0" w:line="240" w:lineRule="auto"/>
              <w:rPr>
                <w:rFonts w:ascii="Arial" w:eastAsia="Times New Roman" w:hAnsi="Arial" w:cs="Arial"/>
                <w:color w:val="000000"/>
                <w:sz w:val="16"/>
                <w:szCs w:val="16"/>
              </w:rPr>
            </w:pPr>
          </w:p>
        </w:tc>
        <w:tc>
          <w:tcPr>
            <w:tcW w:w="1079" w:type="dxa"/>
            <w:shd w:val="clear" w:color="auto" w:fill="auto"/>
            <w:noWrap/>
            <w:vAlign w:val="center"/>
            <w:hideMark/>
          </w:tcPr>
          <w:p w:rsidR="00124047" w:rsidRPr="00126D2A" w:rsidRDefault="00124047" w:rsidP="00124047">
            <w:pPr>
              <w:spacing w:after="0" w:line="240" w:lineRule="auto"/>
              <w:jc w:val="center"/>
              <w:rPr>
                <w:rFonts w:ascii="Arial" w:eastAsia="Times New Roman" w:hAnsi="Arial" w:cs="Arial"/>
                <w:b/>
                <w:bCs/>
                <w:color w:val="000000"/>
                <w:sz w:val="16"/>
                <w:szCs w:val="16"/>
              </w:rPr>
            </w:pPr>
            <w:r w:rsidRPr="00126D2A">
              <w:rPr>
                <w:rFonts w:ascii="Arial" w:eastAsia="Times New Roman" w:hAnsi="Arial" w:cs="Arial"/>
                <w:b/>
                <w:bCs/>
                <w:color w:val="000000"/>
                <w:sz w:val="16"/>
                <w:szCs w:val="16"/>
              </w:rPr>
              <w:t>TOTAL</w:t>
            </w:r>
          </w:p>
        </w:tc>
        <w:tc>
          <w:tcPr>
            <w:tcW w:w="980"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16</w:t>
            </w:r>
          </w:p>
        </w:tc>
        <w:tc>
          <w:tcPr>
            <w:tcW w:w="1008"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31.2</w:t>
            </w:r>
          </w:p>
        </w:tc>
        <w:tc>
          <w:tcPr>
            <w:tcW w:w="1008"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9.0</w:t>
            </w:r>
          </w:p>
        </w:tc>
        <w:tc>
          <w:tcPr>
            <w:tcW w:w="999"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28.9%</w:t>
            </w:r>
          </w:p>
        </w:tc>
        <w:tc>
          <w:tcPr>
            <w:tcW w:w="980"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14.8</w:t>
            </w:r>
          </w:p>
        </w:tc>
        <w:tc>
          <w:tcPr>
            <w:tcW w:w="1061"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61.1%</w:t>
            </w:r>
          </w:p>
        </w:tc>
        <w:tc>
          <w:tcPr>
            <w:tcW w:w="980"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53.2%</w:t>
            </w:r>
          </w:p>
        </w:tc>
        <w:tc>
          <w:tcPr>
            <w:tcW w:w="980"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69.1%</w:t>
            </w:r>
          </w:p>
        </w:tc>
      </w:tr>
      <w:tr w:rsidR="00124047" w:rsidRPr="00126D2A" w:rsidTr="002D0E81">
        <w:trPr>
          <w:trHeight w:val="396"/>
        </w:trPr>
        <w:tc>
          <w:tcPr>
            <w:tcW w:w="1105" w:type="dxa"/>
            <w:vMerge w:val="restart"/>
            <w:shd w:val="clear" w:color="auto" w:fill="auto"/>
            <w:vAlign w:val="center"/>
            <w:hideMark/>
          </w:tcPr>
          <w:p w:rsidR="00124047" w:rsidRPr="00126D2A" w:rsidRDefault="00124047" w:rsidP="00124047">
            <w:pPr>
              <w:spacing w:after="0" w:line="240" w:lineRule="auto"/>
              <w:jc w:val="center"/>
              <w:rPr>
                <w:rFonts w:ascii="Arial" w:eastAsia="Times New Roman" w:hAnsi="Arial" w:cs="Arial"/>
                <w:color w:val="000000"/>
                <w:sz w:val="16"/>
                <w:szCs w:val="16"/>
              </w:rPr>
            </w:pPr>
            <w:proofErr w:type="spellStart"/>
            <w:r w:rsidRPr="00126D2A">
              <w:rPr>
                <w:rFonts w:ascii="Arial" w:eastAsia="Times New Roman" w:hAnsi="Arial" w:cs="Arial"/>
                <w:color w:val="000000"/>
                <w:sz w:val="16"/>
                <w:szCs w:val="16"/>
              </w:rPr>
              <w:t>AutoDR</w:t>
            </w:r>
            <w:proofErr w:type="spellEnd"/>
          </w:p>
        </w:tc>
        <w:tc>
          <w:tcPr>
            <w:tcW w:w="1079" w:type="dxa"/>
            <w:shd w:val="clear" w:color="auto" w:fill="auto"/>
            <w:noWrap/>
            <w:vAlign w:val="center"/>
            <w:hideMark/>
          </w:tcPr>
          <w:p w:rsidR="00124047" w:rsidRPr="00126D2A" w:rsidRDefault="00124047" w:rsidP="00124047">
            <w:pPr>
              <w:spacing w:after="0" w:line="240" w:lineRule="auto"/>
              <w:jc w:val="center"/>
              <w:rPr>
                <w:rFonts w:ascii="Arial" w:eastAsia="Times New Roman" w:hAnsi="Arial" w:cs="Arial"/>
                <w:color w:val="000000"/>
                <w:sz w:val="16"/>
                <w:szCs w:val="16"/>
              </w:rPr>
            </w:pPr>
            <w:r w:rsidRPr="00126D2A">
              <w:rPr>
                <w:rFonts w:ascii="Arial" w:eastAsia="Times New Roman" w:hAnsi="Arial" w:cs="Arial"/>
                <w:color w:val="000000"/>
                <w:sz w:val="16"/>
                <w:szCs w:val="16"/>
              </w:rPr>
              <w:t>AMP - DO</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4</w:t>
            </w:r>
          </w:p>
        </w:tc>
        <w:tc>
          <w:tcPr>
            <w:tcW w:w="1008"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3.6</w:t>
            </w:r>
          </w:p>
        </w:tc>
        <w:tc>
          <w:tcPr>
            <w:tcW w:w="1008"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1.3</w:t>
            </w:r>
          </w:p>
        </w:tc>
        <w:tc>
          <w:tcPr>
            <w:tcW w:w="999"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35.9%</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0.6</w:t>
            </w:r>
          </w:p>
        </w:tc>
        <w:tc>
          <w:tcPr>
            <w:tcW w:w="1061"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214.1%</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119.8%</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308.3%</w:t>
            </w:r>
          </w:p>
        </w:tc>
      </w:tr>
      <w:tr w:rsidR="00124047" w:rsidRPr="00126D2A" w:rsidTr="002D0E81">
        <w:trPr>
          <w:trHeight w:val="396"/>
        </w:trPr>
        <w:tc>
          <w:tcPr>
            <w:tcW w:w="1105" w:type="dxa"/>
            <w:vMerge/>
            <w:vAlign w:val="center"/>
            <w:hideMark/>
          </w:tcPr>
          <w:p w:rsidR="00124047" w:rsidRPr="00126D2A" w:rsidRDefault="00124047" w:rsidP="00124047">
            <w:pPr>
              <w:spacing w:after="0" w:line="240" w:lineRule="auto"/>
              <w:rPr>
                <w:rFonts w:ascii="Arial" w:eastAsia="Times New Roman" w:hAnsi="Arial" w:cs="Arial"/>
                <w:color w:val="000000"/>
                <w:sz w:val="16"/>
                <w:szCs w:val="16"/>
              </w:rPr>
            </w:pPr>
          </w:p>
        </w:tc>
        <w:tc>
          <w:tcPr>
            <w:tcW w:w="1079" w:type="dxa"/>
            <w:shd w:val="clear" w:color="auto" w:fill="auto"/>
            <w:noWrap/>
            <w:vAlign w:val="center"/>
            <w:hideMark/>
          </w:tcPr>
          <w:p w:rsidR="00124047" w:rsidRPr="00126D2A" w:rsidRDefault="00124047" w:rsidP="00124047">
            <w:pPr>
              <w:spacing w:after="0" w:line="240" w:lineRule="auto"/>
              <w:jc w:val="center"/>
              <w:rPr>
                <w:rFonts w:ascii="Arial" w:eastAsia="Times New Roman" w:hAnsi="Arial" w:cs="Arial"/>
                <w:color w:val="000000"/>
                <w:sz w:val="16"/>
                <w:szCs w:val="16"/>
              </w:rPr>
            </w:pPr>
            <w:r w:rsidRPr="00126D2A">
              <w:rPr>
                <w:rFonts w:ascii="Arial" w:eastAsia="Times New Roman" w:hAnsi="Arial" w:cs="Arial"/>
                <w:color w:val="000000"/>
                <w:sz w:val="16"/>
                <w:szCs w:val="16"/>
              </w:rPr>
              <w:t>CBP - DO</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1</w:t>
            </w:r>
          </w:p>
        </w:tc>
        <w:tc>
          <w:tcPr>
            <w:tcW w:w="1008"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0.3</w:t>
            </w:r>
          </w:p>
        </w:tc>
        <w:tc>
          <w:tcPr>
            <w:tcW w:w="1008"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0.1</w:t>
            </w:r>
          </w:p>
        </w:tc>
        <w:tc>
          <w:tcPr>
            <w:tcW w:w="999"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27.9%</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0.0</w:t>
            </w:r>
          </w:p>
        </w:tc>
        <w:tc>
          <w:tcPr>
            <w:tcW w:w="1061"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158.1%</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80.4%</w:t>
            </w:r>
          </w:p>
        </w:tc>
        <w:tc>
          <w:tcPr>
            <w:tcW w:w="980" w:type="dxa"/>
            <w:shd w:val="clear" w:color="auto" w:fill="auto"/>
            <w:noWrap/>
            <w:vAlign w:val="center"/>
            <w:hideMark/>
          </w:tcPr>
          <w:p w:rsidR="00124047" w:rsidRPr="00F20E7E" w:rsidRDefault="00124047" w:rsidP="00124047">
            <w:pPr>
              <w:pStyle w:val="TableText"/>
              <w:rPr>
                <w:sz w:val="16"/>
                <w:szCs w:val="16"/>
              </w:rPr>
            </w:pPr>
            <w:r w:rsidRPr="00F20E7E">
              <w:rPr>
                <w:sz w:val="16"/>
                <w:szCs w:val="16"/>
              </w:rPr>
              <w:t>235.8%</w:t>
            </w:r>
          </w:p>
        </w:tc>
      </w:tr>
      <w:tr w:rsidR="00124047" w:rsidRPr="00126D2A" w:rsidTr="002D0E81">
        <w:trPr>
          <w:trHeight w:val="396"/>
        </w:trPr>
        <w:tc>
          <w:tcPr>
            <w:tcW w:w="1105" w:type="dxa"/>
            <w:vMerge/>
            <w:vAlign w:val="center"/>
            <w:hideMark/>
          </w:tcPr>
          <w:p w:rsidR="00124047" w:rsidRPr="00126D2A" w:rsidRDefault="00124047" w:rsidP="00124047">
            <w:pPr>
              <w:spacing w:after="0" w:line="240" w:lineRule="auto"/>
              <w:rPr>
                <w:rFonts w:ascii="Arial" w:eastAsia="Times New Roman" w:hAnsi="Arial" w:cs="Arial"/>
                <w:color w:val="000000"/>
                <w:sz w:val="16"/>
                <w:szCs w:val="16"/>
              </w:rPr>
            </w:pPr>
          </w:p>
        </w:tc>
        <w:tc>
          <w:tcPr>
            <w:tcW w:w="1079" w:type="dxa"/>
            <w:shd w:val="clear" w:color="auto" w:fill="auto"/>
            <w:noWrap/>
            <w:vAlign w:val="center"/>
            <w:hideMark/>
          </w:tcPr>
          <w:p w:rsidR="00124047" w:rsidRPr="00126D2A" w:rsidRDefault="00124047" w:rsidP="00124047">
            <w:pPr>
              <w:spacing w:after="0" w:line="240" w:lineRule="auto"/>
              <w:jc w:val="center"/>
              <w:rPr>
                <w:rFonts w:ascii="Arial" w:eastAsia="Times New Roman" w:hAnsi="Arial" w:cs="Arial"/>
                <w:b/>
                <w:bCs/>
                <w:color w:val="000000"/>
                <w:sz w:val="16"/>
                <w:szCs w:val="16"/>
              </w:rPr>
            </w:pPr>
            <w:r w:rsidRPr="00126D2A">
              <w:rPr>
                <w:rFonts w:ascii="Arial" w:eastAsia="Times New Roman" w:hAnsi="Arial" w:cs="Arial"/>
                <w:b/>
                <w:bCs/>
                <w:color w:val="000000"/>
                <w:sz w:val="16"/>
                <w:szCs w:val="16"/>
              </w:rPr>
              <w:t>TOTAL</w:t>
            </w:r>
          </w:p>
        </w:tc>
        <w:tc>
          <w:tcPr>
            <w:tcW w:w="980"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5</w:t>
            </w:r>
          </w:p>
        </w:tc>
        <w:tc>
          <w:tcPr>
            <w:tcW w:w="1008"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3.9</w:t>
            </w:r>
          </w:p>
        </w:tc>
        <w:tc>
          <w:tcPr>
            <w:tcW w:w="1008"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1.4</w:t>
            </w:r>
          </w:p>
        </w:tc>
        <w:tc>
          <w:tcPr>
            <w:tcW w:w="999"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35.5%</w:t>
            </w:r>
          </w:p>
        </w:tc>
        <w:tc>
          <w:tcPr>
            <w:tcW w:w="980"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0.7</w:t>
            </w:r>
          </w:p>
        </w:tc>
        <w:tc>
          <w:tcPr>
            <w:tcW w:w="1061"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211.0%</w:t>
            </w:r>
          </w:p>
        </w:tc>
        <w:tc>
          <w:tcPr>
            <w:tcW w:w="980"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125.2%</w:t>
            </w:r>
          </w:p>
        </w:tc>
        <w:tc>
          <w:tcPr>
            <w:tcW w:w="980" w:type="dxa"/>
            <w:shd w:val="clear" w:color="auto" w:fill="auto"/>
            <w:noWrap/>
            <w:vAlign w:val="center"/>
            <w:hideMark/>
          </w:tcPr>
          <w:p w:rsidR="00124047" w:rsidRPr="00F20E7E" w:rsidRDefault="00124047" w:rsidP="00124047">
            <w:pPr>
              <w:pStyle w:val="TableText"/>
              <w:rPr>
                <w:b/>
                <w:sz w:val="16"/>
                <w:szCs w:val="16"/>
              </w:rPr>
            </w:pPr>
            <w:r w:rsidRPr="00F20E7E">
              <w:rPr>
                <w:b/>
                <w:sz w:val="16"/>
                <w:szCs w:val="16"/>
              </w:rPr>
              <w:t>296.9%</w:t>
            </w:r>
          </w:p>
        </w:tc>
      </w:tr>
    </w:tbl>
    <w:p w:rsidR="00124047" w:rsidRDefault="00124047" w:rsidP="00124047">
      <w:pPr>
        <w:pStyle w:val="BodyParaAfterTableFigure"/>
      </w:pPr>
      <w:r w:rsidRPr="00F20E7E">
        <w:rPr>
          <w:rStyle w:val="BodyParagraphChar"/>
        </w:rPr>
        <w:t xml:space="preserve">The results for PG&amp;E’s TI and </w:t>
      </w:r>
      <w:proofErr w:type="spellStart"/>
      <w:r w:rsidRPr="00F20E7E">
        <w:rPr>
          <w:rStyle w:val="BodyParagraphChar"/>
        </w:rPr>
        <w:t>AutoDR</w:t>
      </w:r>
      <w:proofErr w:type="spellEnd"/>
      <w:r w:rsidRPr="00F20E7E">
        <w:rPr>
          <w:rStyle w:val="BodyParagraphChar"/>
        </w:rPr>
        <w:t xml:space="preserve"> programs </w:t>
      </w:r>
      <w:r w:rsidR="00003892">
        <w:rPr>
          <w:rStyle w:val="BodyParagraphChar"/>
        </w:rPr>
        <w:t>have a high degree of uncertainty</w:t>
      </w:r>
      <w:r w:rsidRPr="00F20E7E">
        <w:rPr>
          <w:rStyle w:val="BodyParagraphChar"/>
        </w:rPr>
        <w:t xml:space="preserve"> due to the smaller sample sizes and lack of statistical power.  At best, they are descriptive, not causal, and should be interpreted with caution.  Overall, 61% ±8% of the approved TI load shed is actually shed during events.  For TI, the realization rate depends on whether the equipment is typically used during event like conditions and whether the customer decides to drop load.  The realization rate for </w:t>
      </w:r>
      <w:proofErr w:type="spellStart"/>
      <w:r w:rsidRPr="00F20E7E">
        <w:rPr>
          <w:rStyle w:val="BodyParagraphChar"/>
        </w:rPr>
        <w:t>AutoDR</w:t>
      </w:r>
      <w:proofErr w:type="spellEnd"/>
      <w:r w:rsidRPr="00F20E7E">
        <w:rPr>
          <w:rStyle w:val="BodyParagraphChar"/>
        </w:rPr>
        <w:t>, at 211% ±85%, is higher than for TI</w:t>
      </w:r>
      <w:r>
        <w:t>.</w:t>
      </w:r>
      <w:r w:rsidR="00003892">
        <w:t xml:space="preserve">  The high realization rates for PG&amp;E may either be due to relatively small number of customers and error in the impact estimates or because customers are reducing loads from end-uses and processes that </w:t>
      </w:r>
      <w:r w:rsidR="002F0E85">
        <w:t>we</w:t>
      </w:r>
      <w:r w:rsidR="00003892">
        <w:t xml:space="preserve">re not included in the TI or </w:t>
      </w:r>
      <w:proofErr w:type="spellStart"/>
      <w:r w:rsidR="00003892">
        <w:t>AutoDR</w:t>
      </w:r>
      <w:proofErr w:type="spellEnd"/>
      <w:r w:rsidR="00003892">
        <w:t xml:space="preserve"> program. </w:t>
      </w:r>
    </w:p>
    <w:p w:rsidR="005670AC" w:rsidRPr="00050374" w:rsidRDefault="005670AC" w:rsidP="003E7761">
      <w:pPr>
        <w:pStyle w:val="Heading1"/>
      </w:pPr>
      <w:bookmarkStart w:id="234" w:name="_Toc320703036"/>
      <w:bookmarkEnd w:id="234"/>
      <w:r w:rsidRPr="00050374">
        <w:br w:type="column"/>
      </w:r>
      <w:bookmarkStart w:id="235" w:name="_Toc326074020"/>
      <w:r w:rsidR="006A5BED">
        <w:lastRenderedPageBreak/>
        <w:t xml:space="preserve">Load Impact Estimates for </w:t>
      </w:r>
      <w:r w:rsidRPr="00050374">
        <w:t>SCE</w:t>
      </w:r>
      <w:r w:rsidR="006A5BED">
        <w:rPr>
          <w:rFonts w:hint="eastAsia"/>
        </w:rPr>
        <w:t>’</w:t>
      </w:r>
      <w:r w:rsidR="006A5BED">
        <w:t>s DRRC and CBP Programs</w:t>
      </w:r>
      <w:bookmarkEnd w:id="235"/>
    </w:p>
    <w:p w:rsidR="00A73F2B" w:rsidRDefault="006001F6">
      <w:pPr>
        <w:pStyle w:val="BodyBeforeBullet"/>
      </w:pPr>
      <w:r w:rsidRPr="00050374">
        <w:t>This section contains the ex post load impact estimates for SCE’s D</w:t>
      </w:r>
      <w:r w:rsidR="006A5BED">
        <w:t>RRC and CBP</w:t>
      </w:r>
      <w:r w:rsidRPr="00050374">
        <w:t xml:space="preserve"> Programs. </w:t>
      </w:r>
      <w:r w:rsidR="00B60E82">
        <w:t xml:space="preserve"> </w:t>
      </w:r>
      <w:r w:rsidR="006A5BED">
        <w:t>E</w:t>
      </w:r>
      <w:r w:rsidRPr="00050374">
        <w:t xml:space="preserve">x post load impact </w:t>
      </w:r>
      <w:r w:rsidR="006A5BED">
        <w:t xml:space="preserve">estimates </w:t>
      </w:r>
      <w:r w:rsidR="00A40CA1">
        <w:t>we</w:t>
      </w:r>
      <w:r w:rsidRPr="00050374">
        <w:t xml:space="preserve">re </w:t>
      </w:r>
      <w:r w:rsidR="00A40CA1">
        <w:t xml:space="preserve">developed </w:t>
      </w:r>
      <w:r w:rsidRPr="00050374">
        <w:t>for each hour of each event day for the average customer and for all customers enrolled at the time of the event.</w:t>
      </w:r>
      <w:r w:rsidR="006C448D">
        <w:t xml:space="preserve"> </w:t>
      </w:r>
      <w:r w:rsidRPr="00050374">
        <w:t xml:space="preserve"> </w:t>
      </w:r>
      <w:r w:rsidR="00A40CA1">
        <w:t xml:space="preserve">Summary impact estimates are presented in this section and more detailed, hourly estimates are provided electronically along with this report.  </w:t>
      </w:r>
      <w:r w:rsidR="006A5BED">
        <w:t>Impact estimates are also provided by industry segment, local capacity area and customer size</w:t>
      </w:r>
      <w:r w:rsidR="00136632">
        <w:t>.</w:t>
      </w:r>
    </w:p>
    <w:p w:rsidR="006001F6" w:rsidRPr="00050374" w:rsidRDefault="006001F6" w:rsidP="00994A5C">
      <w:pPr>
        <w:pStyle w:val="BodyParagraph"/>
      </w:pPr>
      <w:r w:rsidRPr="00050374">
        <w:t xml:space="preserve">DRRC and CBP resources were dispatched on different days and hours.  While the two programs and notification options overlap on occasion, we </w:t>
      </w:r>
      <w:r w:rsidR="00EA64BF">
        <w:t xml:space="preserve">separately </w:t>
      </w:r>
      <w:r w:rsidRPr="00050374">
        <w:t>report the results for DRRC and CBP resources.</w:t>
      </w:r>
      <w:r w:rsidR="00A40CA1">
        <w:t xml:space="preserve">  </w:t>
      </w:r>
      <w:r w:rsidRPr="00050374">
        <w:t>The remainder of this section presents DRRC results followed by CBP results.  For each program, we summarize results for each event day in 2011 and describe how impacts vary for specific customer</w:t>
      </w:r>
      <w:r w:rsidR="00767E42">
        <w:t> </w:t>
      </w:r>
      <w:r w:rsidRPr="00050374">
        <w:t>s</w:t>
      </w:r>
      <w:r w:rsidR="00A40CA1">
        <w:t>egments</w:t>
      </w:r>
      <w:r w:rsidRPr="00050374">
        <w:t>.</w:t>
      </w:r>
    </w:p>
    <w:p w:rsidR="00D60FC8" w:rsidRPr="00050374" w:rsidRDefault="00D60FC8" w:rsidP="00BA25E2">
      <w:pPr>
        <w:pStyle w:val="Heading2"/>
      </w:pPr>
      <w:bookmarkStart w:id="236" w:name="_Toc326074021"/>
      <w:r w:rsidRPr="00050374">
        <w:t>2011 Event Day Characteristics</w:t>
      </w:r>
      <w:bookmarkEnd w:id="236"/>
    </w:p>
    <w:p w:rsidR="00D60FC8" w:rsidRPr="00050374" w:rsidRDefault="00F20356" w:rsidP="00D60FC8">
      <w:pPr>
        <w:pStyle w:val="BodyParagraph"/>
      </w:pPr>
      <w:r w:rsidRPr="00050374">
        <w:t>SC</w:t>
      </w:r>
      <w:r w:rsidR="00D60FC8" w:rsidRPr="00050374">
        <w:t xml:space="preserve">E </w:t>
      </w:r>
      <w:r w:rsidR="00A462D3">
        <w:t xml:space="preserve">called a large number of aggregator program events in 2011.  </w:t>
      </w:r>
      <w:r w:rsidR="00023197" w:rsidRPr="00050374">
        <w:t xml:space="preserve">Whereas </w:t>
      </w:r>
      <w:r w:rsidR="00A462D3">
        <w:t xml:space="preserve">the </w:t>
      </w:r>
      <w:r w:rsidR="00023197" w:rsidRPr="00050374">
        <w:t>other utilities dispatch</w:t>
      </w:r>
      <w:r w:rsidR="00A462D3">
        <w:t>ed</w:t>
      </w:r>
      <w:r w:rsidR="00023197" w:rsidRPr="00050374">
        <w:t xml:space="preserve"> </w:t>
      </w:r>
      <w:r w:rsidR="00A462D3">
        <w:t>aggregator</w:t>
      </w:r>
      <w:r w:rsidR="00023197" w:rsidRPr="00050374">
        <w:t xml:space="preserve"> resources only by product, SCE dispatched program resources both by product and specific aggregator.  On a given event day, SCE generally dispatched CBP resources only from a subset of aggregators participating in the program; as a result, SCE has more event days than other</w:t>
      </w:r>
      <w:r w:rsidR="00BA25E2">
        <w:t> </w:t>
      </w:r>
      <w:r w:rsidR="00023197" w:rsidRPr="00050374">
        <w:t>utilities.</w:t>
      </w:r>
    </w:p>
    <w:p w:rsidR="00D60FC8" w:rsidRPr="00050374" w:rsidRDefault="00D60FC8" w:rsidP="00D60FC8">
      <w:pPr>
        <w:pStyle w:val="BodyParagraph"/>
      </w:pPr>
      <w:r w:rsidRPr="00050374">
        <w:t xml:space="preserve">DRRC resources with </w:t>
      </w:r>
      <w:r w:rsidR="00F95446">
        <w:t>day-ahead</w:t>
      </w:r>
      <w:r w:rsidRPr="00050374">
        <w:t xml:space="preserve"> and </w:t>
      </w:r>
      <w:r w:rsidR="00F95446">
        <w:t>day</w:t>
      </w:r>
      <w:r w:rsidR="006A5BED">
        <w:t>-of</w:t>
      </w:r>
      <w:r w:rsidR="00F95446">
        <w:t xml:space="preserve"> event</w:t>
      </w:r>
      <w:r w:rsidRPr="00050374">
        <w:t xml:space="preserve"> notifications were dispatched twice</w:t>
      </w:r>
      <w:r w:rsidR="00C62BDF" w:rsidRPr="00050374">
        <w:t xml:space="preserve"> and four times, respectively.  CBP </w:t>
      </w:r>
      <w:r w:rsidR="00F20356" w:rsidRPr="00050374">
        <w:t xml:space="preserve">resources with </w:t>
      </w:r>
      <w:r w:rsidR="00F95446">
        <w:t>day-ahead</w:t>
      </w:r>
      <w:r w:rsidR="00C62BDF" w:rsidRPr="00050374">
        <w:t xml:space="preserve"> </w:t>
      </w:r>
      <w:r w:rsidR="00F20356" w:rsidRPr="00050374">
        <w:t xml:space="preserve">and </w:t>
      </w:r>
      <w:r w:rsidR="00F95446">
        <w:t>day</w:t>
      </w:r>
      <w:r w:rsidR="006A5BED">
        <w:t>-of</w:t>
      </w:r>
      <w:r w:rsidR="00F95446">
        <w:t xml:space="preserve"> event</w:t>
      </w:r>
      <w:r w:rsidR="00F20356" w:rsidRPr="00050374">
        <w:t xml:space="preserve"> notifications were</w:t>
      </w:r>
      <w:r w:rsidR="00C62BDF" w:rsidRPr="00050374">
        <w:t xml:space="preserve"> dispatched </w:t>
      </w:r>
      <w:r w:rsidR="00F20356" w:rsidRPr="00050374">
        <w:t xml:space="preserve">on </w:t>
      </w:r>
      <w:r w:rsidR="000F1689">
        <w:t>17</w:t>
      </w:r>
      <w:r w:rsidR="000F1689" w:rsidRPr="00050374">
        <w:t xml:space="preserve"> </w:t>
      </w:r>
      <w:r w:rsidR="00F20356" w:rsidRPr="00050374">
        <w:t xml:space="preserve">and </w:t>
      </w:r>
      <w:r w:rsidR="000F1689">
        <w:t>3</w:t>
      </w:r>
      <w:r w:rsidR="000F1689" w:rsidRPr="00050374">
        <w:t xml:space="preserve"> </w:t>
      </w:r>
      <w:r w:rsidR="00F20356" w:rsidRPr="00050374">
        <w:t>occasions, respectively</w:t>
      </w:r>
      <w:r w:rsidRPr="00050374">
        <w:t>.</w:t>
      </w:r>
      <w:r w:rsidR="00F20356" w:rsidRPr="00050374">
        <w:rPr>
          <w:rStyle w:val="FootnoteReference"/>
        </w:rPr>
        <w:footnoteReference w:id="11"/>
      </w:r>
      <w:r w:rsidR="00023197" w:rsidRPr="00050374">
        <w:t xml:space="preserve">  </w:t>
      </w:r>
      <w:r w:rsidR="00497DFE" w:rsidRPr="00050374">
        <w:t>Many</w:t>
      </w:r>
      <w:r w:rsidRPr="00050374">
        <w:t xml:space="preserve"> events took place</w:t>
      </w:r>
      <w:r w:rsidR="00497DFE" w:rsidRPr="00050374">
        <w:t xml:space="preserve"> on days when system loads were high – events were called on 4 out of the 10 highest peak days</w:t>
      </w:r>
      <w:r w:rsidR="006A5BED">
        <w:t xml:space="preserve"> for 2011</w:t>
      </w:r>
      <w:r w:rsidR="00497DFE" w:rsidRPr="00050374">
        <w:t xml:space="preserve">, including the annual peak </w:t>
      </w:r>
      <w:r w:rsidR="0006539C">
        <w:t>day on</w:t>
      </w:r>
      <w:r w:rsidR="00497DFE" w:rsidRPr="00050374">
        <w:t xml:space="preserve"> September 7.  A number of events were also called for testing purposes on days whe</w:t>
      </w:r>
      <w:r w:rsidR="0006539C">
        <w:t>n</w:t>
      </w:r>
      <w:r w:rsidR="00497DFE" w:rsidRPr="00050374">
        <w:t xml:space="preserve"> peak loads were not substantial.</w:t>
      </w:r>
    </w:p>
    <w:p w:rsidR="00D60FC8" w:rsidRPr="00050374" w:rsidRDefault="0074470A" w:rsidP="00D60FC8">
      <w:pPr>
        <w:pStyle w:val="BodyParagraph"/>
      </w:pPr>
      <w:r>
        <w:t xml:space="preserve">Table </w:t>
      </w:r>
      <w:r w:rsidR="00A52143">
        <w:t>5</w:t>
      </w:r>
      <w:r w:rsidR="00D60FC8" w:rsidRPr="00050374">
        <w:t xml:space="preserve">-1 summarizes </w:t>
      </w:r>
      <w:r w:rsidR="00A94BE3" w:rsidRPr="00050374">
        <w:t>the 21</w:t>
      </w:r>
      <w:r w:rsidR="00D60FC8" w:rsidRPr="00050374">
        <w:t xml:space="preserve"> days on which </w:t>
      </w:r>
      <w:r w:rsidR="00C62BDF" w:rsidRPr="00050374">
        <w:t>SC</w:t>
      </w:r>
      <w:r w:rsidR="00D60FC8" w:rsidRPr="00050374">
        <w:t xml:space="preserve">E called CBP or </w:t>
      </w:r>
      <w:r w:rsidR="00C62BDF" w:rsidRPr="00050374">
        <w:t>DRRC</w:t>
      </w:r>
      <w:r w:rsidR="00D60FC8" w:rsidRPr="00050374">
        <w:t xml:space="preserve"> events in</w:t>
      </w:r>
      <w:r>
        <w:t xml:space="preserve"> the reporting year for</w:t>
      </w:r>
      <w:r w:rsidR="00D60FC8" w:rsidRPr="00050374">
        <w:t xml:space="preserve"> 2011.  Events lasted between </w:t>
      </w:r>
      <w:r w:rsidR="00C62BDF" w:rsidRPr="00050374">
        <w:t>one</w:t>
      </w:r>
      <w:r w:rsidR="00D60FC8" w:rsidRPr="00050374">
        <w:t xml:space="preserve"> and </w:t>
      </w:r>
      <w:r>
        <w:t>five</w:t>
      </w:r>
      <w:r w:rsidR="00D60FC8" w:rsidRPr="00050374">
        <w:t xml:space="preserve"> hours, starting </w:t>
      </w:r>
      <w:r w:rsidR="0040540D">
        <w:t>no earlier than 1</w:t>
      </w:r>
      <w:r>
        <w:t xml:space="preserve"> PM and ending no later than 7</w:t>
      </w:r>
      <w:r w:rsidR="009918EE">
        <w:t> </w:t>
      </w:r>
      <w:r w:rsidR="00D60FC8" w:rsidRPr="00050374">
        <w:t xml:space="preserve">PM.  Events were called for </w:t>
      </w:r>
      <w:r w:rsidR="00C62BDF" w:rsidRPr="00050374">
        <w:t>DRRC</w:t>
      </w:r>
      <w:r w:rsidR="00D60FC8" w:rsidRPr="00050374">
        <w:t xml:space="preserve"> alone on two days, for CBP alone on </w:t>
      </w:r>
      <w:r w:rsidR="00023197" w:rsidRPr="00050374">
        <w:t xml:space="preserve">17 </w:t>
      </w:r>
      <w:r w:rsidR="00D60FC8" w:rsidRPr="00050374">
        <w:t xml:space="preserve">days, and simultaneously for CBP and </w:t>
      </w:r>
      <w:r w:rsidR="00023197" w:rsidRPr="00050374">
        <w:t>DRRC</w:t>
      </w:r>
      <w:r w:rsidR="00D60FC8" w:rsidRPr="00050374">
        <w:t xml:space="preserve"> on </w:t>
      </w:r>
      <w:r w:rsidR="000F1689">
        <w:t>2</w:t>
      </w:r>
      <w:r w:rsidR="000F1689" w:rsidRPr="00050374">
        <w:t xml:space="preserve"> </w:t>
      </w:r>
      <w:r w:rsidR="00D60FC8" w:rsidRPr="00050374">
        <w:t>days.</w:t>
      </w:r>
      <w:r w:rsidR="000B7C0D">
        <w:t xml:space="preserve">  The mix of resources called for each event varied as can be </w:t>
      </w:r>
      <w:r w:rsidR="0006539C">
        <w:t xml:space="preserve">seen </w:t>
      </w:r>
      <w:r w:rsidR="000B7C0D">
        <w:t xml:space="preserve">by the nominated MW and number of aggregators that were dispatched.  As a result, the average event day </w:t>
      </w:r>
      <w:r w:rsidR="0006539C">
        <w:t xml:space="preserve">impacts </w:t>
      </w:r>
      <w:r w:rsidR="000B7C0D">
        <w:t>do not reflect the full load reduction capability of the program, particularly for DRRC</w:t>
      </w:r>
      <w:r w:rsidR="006A5BED">
        <w:t xml:space="preserve"> day-of resources</w:t>
      </w:r>
      <w:r w:rsidR="000B7C0D">
        <w:t xml:space="preserve">, </w:t>
      </w:r>
      <w:r w:rsidR="006A5BED">
        <w:t xml:space="preserve">as SCE </w:t>
      </w:r>
      <w:r w:rsidR="000B7C0D">
        <w:t xml:space="preserve">never jointly dispatched all three aggregators with contracts.  </w:t>
      </w:r>
    </w:p>
    <w:p w:rsidR="00A462D3" w:rsidRDefault="00A462D3">
      <w:pPr>
        <w:rPr>
          <w:rFonts w:ascii="Arial" w:hAnsi="Arial"/>
          <w:b/>
        </w:rPr>
      </w:pPr>
      <w:r>
        <w:br w:type="page"/>
      </w:r>
    </w:p>
    <w:p w:rsidR="00D60FC8" w:rsidRDefault="00D60FC8" w:rsidP="00BA25E2">
      <w:pPr>
        <w:pStyle w:val="TableFigureCaption"/>
      </w:pPr>
      <w:r w:rsidRPr="00050374">
        <w:lastRenderedPageBreak/>
        <w:t xml:space="preserve">Table </w:t>
      </w:r>
      <w:r w:rsidR="00A52143">
        <w:t>5</w:t>
      </w:r>
      <w:r w:rsidRPr="00050374">
        <w:t>-1:</w:t>
      </w:r>
      <w:r w:rsidR="00877CA8">
        <w:t xml:space="preserve"> </w:t>
      </w:r>
      <w:r w:rsidR="00BA25E2">
        <w:t xml:space="preserve"> </w:t>
      </w:r>
      <w:r w:rsidRPr="00050374">
        <w:t xml:space="preserve">Event </w:t>
      </w:r>
      <w:r w:rsidR="0006539C">
        <w:t xml:space="preserve">Summary </w:t>
      </w:r>
      <w:r w:rsidRPr="00050374">
        <w:t>for SCE’s CBP and DRRC Programs in 2011</w:t>
      </w:r>
    </w:p>
    <w:tbl>
      <w:tblPr>
        <w:tblW w:w="0" w:type="auto"/>
        <w:tblLayout w:type="fixed"/>
        <w:tblLook w:val="04A0"/>
      </w:tblPr>
      <w:tblGrid>
        <w:gridCol w:w="928"/>
        <w:gridCol w:w="965"/>
        <w:gridCol w:w="996"/>
        <w:gridCol w:w="1286"/>
        <w:gridCol w:w="1057"/>
        <w:gridCol w:w="1257"/>
        <w:gridCol w:w="1254"/>
        <w:gridCol w:w="1161"/>
      </w:tblGrid>
      <w:tr w:rsidR="00EE7BB8" w:rsidRPr="000B7C0D" w:rsidTr="00763059">
        <w:trPr>
          <w:trHeight w:val="1056"/>
        </w:trPr>
        <w:tc>
          <w:tcPr>
            <w:tcW w:w="928" w:type="dxa"/>
            <w:tcBorders>
              <w:top w:val="single" w:sz="4" w:space="0" w:color="000000"/>
              <w:left w:val="single" w:sz="4" w:space="0" w:color="000000"/>
              <w:bottom w:val="single" w:sz="4" w:space="0" w:color="000000"/>
              <w:right w:val="single" w:sz="8" w:space="0" w:color="FFFFFF"/>
            </w:tcBorders>
            <w:shd w:val="clear" w:color="auto" w:fill="1F497D" w:themeFill="text2"/>
            <w:tcMar>
              <w:left w:w="43" w:type="dxa"/>
              <w:right w:w="43" w:type="dxa"/>
            </w:tcMar>
            <w:vAlign w:val="center"/>
            <w:hideMark/>
          </w:tcPr>
          <w:p w:rsidR="00EE7BB8" w:rsidRPr="00EB4EED" w:rsidRDefault="00EE7BB8" w:rsidP="00EB4EED">
            <w:pPr>
              <w:pStyle w:val="TableHeader"/>
              <w:rPr>
                <w:rFonts w:eastAsia="Times New Roman"/>
                <w:sz w:val="18"/>
                <w:szCs w:val="18"/>
              </w:rPr>
            </w:pPr>
            <w:r w:rsidRPr="00EB4EED">
              <w:rPr>
                <w:rFonts w:eastAsia="Times New Roman"/>
                <w:sz w:val="18"/>
                <w:szCs w:val="18"/>
              </w:rPr>
              <w:t>Program</w:t>
            </w:r>
          </w:p>
        </w:tc>
        <w:tc>
          <w:tcPr>
            <w:tcW w:w="965" w:type="dxa"/>
            <w:tcBorders>
              <w:top w:val="single" w:sz="4" w:space="0" w:color="000000"/>
              <w:left w:val="nil"/>
              <w:bottom w:val="single" w:sz="4" w:space="0" w:color="000000"/>
              <w:right w:val="single" w:sz="8" w:space="0" w:color="FFFFFF"/>
            </w:tcBorders>
            <w:shd w:val="clear" w:color="auto" w:fill="1F497D" w:themeFill="text2"/>
            <w:tcMar>
              <w:left w:w="43" w:type="dxa"/>
              <w:right w:w="43" w:type="dxa"/>
            </w:tcMar>
            <w:vAlign w:val="center"/>
            <w:hideMark/>
          </w:tcPr>
          <w:p w:rsidR="00EE7BB8" w:rsidRPr="00EB4EED" w:rsidRDefault="00EE7BB8" w:rsidP="00EB4EED">
            <w:pPr>
              <w:pStyle w:val="TableHeader"/>
              <w:rPr>
                <w:rFonts w:eastAsia="Times New Roman"/>
                <w:sz w:val="18"/>
                <w:szCs w:val="18"/>
              </w:rPr>
            </w:pPr>
            <w:r w:rsidRPr="00EB4EED">
              <w:rPr>
                <w:rFonts w:eastAsia="Times New Roman"/>
                <w:sz w:val="18"/>
                <w:szCs w:val="18"/>
              </w:rPr>
              <w:t>Advance Notice</w:t>
            </w:r>
          </w:p>
        </w:tc>
        <w:tc>
          <w:tcPr>
            <w:tcW w:w="996" w:type="dxa"/>
            <w:tcBorders>
              <w:top w:val="single" w:sz="4" w:space="0" w:color="000000"/>
              <w:left w:val="nil"/>
              <w:bottom w:val="single" w:sz="4" w:space="0" w:color="000000"/>
              <w:right w:val="single" w:sz="8" w:space="0" w:color="FFFFFF"/>
            </w:tcBorders>
            <w:shd w:val="clear" w:color="auto" w:fill="1F497D" w:themeFill="text2"/>
            <w:tcMar>
              <w:left w:w="43" w:type="dxa"/>
              <w:right w:w="43" w:type="dxa"/>
            </w:tcMar>
            <w:vAlign w:val="center"/>
            <w:hideMark/>
          </w:tcPr>
          <w:p w:rsidR="00EE7BB8" w:rsidRPr="00EB4EED" w:rsidRDefault="00EE7BB8" w:rsidP="00EB4EED">
            <w:pPr>
              <w:pStyle w:val="TableHeader"/>
              <w:rPr>
                <w:rFonts w:eastAsia="Times New Roman"/>
                <w:sz w:val="18"/>
                <w:szCs w:val="18"/>
              </w:rPr>
            </w:pPr>
            <w:r w:rsidRPr="00EB4EED">
              <w:rPr>
                <w:rFonts w:eastAsia="Times New Roman"/>
                <w:sz w:val="18"/>
                <w:szCs w:val="18"/>
              </w:rPr>
              <w:t>Product</w:t>
            </w:r>
          </w:p>
        </w:tc>
        <w:tc>
          <w:tcPr>
            <w:tcW w:w="1286" w:type="dxa"/>
            <w:tcBorders>
              <w:top w:val="single" w:sz="4" w:space="0" w:color="000000"/>
              <w:left w:val="nil"/>
              <w:bottom w:val="single" w:sz="4" w:space="0" w:color="000000"/>
              <w:right w:val="single" w:sz="8" w:space="0" w:color="FFFFFF"/>
            </w:tcBorders>
            <w:shd w:val="clear" w:color="auto" w:fill="1F497D" w:themeFill="text2"/>
            <w:tcMar>
              <w:left w:w="43" w:type="dxa"/>
              <w:right w:w="43" w:type="dxa"/>
            </w:tcMar>
            <w:vAlign w:val="center"/>
            <w:hideMark/>
          </w:tcPr>
          <w:p w:rsidR="00EE7BB8" w:rsidRPr="00EB4EED" w:rsidRDefault="00EE7BB8" w:rsidP="00EB4EED">
            <w:pPr>
              <w:pStyle w:val="TableHeader"/>
              <w:rPr>
                <w:rFonts w:eastAsia="Times New Roman"/>
                <w:sz w:val="18"/>
                <w:szCs w:val="18"/>
              </w:rPr>
            </w:pPr>
            <w:r w:rsidRPr="00EB4EED">
              <w:rPr>
                <w:rFonts w:eastAsia="Times New Roman"/>
                <w:sz w:val="18"/>
                <w:szCs w:val="18"/>
              </w:rPr>
              <w:t>Date</w:t>
            </w:r>
          </w:p>
        </w:tc>
        <w:tc>
          <w:tcPr>
            <w:tcW w:w="1057" w:type="dxa"/>
            <w:tcBorders>
              <w:top w:val="single" w:sz="4" w:space="0" w:color="auto"/>
              <w:left w:val="nil"/>
              <w:bottom w:val="single" w:sz="4" w:space="0" w:color="auto"/>
              <w:right w:val="single" w:sz="8" w:space="0" w:color="FFFFFF"/>
            </w:tcBorders>
            <w:shd w:val="clear" w:color="auto" w:fill="1F497D" w:themeFill="text2"/>
            <w:tcMar>
              <w:left w:w="43" w:type="dxa"/>
              <w:right w:w="43" w:type="dxa"/>
            </w:tcMar>
            <w:vAlign w:val="center"/>
            <w:hideMark/>
          </w:tcPr>
          <w:p w:rsidR="00EE7BB8" w:rsidRPr="00EB4EED" w:rsidRDefault="00EE7BB8" w:rsidP="00EB4EED">
            <w:pPr>
              <w:pStyle w:val="TableHeader"/>
              <w:rPr>
                <w:rFonts w:eastAsia="Times New Roman"/>
                <w:sz w:val="18"/>
                <w:szCs w:val="18"/>
              </w:rPr>
            </w:pPr>
            <w:r w:rsidRPr="00EB4EED">
              <w:rPr>
                <w:rFonts w:eastAsia="Times New Roman"/>
                <w:sz w:val="18"/>
                <w:szCs w:val="18"/>
              </w:rPr>
              <w:t>Day-of Week</w:t>
            </w:r>
          </w:p>
        </w:tc>
        <w:tc>
          <w:tcPr>
            <w:tcW w:w="1257" w:type="dxa"/>
            <w:tcBorders>
              <w:top w:val="single" w:sz="4" w:space="0" w:color="auto"/>
              <w:left w:val="nil"/>
              <w:bottom w:val="single" w:sz="4" w:space="0" w:color="auto"/>
              <w:right w:val="single" w:sz="8" w:space="0" w:color="FFFFFF"/>
            </w:tcBorders>
            <w:shd w:val="clear" w:color="auto" w:fill="1F497D" w:themeFill="text2"/>
            <w:tcMar>
              <w:left w:w="43" w:type="dxa"/>
              <w:right w:w="43" w:type="dxa"/>
            </w:tcMar>
            <w:vAlign w:val="center"/>
            <w:hideMark/>
          </w:tcPr>
          <w:p w:rsidR="00EE7BB8" w:rsidRPr="00EB4EED" w:rsidRDefault="00EE7BB8" w:rsidP="00EB4EED">
            <w:pPr>
              <w:pStyle w:val="TableHeader"/>
              <w:rPr>
                <w:rFonts w:eastAsia="Times New Roman"/>
                <w:sz w:val="18"/>
                <w:szCs w:val="18"/>
              </w:rPr>
            </w:pPr>
            <w:r w:rsidRPr="00EB4EED">
              <w:rPr>
                <w:rFonts w:eastAsia="Times New Roman"/>
                <w:sz w:val="18"/>
                <w:szCs w:val="18"/>
              </w:rPr>
              <w:t>Number of Aggregators Dispatched</w:t>
            </w:r>
          </w:p>
        </w:tc>
        <w:tc>
          <w:tcPr>
            <w:tcW w:w="1254" w:type="dxa"/>
            <w:tcBorders>
              <w:top w:val="single" w:sz="4" w:space="0" w:color="000000"/>
              <w:left w:val="nil"/>
              <w:bottom w:val="single" w:sz="4" w:space="0" w:color="000000"/>
              <w:right w:val="single" w:sz="8" w:space="0" w:color="FFFFFF"/>
            </w:tcBorders>
            <w:shd w:val="clear" w:color="auto" w:fill="1F497D" w:themeFill="text2"/>
            <w:tcMar>
              <w:left w:w="43" w:type="dxa"/>
              <w:right w:w="43" w:type="dxa"/>
            </w:tcMar>
            <w:vAlign w:val="center"/>
            <w:hideMark/>
          </w:tcPr>
          <w:p w:rsidR="00EE7BB8" w:rsidRPr="00EB4EED" w:rsidRDefault="00EE7BB8" w:rsidP="00EB4EED">
            <w:pPr>
              <w:pStyle w:val="TableHeader"/>
              <w:rPr>
                <w:rFonts w:eastAsia="Times New Roman"/>
                <w:sz w:val="18"/>
                <w:szCs w:val="18"/>
              </w:rPr>
            </w:pPr>
            <w:r w:rsidRPr="00EB4EED">
              <w:rPr>
                <w:rFonts w:eastAsia="Times New Roman"/>
                <w:sz w:val="18"/>
                <w:szCs w:val="18"/>
              </w:rPr>
              <w:t>Hours</w:t>
            </w:r>
          </w:p>
        </w:tc>
        <w:tc>
          <w:tcPr>
            <w:tcW w:w="1161" w:type="dxa"/>
            <w:tcBorders>
              <w:top w:val="single" w:sz="4" w:space="0" w:color="auto"/>
              <w:left w:val="nil"/>
              <w:bottom w:val="single" w:sz="4" w:space="0" w:color="auto"/>
              <w:right w:val="single" w:sz="4" w:space="0" w:color="auto"/>
            </w:tcBorders>
            <w:shd w:val="clear" w:color="auto" w:fill="1F497D" w:themeFill="text2"/>
            <w:tcMar>
              <w:left w:w="43" w:type="dxa"/>
              <w:right w:w="43" w:type="dxa"/>
            </w:tcMar>
            <w:vAlign w:val="center"/>
            <w:hideMark/>
          </w:tcPr>
          <w:p w:rsidR="00EE7BB8" w:rsidRPr="00EB4EED" w:rsidRDefault="00EE7BB8" w:rsidP="00EB4EED">
            <w:pPr>
              <w:pStyle w:val="TableHeader"/>
              <w:rPr>
                <w:rFonts w:eastAsia="Times New Roman"/>
                <w:sz w:val="18"/>
                <w:szCs w:val="18"/>
              </w:rPr>
            </w:pPr>
            <w:r w:rsidRPr="00EB4EED">
              <w:rPr>
                <w:rFonts w:eastAsia="Times New Roman"/>
                <w:sz w:val="18"/>
                <w:szCs w:val="18"/>
              </w:rPr>
              <w:t>Nominated MW</w:t>
            </w:r>
          </w:p>
        </w:tc>
      </w:tr>
      <w:tr w:rsidR="00EE7BB8" w:rsidRPr="000B7C0D" w:rsidTr="00EA64BF">
        <w:trPr>
          <w:trHeight w:hRule="exact" w:val="259"/>
        </w:trPr>
        <w:tc>
          <w:tcPr>
            <w:tcW w:w="928"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CBP</w:t>
            </w:r>
          </w:p>
        </w:tc>
        <w:tc>
          <w:tcPr>
            <w:tcW w:w="965"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Day-ahead</w:t>
            </w:r>
          </w:p>
        </w:tc>
        <w:tc>
          <w:tcPr>
            <w:tcW w:w="996"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1-4 Hour</w:t>
            </w: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6/22/2011</w:t>
            </w:r>
          </w:p>
        </w:tc>
        <w:tc>
          <w:tcPr>
            <w:tcW w:w="1057" w:type="dxa"/>
            <w:tcBorders>
              <w:top w:val="single" w:sz="4" w:space="0" w:color="auto"/>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2.6</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7/5/2011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Tue</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2 - 6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0.3</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7/6/2011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2 - 6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0.3</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7/7/2011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3 - 4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0.3</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8/1/2011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Mon</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5.0</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Tue</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5.0</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8/3/2011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5.0</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8/4/2011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3 - 4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5.0</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8/16/2011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Tue</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5.0</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8/17/2011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5.0</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8/18/2011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5.0</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8/19/2011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Fri</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5.0</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8/22/2011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Mon</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5.0</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8/23/2011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Tue</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5.0</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8/24/2011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5.0</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9/7/2011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2.5</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9/8/2011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2 - 6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2.5</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10/13/2011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1.1</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10/14/2011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Fri</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1.1</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2-6 Hour</w:t>
            </w: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8/1/2011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Mon</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0.1</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Tue</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0.1</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8/3/2011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0.1</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8/16/2011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Tue</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0.1</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8/17/2011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0.1</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8/18/2011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0.1</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8/19/2011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Fri</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0.1</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8/22/2011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Mon</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0.1</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8/23/2011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Tue</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0.1</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8/24/2011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3 - 5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0.1</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Day-of</w:t>
            </w:r>
          </w:p>
        </w:tc>
        <w:tc>
          <w:tcPr>
            <w:tcW w:w="996"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1-4 Hour</w:t>
            </w: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7/28/2011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2 - 4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10.4</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8/25/2011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2 - 4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5.8</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9/7/2011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2 - 6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AF74E8" w:rsidRDefault="00797BDC" w:rsidP="000B7C0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5.0</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2-6 Hour</w:t>
            </w: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8/25/2011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2 - 4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AF74E8" w:rsidRDefault="00797BDC" w:rsidP="000B7C0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7.7</w:t>
            </w:r>
          </w:p>
        </w:tc>
      </w:tr>
      <w:tr w:rsidR="00EE7BB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E7BB8" w:rsidRPr="000B7C0D" w:rsidRDefault="00EE7BB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9/7/2011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0B7C0D" w:rsidRDefault="00EE7BB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1 - 7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E7BB8" w:rsidRPr="00AF74E8" w:rsidRDefault="00797BDC" w:rsidP="000B7C0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7.7</w:t>
            </w:r>
          </w:p>
        </w:tc>
      </w:tr>
      <w:tr w:rsidR="00AF74E8" w:rsidRPr="000B7C0D" w:rsidTr="000B7C0D">
        <w:trPr>
          <w:trHeight w:hRule="exact" w:val="259"/>
        </w:trPr>
        <w:tc>
          <w:tcPr>
            <w:tcW w:w="928"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DRRC</w:t>
            </w:r>
          </w:p>
        </w:tc>
        <w:tc>
          <w:tcPr>
            <w:tcW w:w="965"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Day-ahead</w:t>
            </w:r>
          </w:p>
        </w:tc>
        <w:tc>
          <w:tcPr>
            <w:tcW w:w="996"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1-4 Hour</w:t>
            </w: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7/28/2011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2 - 4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AF74E8" w:rsidRDefault="00345F96" w:rsidP="000B7C0D">
            <w:pPr>
              <w:spacing w:after="0" w:line="240" w:lineRule="auto"/>
              <w:jc w:val="center"/>
              <w:rPr>
                <w:rFonts w:ascii="Arial" w:eastAsia="Times New Roman" w:hAnsi="Arial" w:cs="Arial"/>
                <w:color w:val="000000"/>
                <w:sz w:val="18"/>
                <w:szCs w:val="18"/>
              </w:rPr>
            </w:pPr>
            <w:r w:rsidRPr="00345F96">
              <w:rPr>
                <w:rFonts w:ascii="Arial" w:eastAsia="Times New Roman" w:hAnsi="Arial" w:cs="Arial"/>
                <w:color w:val="000000"/>
                <w:sz w:val="18"/>
                <w:szCs w:val="18"/>
              </w:rPr>
              <w:t>65.0</w:t>
            </w:r>
          </w:p>
        </w:tc>
      </w:tr>
      <w:tr w:rsidR="00AF74E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F74E8" w:rsidRPr="000B7C0D" w:rsidRDefault="00AF74E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F74E8" w:rsidRPr="000B7C0D" w:rsidRDefault="00AF74E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F74E8" w:rsidRPr="000B7C0D" w:rsidRDefault="00AF74E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8/25/2011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2 - 4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AF74E8" w:rsidRDefault="00345F96" w:rsidP="000B7C0D">
            <w:pPr>
              <w:spacing w:after="0" w:line="240" w:lineRule="auto"/>
              <w:jc w:val="center"/>
              <w:rPr>
                <w:rFonts w:ascii="Arial" w:eastAsia="Times New Roman" w:hAnsi="Arial" w:cs="Arial"/>
                <w:color w:val="000000"/>
                <w:sz w:val="18"/>
                <w:szCs w:val="18"/>
              </w:rPr>
            </w:pPr>
            <w:r w:rsidRPr="00345F96">
              <w:rPr>
                <w:rFonts w:ascii="Arial" w:eastAsia="Times New Roman" w:hAnsi="Arial" w:cs="Arial"/>
                <w:color w:val="000000"/>
                <w:sz w:val="18"/>
                <w:szCs w:val="18"/>
              </w:rPr>
              <w:t>70.0</w:t>
            </w:r>
          </w:p>
        </w:tc>
      </w:tr>
      <w:tr w:rsidR="00AF74E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F74E8" w:rsidRPr="000B7C0D" w:rsidRDefault="00AF74E8" w:rsidP="000B7C0D">
            <w:pPr>
              <w:spacing w:after="0" w:line="240" w:lineRule="auto"/>
              <w:rPr>
                <w:rFonts w:ascii="Arial" w:eastAsia="Times New Roman" w:hAnsi="Arial" w:cs="Arial"/>
                <w:color w:val="000000"/>
                <w:sz w:val="18"/>
                <w:szCs w:val="18"/>
              </w:rPr>
            </w:pPr>
          </w:p>
        </w:tc>
        <w:tc>
          <w:tcPr>
            <w:tcW w:w="965"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Pr>
                <w:rFonts w:ascii="Arial" w:eastAsia="Times New Roman" w:hAnsi="Arial" w:cs="Arial"/>
                <w:color w:val="000000"/>
                <w:sz w:val="18"/>
                <w:szCs w:val="18"/>
              </w:rPr>
              <w:t>Day-of</w:t>
            </w:r>
          </w:p>
        </w:tc>
        <w:tc>
          <w:tcPr>
            <w:tcW w:w="996" w:type="dxa"/>
            <w:vMerge w:val="restart"/>
            <w:tcBorders>
              <w:top w:val="nil"/>
              <w:left w:val="single" w:sz="4" w:space="0" w:color="auto"/>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1-4 Hour</w:t>
            </w: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4/21/2011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2 - 4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AF74E8" w:rsidRDefault="00345F96" w:rsidP="000B7C0D">
            <w:pPr>
              <w:spacing w:after="0" w:line="240" w:lineRule="auto"/>
              <w:jc w:val="center"/>
              <w:rPr>
                <w:rFonts w:ascii="Arial" w:eastAsia="Times New Roman" w:hAnsi="Arial" w:cs="Arial"/>
                <w:color w:val="000000"/>
                <w:sz w:val="18"/>
                <w:szCs w:val="18"/>
              </w:rPr>
            </w:pPr>
            <w:r w:rsidRPr="00345F96">
              <w:rPr>
                <w:rFonts w:ascii="Arial" w:eastAsia="Times New Roman" w:hAnsi="Arial" w:cs="Arial"/>
                <w:color w:val="000000"/>
                <w:sz w:val="18"/>
                <w:szCs w:val="18"/>
              </w:rPr>
              <w:t>52.0</w:t>
            </w:r>
          </w:p>
        </w:tc>
      </w:tr>
      <w:tr w:rsidR="00AF74E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F74E8" w:rsidRPr="000B7C0D" w:rsidRDefault="00AF74E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F74E8" w:rsidRPr="000B7C0D" w:rsidRDefault="00AF74E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F74E8" w:rsidRPr="000B7C0D" w:rsidRDefault="00AF74E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6/23/2011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2 - 4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AF74E8" w:rsidRDefault="00345F96" w:rsidP="000B7C0D">
            <w:pPr>
              <w:spacing w:after="0" w:line="240" w:lineRule="auto"/>
              <w:jc w:val="center"/>
              <w:rPr>
                <w:rFonts w:ascii="Arial" w:eastAsia="Times New Roman" w:hAnsi="Arial" w:cs="Arial"/>
                <w:color w:val="000000"/>
                <w:sz w:val="18"/>
                <w:szCs w:val="18"/>
              </w:rPr>
            </w:pPr>
            <w:r w:rsidRPr="00345F96">
              <w:rPr>
                <w:rFonts w:ascii="Arial" w:eastAsia="Times New Roman" w:hAnsi="Arial" w:cs="Arial"/>
                <w:color w:val="000000"/>
                <w:sz w:val="18"/>
                <w:szCs w:val="18"/>
              </w:rPr>
              <w:t>110.0</w:t>
            </w:r>
          </w:p>
        </w:tc>
      </w:tr>
      <w:tr w:rsidR="00AF74E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F74E8" w:rsidRPr="000B7C0D" w:rsidRDefault="00AF74E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F74E8" w:rsidRPr="000B7C0D" w:rsidRDefault="00AF74E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F74E8" w:rsidRPr="000B7C0D" w:rsidRDefault="00AF74E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7/28/2011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2 - 4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AF74E8" w:rsidRDefault="00345F96" w:rsidP="000B7C0D">
            <w:pPr>
              <w:spacing w:after="0" w:line="240" w:lineRule="auto"/>
              <w:jc w:val="center"/>
              <w:rPr>
                <w:rFonts w:ascii="Arial" w:eastAsia="Times New Roman" w:hAnsi="Arial" w:cs="Arial"/>
                <w:color w:val="000000"/>
                <w:sz w:val="18"/>
                <w:szCs w:val="18"/>
              </w:rPr>
            </w:pPr>
            <w:r w:rsidRPr="00345F96">
              <w:rPr>
                <w:rFonts w:ascii="Arial" w:eastAsia="Times New Roman" w:hAnsi="Arial" w:cs="Arial"/>
                <w:color w:val="000000"/>
                <w:sz w:val="18"/>
                <w:szCs w:val="18"/>
              </w:rPr>
              <w:t>145.0</w:t>
            </w:r>
          </w:p>
        </w:tc>
      </w:tr>
      <w:tr w:rsidR="00AF74E8" w:rsidRPr="000B7C0D" w:rsidTr="00EA64BF">
        <w:trPr>
          <w:trHeight w:hRule="exact" w:val="259"/>
        </w:trPr>
        <w:tc>
          <w:tcPr>
            <w:tcW w:w="928"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F74E8" w:rsidRPr="000B7C0D" w:rsidRDefault="00AF74E8" w:rsidP="000B7C0D">
            <w:pPr>
              <w:spacing w:after="0" w:line="240" w:lineRule="auto"/>
              <w:rPr>
                <w:rFonts w:ascii="Arial" w:eastAsia="Times New Roman" w:hAnsi="Arial" w:cs="Arial"/>
                <w:color w:val="000000"/>
                <w:sz w:val="18"/>
                <w:szCs w:val="18"/>
              </w:rPr>
            </w:pPr>
          </w:p>
        </w:tc>
        <w:tc>
          <w:tcPr>
            <w:tcW w:w="965"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F74E8" w:rsidRPr="000B7C0D" w:rsidRDefault="00AF74E8" w:rsidP="000B7C0D">
            <w:pPr>
              <w:spacing w:after="0" w:line="240" w:lineRule="auto"/>
              <w:rPr>
                <w:rFonts w:ascii="Arial" w:eastAsia="Times New Roman" w:hAnsi="Arial" w:cs="Arial"/>
                <w:color w:val="000000"/>
                <w:sz w:val="18"/>
                <w:szCs w:val="18"/>
              </w:rPr>
            </w:pPr>
          </w:p>
        </w:tc>
        <w:tc>
          <w:tcPr>
            <w:tcW w:w="996" w:type="dxa"/>
            <w:vMerge/>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F74E8" w:rsidRPr="000B7C0D" w:rsidRDefault="00AF74E8" w:rsidP="000B7C0D">
            <w:pPr>
              <w:spacing w:after="0" w:line="240" w:lineRule="auto"/>
              <w:rPr>
                <w:rFonts w:ascii="Arial" w:eastAsia="Times New Roman" w:hAnsi="Arial" w:cs="Arial"/>
                <w:color w:val="000000"/>
                <w:sz w:val="18"/>
                <w:szCs w:val="18"/>
              </w:rPr>
            </w:pPr>
          </w:p>
        </w:tc>
        <w:tc>
          <w:tcPr>
            <w:tcW w:w="128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8/25/2011</w:t>
            </w:r>
          </w:p>
        </w:tc>
        <w:tc>
          <w:tcPr>
            <w:tcW w:w="10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57"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w:t>
            </w:r>
          </w:p>
        </w:tc>
        <w:tc>
          <w:tcPr>
            <w:tcW w:w="125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0B7C0D" w:rsidRDefault="00AF74E8" w:rsidP="000B7C0D">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2 - 4 PM</w:t>
            </w:r>
          </w:p>
        </w:tc>
        <w:tc>
          <w:tcPr>
            <w:tcW w:w="116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F74E8" w:rsidRPr="00AF74E8" w:rsidRDefault="00345F96" w:rsidP="000B7C0D">
            <w:pPr>
              <w:spacing w:after="0" w:line="240" w:lineRule="auto"/>
              <w:jc w:val="center"/>
              <w:rPr>
                <w:rFonts w:ascii="Arial" w:eastAsia="Times New Roman" w:hAnsi="Arial" w:cs="Arial"/>
                <w:color w:val="000000"/>
                <w:sz w:val="18"/>
                <w:szCs w:val="18"/>
              </w:rPr>
            </w:pPr>
            <w:r w:rsidRPr="00345F96">
              <w:rPr>
                <w:rFonts w:ascii="Arial" w:eastAsia="Times New Roman" w:hAnsi="Arial" w:cs="Arial"/>
                <w:color w:val="000000"/>
                <w:sz w:val="18"/>
                <w:szCs w:val="18"/>
              </w:rPr>
              <w:t>150.0</w:t>
            </w:r>
          </w:p>
        </w:tc>
      </w:tr>
    </w:tbl>
    <w:p w:rsidR="00A73F2B" w:rsidRDefault="000B7C0D">
      <w:pPr>
        <w:pStyle w:val="BodyParagraph"/>
        <w:tabs>
          <w:tab w:val="left" w:pos="3852"/>
        </w:tabs>
      </w:pPr>
      <w:r>
        <w:tab/>
      </w:r>
    </w:p>
    <w:p w:rsidR="00DC52BC" w:rsidRPr="00050374" w:rsidRDefault="00DC52BC" w:rsidP="00BA25E2">
      <w:pPr>
        <w:pStyle w:val="Heading2"/>
      </w:pPr>
      <w:bookmarkStart w:id="237" w:name="_Toc326074022"/>
      <w:r w:rsidRPr="00050374">
        <w:lastRenderedPageBreak/>
        <w:t xml:space="preserve">Demand Response Resource Contract </w:t>
      </w:r>
      <w:r w:rsidR="00A462D3">
        <w:t>Load Impacts</w:t>
      </w:r>
      <w:bookmarkEnd w:id="237"/>
    </w:p>
    <w:p w:rsidR="00992CD8" w:rsidRDefault="0006539C" w:rsidP="00DC52BC">
      <w:pPr>
        <w:pStyle w:val="BodyParagraph"/>
      </w:pPr>
      <w:r>
        <w:t xml:space="preserve">SCE’s </w:t>
      </w:r>
      <w:r w:rsidR="00992CD8">
        <w:t xml:space="preserve">aggregators had jointly committed to deliver between 215 MW and 230 MW of same-day resources and between 60 MW and 70 MW of day-ahead resources during the 2011 summer months.  However, no aggregators with DRRC contracts subscribed enough capacity to meet their contractual obligations and, as a result, were subject to penalties.  </w:t>
      </w:r>
      <w:r w:rsidR="00DC52BC" w:rsidRPr="00050374">
        <w:t xml:space="preserve">Table </w:t>
      </w:r>
      <w:r w:rsidR="009918EE">
        <w:t>5</w:t>
      </w:r>
      <w:r w:rsidR="00DC52BC" w:rsidRPr="00050374">
        <w:t>-2</w:t>
      </w:r>
      <w:r w:rsidR="00A462D3">
        <w:t xml:space="preserve"> summarizes </w:t>
      </w:r>
      <w:r w:rsidR="00DC52BC" w:rsidRPr="00050374">
        <w:t xml:space="preserve">the estimated ex post load impacts for each </w:t>
      </w:r>
      <w:r w:rsidR="00EA64BF">
        <w:t xml:space="preserve">DRRC </w:t>
      </w:r>
      <w:r w:rsidR="00DC52BC" w:rsidRPr="00050374">
        <w:t xml:space="preserve">event day and </w:t>
      </w:r>
      <w:r w:rsidR="00A462D3">
        <w:t xml:space="preserve">for </w:t>
      </w:r>
      <w:r w:rsidR="00DC52BC" w:rsidRPr="00050374">
        <w:t xml:space="preserve">the average event in 2011.  </w:t>
      </w:r>
    </w:p>
    <w:p w:rsidR="00CF2375" w:rsidRDefault="00CF2375" w:rsidP="00DC52BC">
      <w:pPr>
        <w:pStyle w:val="BodyParagraph"/>
      </w:pPr>
      <w:r>
        <w:t xml:space="preserve">SCE jointly dispatched the two aggregators providing </w:t>
      </w:r>
      <w:r w:rsidR="00F95446">
        <w:t>day-ahead</w:t>
      </w:r>
      <w:r>
        <w:t xml:space="preserve"> resources from 2 PM to 4 PM in each of the two events called.  </w:t>
      </w:r>
      <w:r w:rsidRPr="00050374">
        <w:t xml:space="preserve">On average, </w:t>
      </w:r>
      <w:r>
        <w:t xml:space="preserve">275 </w:t>
      </w:r>
      <w:r w:rsidRPr="00050374">
        <w:t xml:space="preserve">accounts </w:t>
      </w:r>
      <w:r>
        <w:t xml:space="preserve">participated in the average </w:t>
      </w:r>
      <w:r w:rsidRPr="00050374">
        <w:t xml:space="preserve">day-ahead </w:t>
      </w:r>
      <w:r>
        <w:t xml:space="preserve">event and </w:t>
      </w:r>
      <w:r w:rsidRPr="00050374">
        <w:t xml:space="preserve">reduced demand by </w:t>
      </w:r>
      <w:r w:rsidR="00992CD8">
        <w:t xml:space="preserve">17.4 MW, </w:t>
      </w:r>
      <w:r w:rsidRPr="00050374">
        <w:t xml:space="preserve">nearly </w:t>
      </w:r>
      <w:r w:rsidR="00992CD8">
        <w:t xml:space="preserve">a </w:t>
      </w:r>
      <w:r>
        <w:t>28</w:t>
      </w:r>
      <w:r w:rsidRPr="00050374">
        <w:t>%</w:t>
      </w:r>
      <w:r w:rsidR="00992CD8">
        <w:t xml:space="preserve"> reduction</w:t>
      </w:r>
      <w:r>
        <w:t>.</w:t>
      </w:r>
    </w:p>
    <w:p w:rsidR="003B3A7D" w:rsidRDefault="00CF2375">
      <w:pPr>
        <w:pStyle w:val="BodyParagraph"/>
      </w:pPr>
      <w:r>
        <w:t xml:space="preserve">In total, three aggregators committed to deliver demand reductions with </w:t>
      </w:r>
      <w:r w:rsidR="00F95446">
        <w:t>day</w:t>
      </w:r>
      <w:r w:rsidR="006A5BED">
        <w:t>-of</w:t>
      </w:r>
      <w:r w:rsidR="00F95446">
        <w:t xml:space="preserve"> event</w:t>
      </w:r>
      <w:r>
        <w:t xml:space="preserve"> notice.</w:t>
      </w:r>
      <w:r w:rsidR="00992CD8" w:rsidRPr="00992CD8">
        <w:t xml:space="preserve"> </w:t>
      </w:r>
      <w:r w:rsidR="00992CD8">
        <w:t xml:space="preserve"> Although SCE dispatched DRRC day-of resources from 2 PM to 4 PM on four occasions, it never jointly dispatched </w:t>
      </w:r>
      <w:r w:rsidR="0006539C">
        <w:t xml:space="preserve">all </w:t>
      </w:r>
      <w:r w:rsidR="00992CD8">
        <w:t>resources</w:t>
      </w:r>
      <w:r w:rsidR="0006539C">
        <w:t xml:space="preserve"> at the same time</w:t>
      </w:r>
      <w:r w:rsidR="00992CD8">
        <w:t>.</w:t>
      </w:r>
      <w:r>
        <w:t xml:space="preserve">  As a result, the individual event days in 2011 </w:t>
      </w:r>
      <w:r w:rsidR="00992CD8">
        <w:t>are not directly comparable and the variation in results is</w:t>
      </w:r>
      <w:r w:rsidR="006A5BED">
        <w:t xml:space="preserve"> largely </w:t>
      </w:r>
      <w:r>
        <w:t>explain</w:t>
      </w:r>
      <w:r w:rsidR="00992CD8">
        <w:t>ed by the dispatch patterns</w:t>
      </w:r>
      <w:r>
        <w:t xml:space="preserve">.  </w:t>
      </w:r>
    </w:p>
    <w:p w:rsidR="00A73F2B" w:rsidRDefault="00EA64BF">
      <w:pPr>
        <w:pStyle w:val="BodyParagraph"/>
        <w:rPr>
          <w:rStyle w:val="Strong"/>
          <w:bCs w:val="0"/>
        </w:rPr>
      </w:pPr>
      <w:r>
        <w:t>O</w:t>
      </w:r>
      <w:r w:rsidR="00CF2375">
        <w:t xml:space="preserve">nly 61 accounts participated in </w:t>
      </w:r>
      <w:r>
        <w:t>the April 21</w:t>
      </w:r>
      <w:r w:rsidR="00CF2375">
        <w:t xml:space="preserve"> event</w:t>
      </w:r>
      <w:r>
        <w:t>,</w:t>
      </w:r>
      <w:r w:rsidR="00CF2375">
        <w:t xml:space="preserve"> but they were large and primarily came from the manufacturing and water district industry segments.  Collectively, these accounts reduced load by 68%, and delivered aggregate load reductions equal to 32 MW.  In contrast, the number of participating accounts </w:t>
      </w:r>
      <w:r w:rsidR="0022241B">
        <w:t xml:space="preserve">was higher and the percent load reductions </w:t>
      </w:r>
      <w:r w:rsidR="00CF2375">
        <w:t xml:space="preserve">were </w:t>
      </w:r>
      <w:r w:rsidR="0022241B">
        <w:t xml:space="preserve">smaller </w:t>
      </w:r>
      <w:r w:rsidR="006A5BED">
        <w:t xml:space="preserve">during the remaining </w:t>
      </w:r>
      <w:r w:rsidR="00CF2375">
        <w:t xml:space="preserve">three events.   </w:t>
      </w:r>
      <w:r w:rsidR="0022241B">
        <w:t>N</w:t>
      </w:r>
      <w:r w:rsidR="00CF2375">
        <w:t>one of the</w:t>
      </w:r>
      <w:r w:rsidR="0022241B">
        <w:t>se</w:t>
      </w:r>
      <w:r w:rsidR="00CF2375">
        <w:t xml:space="preserve"> events included the aggregator di</w:t>
      </w:r>
      <w:r w:rsidR="0022241B">
        <w:t xml:space="preserve">spatched for the April event. </w:t>
      </w:r>
      <w:r w:rsidR="006A5BED">
        <w:t xml:space="preserve"> </w:t>
      </w:r>
      <w:r w:rsidR="0022241B">
        <w:t>The last two events reflect the joint load reduction of two</w:t>
      </w:r>
      <w:r>
        <w:t xml:space="preserve"> other</w:t>
      </w:r>
      <w:r w:rsidR="0022241B">
        <w:t xml:space="preserve"> aggregators.  </w:t>
      </w:r>
      <w:r>
        <w:t xml:space="preserve">Had all DRRC same-day resources been called together, they </w:t>
      </w:r>
      <w:r w:rsidR="006A5BED">
        <w:t>c</w:t>
      </w:r>
      <w:r>
        <w:t>ould have delivered 135 MW of load reduction, a reduction of</w:t>
      </w:r>
      <w:r w:rsidR="00BA25E2">
        <w:t> </w:t>
      </w:r>
      <w:r>
        <w:t xml:space="preserve">28%. </w:t>
      </w:r>
    </w:p>
    <w:p w:rsidR="00DC52BC" w:rsidRDefault="007821EF" w:rsidP="00BA25E2">
      <w:pPr>
        <w:pStyle w:val="TableFigureCaption"/>
        <w:rPr>
          <w:rStyle w:val="Strong"/>
          <w:b/>
          <w:bCs w:val="0"/>
        </w:rPr>
      </w:pPr>
      <w:r>
        <w:rPr>
          <w:rStyle w:val="Strong"/>
          <w:b/>
          <w:bCs w:val="0"/>
        </w:rPr>
        <w:t xml:space="preserve">Table </w:t>
      </w:r>
      <w:r w:rsidR="00A52143">
        <w:rPr>
          <w:rStyle w:val="Strong"/>
          <w:b/>
          <w:bCs w:val="0"/>
        </w:rPr>
        <w:t>5</w:t>
      </w:r>
      <w:r w:rsidR="00DC52BC" w:rsidRPr="00050374">
        <w:rPr>
          <w:rStyle w:val="Strong"/>
          <w:b/>
          <w:bCs w:val="0"/>
        </w:rPr>
        <w:t>-2:</w:t>
      </w:r>
      <w:r w:rsidR="00877CA8">
        <w:rPr>
          <w:rStyle w:val="Strong"/>
          <w:b/>
          <w:bCs w:val="0"/>
        </w:rPr>
        <w:t xml:space="preserve"> </w:t>
      </w:r>
      <w:r w:rsidR="00BA25E2">
        <w:rPr>
          <w:rStyle w:val="Strong"/>
          <w:b/>
          <w:bCs w:val="0"/>
        </w:rPr>
        <w:t xml:space="preserve"> </w:t>
      </w:r>
      <w:r w:rsidR="00DC52BC" w:rsidRPr="00050374">
        <w:rPr>
          <w:rStyle w:val="Strong"/>
          <w:b/>
          <w:bCs w:val="0"/>
        </w:rPr>
        <w:t>Estimated Ex Post Load Impacts by Event Day</w:t>
      </w:r>
      <w:r w:rsidR="00DC52BC" w:rsidRPr="00050374">
        <w:rPr>
          <w:rStyle w:val="Strong"/>
          <w:b/>
          <w:bCs w:val="0"/>
        </w:rPr>
        <w:br/>
        <w:t xml:space="preserve">2011 </w:t>
      </w:r>
      <w:r w:rsidR="0074470A">
        <w:rPr>
          <w:rStyle w:val="Strong"/>
          <w:b/>
          <w:bCs w:val="0"/>
        </w:rPr>
        <w:t>SCE DRRC</w:t>
      </w:r>
      <w:r w:rsidR="00DC52BC" w:rsidRPr="00050374">
        <w:rPr>
          <w:rStyle w:val="Strong"/>
          <w:b/>
          <w:bCs w:val="0"/>
        </w:rPr>
        <w:t xml:space="preserve"> Events</w:t>
      </w:r>
    </w:p>
    <w:tbl>
      <w:tblPr>
        <w:tblW w:w="10260" w:type="dxa"/>
        <w:tblInd w:w="-47" w:type="dxa"/>
        <w:tblLayout w:type="fixed"/>
        <w:tblLook w:val="04A0"/>
      </w:tblPr>
      <w:tblGrid>
        <w:gridCol w:w="898"/>
        <w:gridCol w:w="1480"/>
        <w:gridCol w:w="772"/>
        <w:gridCol w:w="990"/>
        <w:gridCol w:w="1080"/>
        <w:gridCol w:w="1080"/>
        <w:gridCol w:w="1080"/>
        <w:gridCol w:w="1080"/>
        <w:gridCol w:w="738"/>
        <w:gridCol w:w="1062"/>
      </w:tblGrid>
      <w:tr w:rsidR="002D1A0B" w:rsidRPr="00AF74E8" w:rsidTr="00A00B41">
        <w:trPr>
          <w:trHeight w:val="816"/>
        </w:trPr>
        <w:tc>
          <w:tcPr>
            <w:tcW w:w="898" w:type="dxa"/>
            <w:tcBorders>
              <w:top w:val="single" w:sz="4" w:space="0" w:color="auto"/>
              <w:left w:val="single" w:sz="4" w:space="0" w:color="auto"/>
              <w:bottom w:val="single" w:sz="4" w:space="0" w:color="auto"/>
              <w:right w:val="nil"/>
            </w:tcBorders>
            <w:shd w:val="clear" w:color="000000" w:fill="376091"/>
            <w:vAlign w:val="center"/>
            <w:hideMark/>
          </w:tcPr>
          <w:p w:rsidR="009555F5" w:rsidRDefault="00AF74E8">
            <w:pPr>
              <w:spacing w:after="0" w:line="240" w:lineRule="auto"/>
              <w:jc w:val="center"/>
              <w:rPr>
                <w:rFonts w:ascii="Arial" w:eastAsia="Times New Roman" w:hAnsi="Arial" w:cs="Arial"/>
                <w:b/>
                <w:bCs/>
                <w:color w:val="FFFFFF"/>
                <w:sz w:val="16"/>
                <w:szCs w:val="16"/>
              </w:rPr>
            </w:pPr>
            <w:r w:rsidRPr="00AF74E8">
              <w:rPr>
                <w:rFonts w:ascii="Arial" w:eastAsia="Times New Roman" w:hAnsi="Arial" w:cs="Arial"/>
                <w:b/>
                <w:bCs/>
                <w:color w:val="FFFFFF"/>
                <w:sz w:val="16"/>
                <w:szCs w:val="16"/>
              </w:rPr>
              <w:t>Program</w:t>
            </w:r>
          </w:p>
        </w:tc>
        <w:tc>
          <w:tcPr>
            <w:tcW w:w="1480" w:type="dxa"/>
            <w:tcBorders>
              <w:top w:val="single" w:sz="4" w:space="0" w:color="auto"/>
              <w:left w:val="single" w:sz="4" w:space="0" w:color="FFFFFF"/>
              <w:bottom w:val="single" w:sz="4" w:space="0" w:color="auto"/>
              <w:right w:val="single" w:sz="4" w:space="0" w:color="FFFFFF"/>
            </w:tcBorders>
            <w:shd w:val="clear" w:color="000000" w:fill="376091"/>
            <w:vAlign w:val="center"/>
            <w:hideMark/>
          </w:tcPr>
          <w:p w:rsidR="00AF74E8" w:rsidRPr="00AF74E8" w:rsidRDefault="00AF74E8" w:rsidP="0006539C">
            <w:pPr>
              <w:spacing w:after="0" w:line="240" w:lineRule="auto"/>
              <w:jc w:val="center"/>
              <w:rPr>
                <w:rFonts w:ascii="Arial" w:eastAsia="Times New Roman" w:hAnsi="Arial" w:cs="Arial"/>
                <w:b/>
                <w:bCs/>
                <w:color w:val="FFFFFF"/>
                <w:sz w:val="16"/>
                <w:szCs w:val="16"/>
              </w:rPr>
            </w:pPr>
            <w:r w:rsidRPr="00AF74E8">
              <w:rPr>
                <w:rFonts w:ascii="Arial" w:eastAsia="Times New Roman" w:hAnsi="Arial" w:cs="Arial"/>
                <w:b/>
                <w:bCs/>
                <w:color w:val="FFFFFF"/>
                <w:sz w:val="16"/>
                <w:szCs w:val="16"/>
              </w:rPr>
              <w:t>Event Date</w:t>
            </w:r>
          </w:p>
        </w:tc>
        <w:tc>
          <w:tcPr>
            <w:tcW w:w="772" w:type="dxa"/>
            <w:tcBorders>
              <w:top w:val="single" w:sz="4" w:space="0" w:color="auto"/>
              <w:left w:val="nil"/>
              <w:bottom w:val="single" w:sz="4" w:space="0" w:color="auto"/>
              <w:right w:val="single" w:sz="4" w:space="0" w:color="FFFFFF"/>
            </w:tcBorders>
            <w:shd w:val="clear" w:color="000000" w:fill="376091"/>
            <w:vAlign w:val="center"/>
            <w:hideMark/>
          </w:tcPr>
          <w:p w:rsidR="00AF74E8" w:rsidRPr="00AF74E8" w:rsidRDefault="00AF74E8" w:rsidP="0006539C">
            <w:pPr>
              <w:spacing w:after="0" w:line="240" w:lineRule="auto"/>
              <w:jc w:val="center"/>
              <w:rPr>
                <w:rFonts w:ascii="Arial" w:eastAsia="Times New Roman" w:hAnsi="Arial" w:cs="Arial"/>
                <w:b/>
                <w:bCs/>
                <w:color w:val="FFFFFF"/>
                <w:sz w:val="16"/>
                <w:szCs w:val="16"/>
              </w:rPr>
            </w:pPr>
            <w:r w:rsidRPr="00AF74E8">
              <w:rPr>
                <w:rFonts w:ascii="Arial" w:eastAsia="Times New Roman" w:hAnsi="Arial" w:cs="Arial"/>
                <w:b/>
                <w:bCs/>
                <w:color w:val="FFFFFF"/>
                <w:sz w:val="16"/>
                <w:szCs w:val="16"/>
              </w:rPr>
              <w:t>Accts</w:t>
            </w:r>
          </w:p>
        </w:tc>
        <w:tc>
          <w:tcPr>
            <w:tcW w:w="990" w:type="dxa"/>
            <w:tcBorders>
              <w:top w:val="single" w:sz="4" w:space="0" w:color="auto"/>
              <w:left w:val="nil"/>
              <w:bottom w:val="single" w:sz="4" w:space="0" w:color="auto"/>
              <w:right w:val="single" w:sz="4" w:space="0" w:color="FFFFFF"/>
            </w:tcBorders>
            <w:shd w:val="clear" w:color="000000" w:fill="376091"/>
            <w:vAlign w:val="center"/>
            <w:hideMark/>
          </w:tcPr>
          <w:p w:rsidR="0006539C" w:rsidRDefault="00AF74E8" w:rsidP="0006539C">
            <w:pPr>
              <w:spacing w:after="0" w:line="240" w:lineRule="auto"/>
              <w:jc w:val="center"/>
              <w:rPr>
                <w:rFonts w:ascii="Arial" w:eastAsia="Times New Roman" w:hAnsi="Arial" w:cs="Arial"/>
                <w:b/>
                <w:bCs/>
                <w:color w:val="FFFFFF"/>
                <w:sz w:val="16"/>
                <w:szCs w:val="16"/>
              </w:rPr>
            </w:pPr>
            <w:proofErr w:type="spellStart"/>
            <w:r w:rsidRPr="00AF74E8">
              <w:rPr>
                <w:rFonts w:ascii="Arial" w:eastAsia="Times New Roman" w:hAnsi="Arial" w:cs="Arial"/>
                <w:b/>
                <w:bCs/>
                <w:color w:val="FFFFFF"/>
                <w:sz w:val="16"/>
                <w:szCs w:val="16"/>
              </w:rPr>
              <w:t>Avg</w:t>
            </w:r>
            <w:r w:rsidR="0006539C">
              <w:rPr>
                <w:rFonts w:ascii="Arial" w:eastAsia="Times New Roman" w:hAnsi="Arial" w:cs="Arial"/>
                <w:b/>
                <w:bCs/>
                <w:color w:val="FFFFFF"/>
                <w:sz w:val="16"/>
                <w:szCs w:val="16"/>
              </w:rPr>
              <w:t>erage</w:t>
            </w:r>
            <w:proofErr w:type="spellEnd"/>
            <w:r w:rsidRPr="00AF74E8">
              <w:rPr>
                <w:rFonts w:ascii="Arial" w:eastAsia="Times New Roman" w:hAnsi="Arial" w:cs="Arial"/>
                <w:b/>
                <w:bCs/>
                <w:color w:val="FFFFFF"/>
                <w:sz w:val="16"/>
                <w:szCs w:val="16"/>
              </w:rPr>
              <w:t xml:space="preserve"> Reference Load </w:t>
            </w:r>
          </w:p>
          <w:p w:rsidR="00AF74E8" w:rsidRPr="00AF74E8" w:rsidRDefault="00AF74E8" w:rsidP="0006539C">
            <w:pPr>
              <w:spacing w:after="0" w:line="240" w:lineRule="auto"/>
              <w:jc w:val="center"/>
              <w:rPr>
                <w:rFonts w:ascii="Arial" w:eastAsia="Times New Roman" w:hAnsi="Arial" w:cs="Arial"/>
                <w:b/>
                <w:bCs/>
                <w:color w:val="FFFFFF"/>
                <w:sz w:val="16"/>
                <w:szCs w:val="16"/>
              </w:rPr>
            </w:pPr>
            <w:r w:rsidRPr="00AF74E8">
              <w:rPr>
                <w:rFonts w:ascii="Arial" w:eastAsia="Times New Roman" w:hAnsi="Arial" w:cs="Arial"/>
                <w:b/>
                <w:bCs/>
                <w:color w:val="FFFFFF"/>
                <w:sz w:val="16"/>
                <w:szCs w:val="16"/>
              </w:rPr>
              <w:t>(kW)</w:t>
            </w:r>
          </w:p>
        </w:tc>
        <w:tc>
          <w:tcPr>
            <w:tcW w:w="1080" w:type="dxa"/>
            <w:tcBorders>
              <w:top w:val="single" w:sz="4" w:space="0" w:color="auto"/>
              <w:left w:val="nil"/>
              <w:bottom w:val="single" w:sz="4" w:space="0" w:color="auto"/>
              <w:right w:val="single" w:sz="4" w:space="0" w:color="FFFFFF"/>
            </w:tcBorders>
            <w:shd w:val="clear" w:color="000000" w:fill="376091"/>
            <w:vAlign w:val="center"/>
            <w:hideMark/>
          </w:tcPr>
          <w:p w:rsidR="00AF74E8" w:rsidRPr="00AF74E8" w:rsidRDefault="00AF74E8" w:rsidP="0006539C">
            <w:pPr>
              <w:spacing w:after="0" w:line="240" w:lineRule="auto"/>
              <w:jc w:val="center"/>
              <w:rPr>
                <w:rFonts w:ascii="Arial" w:eastAsia="Times New Roman" w:hAnsi="Arial" w:cs="Arial"/>
                <w:b/>
                <w:bCs/>
                <w:color w:val="FFFFFF"/>
                <w:sz w:val="16"/>
                <w:szCs w:val="16"/>
              </w:rPr>
            </w:pPr>
            <w:r w:rsidRPr="00AF74E8">
              <w:rPr>
                <w:rFonts w:ascii="Arial" w:eastAsia="Times New Roman" w:hAnsi="Arial" w:cs="Arial"/>
                <w:b/>
                <w:bCs/>
                <w:color w:val="FFFFFF"/>
                <w:sz w:val="16"/>
                <w:szCs w:val="16"/>
              </w:rPr>
              <w:t>Average Load Reduction (kW)</w:t>
            </w:r>
          </w:p>
        </w:tc>
        <w:tc>
          <w:tcPr>
            <w:tcW w:w="1080" w:type="dxa"/>
            <w:tcBorders>
              <w:top w:val="single" w:sz="4" w:space="0" w:color="auto"/>
              <w:left w:val="nil"/>
              <w:bottom w:val="single" w:sz="4" w:space="0" w:color="auto"/>
              <w:right w:val="single" w:sz="4" w:space="0" w:color="FFFFFF"/>
            </w:tcBorders>
            <w:shd w:val="clear" w:color="000000" w:fill="376091"/>
            <w:vAlign w:val="center"/>
            <w:hideMark/>
          </w:tcPr>
          <w:p w:rsidR="00AF74E8" w:rsidRPr="00AF74E8" w:rsidRDefault="00AF74E8" w:rsidP="0006539C">
            <w:pPr>
              <w:spacing w:after="0" w:line="240" w:lineRule="auto"/>
              <w:jc w:val="center"/>
              <w:rPr>
                <w:rFonts w:ascii="Arial" w:eastAsia="Times New Roman" w:hAnsi="Arial" w:cs="Arial"/>
                <w:b/>
                <w:bCs/>
                <w:color w:val="FFFFFF"/>
                <w:sz w:val="16"/>
                <w:szCs w:val="16"/>
              </w:rPr>
            </w:pPr>
            <w:r w:rsidRPr="00AF74E8">
              <w:rPr>
                <w:rFonts w:ascii="Arial" w:eastAsia="Times New Roman" w:hAnsi="Arial" w:cs="Arial"/>
                <w:b/>
                <w:bCs/>
                <w:color w:val="FFFFFF"/>
                <w:sz w:val="16"/>
                <w:szCs w:val="16"/>
              </w:rPr>
              <w:t>% Load Reductio</w:t>
            </w:r>
            <w:r w:rsidR="0006539C">
              <w:rPr>
                <w:rFonts w:ascii="Arial" w:eastAsia="Times New Roman" w:hAnsi="Arial" w:cs="Arial"/>
                <w:b/>
                <w:bCs/>
                <w:color w:val="FFFFFF"/>
                <w:sz w:val="16"/>
                <w:szCs w:val="16"/>
              </w:rPr>
              <w:t>n</w:t>
            </w:r>
          </w:p>
        </w:tc>
        <w:tc>
          <w:tcPr>
            <w:tcW w:w="1080" w:type="dxa"/>
            <w:tcBorders>
              <w:top w:val="single" w:sz="4" w:space="0" w:color="auto"/>
              <w:left w:val="nil"/>
              <w:bottom w:val="single" w:sz="4" w:space="0" w:color="auto"/>
              <w:right w:val="single" w:sz="4" w:space="0" w:color="FFFFFF"/>
            </w:tcBorders>
            <w:shd w:val="clear" w:color="000000" w:fill="376091"/>
            <w:vAlign w:val="center"/>
            <w:hideMark/>
          </w:tcPr>
          <w:p w:rsidR="0006539C" w:rsidRDefault="00AF74E8" w:rsidP="0006539C">
            <w:pPr>
              <w:spacing w:after="0" w:line="240" w:lineRule="auto"/>
              <w:jc w:val="center"/>
              <w:rPr>
                <w:rFonts w:ascii="Arial" w:eastAsia="Times New Roman" w:hAnsi="Arial" w:cs="Arial"/>
                <w:b/>
                <w:bCs/>
                <w:color w:val="FFFFFF"/>
                <w:sz w:val="16"/>
                <w:szCs w:val="16"/>
              </w:rPr>
            </w:pPr>
            <w:r w:rsidRPr="00AF74E8">
              <w:rPr>
                <w:rFonts w:ascii="Arial" w:eastAsia="Times New Roman" w:hAnsi="Arial" w:cs="Arial"/>
                <w:b/>
                <w:bCs/>
                <w:color w:val="FFFFFF"/>
                <w:sz w:val="16"/>
                <w:szCs w:val="16"/>
              </w:rPr>
              <w:t xml:space="preserve">Aggregate Reference Load </w:t>
            </w:r>
          </w:p>
          <w:p w:rsidR="00AF74E8" w:rsidRPr="00AF74E8" w:rsidRDefault="00AF74E8" w:rsidP="0006539C">
            <w:pPr>
              <w:spacing w:after="0" w:line="240" w:lineRule="auto"/>
              <w:jc w:val="center"/>
              <w:rPr>
                <w:rFonts w:ascii="Arial" w:eastAsia="Times New Roman" w:hAnsi="Arial" w:cs="Arial"/>
                <w:b/>
                <w:bCs/>
                <w:color w:val="FFFFFF"/>
                <w:sz w:val="16"/>
                <w:szCs w:val="16"/>
              </w:rPr>
            </w:pPr>
            <w:r w:rsidRPr="00AF74E8">
              <w:rPr>
                <w:rFonts w:ascii="Arial" w:eastAsia="Times New Roman" w:hAnsi="Arial" w:cs="Arial"/>
                <w:b/>
                <w:bCs/>
                <w:color w:val="FFFFFF"/>
                <w:sz w:val="16"/>
                <w:szCs w:val="16"/>
              </w:rPr>
              <w:t>(MW)</w:t>
            </w:r>
          </w:p>
        </w:tc>
        <w:tc>
          <w:tcPr>
            <w:tcW w:w="1080" w:type="dxa"/>
            <w:tcBorders>
              <w:top w:val="single" w:sz="4" w:space="0" w:color="auto"/>
              <w:left w:val="nil"/>
              <w:bottom w:val="single" w:sz="4" w:space="0" w:color="auto"/>
              <w:right w:val="single" w:sz="4" w:space="0" w:color="FFFFFF"/>
            </w:tcBorders>
            <w:shd w:val="clear" w:color="000000" w:fill="376091"/>
            <w:vAlign w:val="center"/>
            <w:hideMark/>
          </w:tcPr>
          <w:p w:rsidR="00AF74E8" w:rsidRPr="00AF74E8" w:rsidRDefault="00AF74E8" w:rsidP="0006539C">
            <w:pPr>
              <w:spacing w:after="0" w:line="240" w:lineRule="auto"/>
              <w:jc w:val="center"/>
              <w:rPr>
                <w:rFonts w:ascii="Arial" w:eastAsia="Times New Roman" w:hAnsi="Arial" w:cs="Arial"/>
                <w:b/>
                <w:bCs/>
                <w:color w:val="FFFFFF"/>
                <w:sz w:val="16"/>
                <w:szCs w:val="16"/>
              </w:rPr>
            </w:pPr>
            <w:r w:rsidRPr="00AF74E8">
              <w:rPr>
                <w:rFonts w:ascii="Arial" w:eastAsia="Times New Roman" w:hAnsi="Arial" w:cs="Arial"/>
                <w:b/>
                <w:bCs/>
                <w:color w:val="FFFFFF"/>
                <w:sz w:val="16"/>
                <w:szCs w:val="16"/>
              </w:rPr>
              <w:t>Aggregate Load Impact (MW)</w:t>
            </w:r>
          </w:p>
        </w:tc>
        <w:tc>
          <w:tcPr>
            <w:tcW w:w="738" w:type="dxa"/>
            <w:tcBorders>
              <w:top w:val="single" w:sz="4" w:space="0" w:color="auto"/>
              <w:left w:val="nil"/>
              <w:bottom w:val="single" w:sz="4" w:space="0" w:color="auto"/>
              <w:right w:val="nil"/>
            </w:tcBorders>
            <w:shd w:val="clear" w:color="000000" w:fill="376091"/>
            <w:vAlign w:val="center"/>
            <w:hideMark/>
          </w:tcPr>
          <w:p w:rsidR="00AF74E8" w:rsidRPr="00AF74E8" w:rsidRDefault="00AF74E8" w:rsidP="0006539C">
            <w:pPr>
              <w:spacing w:after="0" w:line="240" w:lineRule="auto"/>
              <w:jc w:val="center"/>
              <w:rPr>
                <w:rFonts w:ascii="Arial" w:eastAsia="Times New Roman" w:hAnsi="Arial" w:cs="Arial"/>
                <w:b/>
                <w:bCs/>
                <w:color w:val="FFFFFF"/>
                <w:sz w:val="16"/>
                <w:szCs w:val="16"/>
              </w:rPr>
            </w:pPr>
            <w:r w:rsidRPr="00AF74E8">
              <w:rPr>
                <w:rFonts w:ascii="Arial" w:eastAsia="Times New Roman" w:hAnsi="Arial" w:cs="Arial"/>
                <w:b/>
                <w:bCs/>
                <w:color w:val="FFFFFF"/>
                <w:sz w:val="16"/>
                <w:szCs w:val="16"/>
              </w:rPr>
              <w:t>Avg. Temp During Event</w:t>
            </w:r>
          </w:p>
        </w:tc>
        <w:tc>
          <w:tcPr>
            <w:tcW w:w="1062" w:type="dxa"/>
            <w:tcBorders>
              <w:top w:val="single" w:sz="4" w:space="0" w:color="000000" w:themeColor="text1"/>
              <w:left w:val="single" w:sz="4" w:space="0" w:color="FFFFFF"/>
              <w:bottom w:val="single" w:sz="4" w:space="0" w:color="000000" w:themeColor="text1"/>
              <w:right w:val="single" w:sz="4" w:space="0" w:color="auto"/>
            </w:tcBorders>
            <w:shd w:val="clear" w:color="000000" w:fill="376091"/>
            <w:vAlign w:val="center"/>
            <w:hideMark/>
          </w:tcPr>
          <w:p w:rsidR="00AF74E8" w:rsidRPr="00AF74E8" w:rsidRDefault="00AF74E8" w:rsidP="0006539C">
            <w:pPr>
              <w:spacing w:after="0" w:line="240" w:lineRule="auto"/>
              <w:jc w:val="center"/>
              <w:rPr>
                <w:rFonts w:ascii="Arial" w:eastAsia="Times New Roman" w:hAnsi="Arial" w:cs="Arial"/>
                <w:b/>
                <w:bCs/>
                <w:color w:val="FFFFFF"/>
                <w:sz w:val="16"/>
                <w:szCs w:val="16"/>
              </w:rPr>
            </w:pPr>
            <w:r w:rsidRPr="00AF74E8">
              <w:rPr>
                <w:rFonts w:ascii="Arial" w:eastAsia="Times New Roman" w:hAnsi="Arial" w:cs="Arial"/>
                <w:b/>
                <w:bCs/>
                <w:color w:val="FFFFFF"/>
                <w:sz w:val="16"/>
                <w:szCs w:val="16"/>
              </w:rPr>
              <w:t>Nominated MW*</w:t>
            </w:r>
          </w:p>
        </w:tc>
      </w:tr>
      <w:tr w:rsidR="00AF74E8" w:rsidRPr="00AF74E8" w:rsidTr="0006539C">
        <w:trPr>
          <w:trHeight w:val="399"/>
        </w:trPr>
        <w:tc>
          <w:tcPr>
            <w:tcW w:w="898" w:type="dxa"/>
            <w:vMerge w:val="restart"/>
            <w:tcBorders>
              <w:top w:val="nil"/>
              <w:left w:val="single" w:sz="4" w:space="0" w:color="auto"/>
              <w:bottom w:val="single" w:sz="4" w:space="0" w:color="auto"/>
              <w:right w:val="single" w:sz="4" w:space="0" w:color="auto"/>
            </w:tcBorders>
            <w:shd w:val="clear" w:color="auto" w:fill="auto"/>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DRRC-DA</w:t>
            </w:r>
          </w:p>
        </w:tc>
        <w:tc>
          <w:tcPr>
            <w:tcW w:w="14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07/28/2011</w:t>
            </w:r>
          </w:p>
        </w:tc>
        <w:tc>
          <w:tcPr>
            <w:tcW w:w="77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268</w:t>
            </w:r>
          </w:p>
        </w:tc>
        <w:tc>
          <w:tcPr>
            <w:tcW w:w="99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223.9</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62.1</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27.7%</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60.0</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16.6</w:t>
            </w:r>
          </w:p>
        </w:tc>
        <w:tc>
          <w:tcPr>
            <w:tcW w:w="738"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83.1</w:t>
            </w:r>
          </w:p>
        </w:tc>
        <w:tc>
          <w:tcPr>
            <w:tcW w:w="106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65.0</w:t>
            </w:r>
          </w:p>
        </w:tc>
      </w:tr>
      <w:tr w:rsidR="00AF74E8" w:rsidRPr="00AF74E8" w:rsidTr="0006539C">
        <w:trPr>
          <w:trHeight w:val="399"/>
        </w:trPr>
        <w:tc>
          <w:tcPr>
            <w:tcW w:w="898" w:type="dxa"/>
            <w:vMerge/>
            <w:tcBorders>
              <w:top w:val="nil"/>
              <w:left w:val="single" w:sz="4" w:space="0" w:color="auto"/>
              <w:bottom w:val="single" w:sz="4" w:space="0" w:color="auto"/>
              <w:right w:val="single" w:sz="4" w:space="0" w:color="auto"/>
            </w:tcBorders>
            <w:vAlign w:val="center"/>
            <w:hideMark/>
          </w:tcPr>
          <w:p w:rsidR="00AF74E8" w:rsidRPr="00AF74E8" w:rsidRDefault="00AF74E8" w:rsidP="00AF74E8">
            <w:pPr>
              <w:spacing w:after="0" w:line="240" w:lineRule="auto"/>
              <w:rPr>
                <w:rFonts w:ascii="Arial" w:eastAsia="Times New Roman" w:hAnsi="Arial" w:cs="Arial"/>
                <w:color w:val="000000"/>
                <w:sz w:val="16"/>
                <w:szCs w:val="16"/>
              </w:rPr>
            </w:pPr>
          </w:p>
        </w:tc>
        <w:tc>
          <w:tcPr>
            <w:tcW w:w="14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08/25/2011</w:t>
            </w:r>
          </w:p>
        </w:tc>
        <w:tc>
          <w:tcPr>
            <w:tcW w:w="77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282</w:t>
            </w:r>
          </w:p>
        </w:tc>
        <w:tc>
          <w:tcPr>
            <w:tcW w:w="99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232.0</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64.2</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27.7%</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65.4</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18.1</w:t>
            </w:r>
          </w:p>
        </w:tc>
        <w:tc>
          <w:tcPr>
            <w:tcW w:w="738"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89.5</w:t>
            </w:r>
          </w:p>
        </w:tc>
        <w:tc>
          <w:tcPr>
            <w:tcW w:w="106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70.0</w:t>
            </w:r>
          </w:p>
        </w:tc>
      </w:tr>
      <w:tr w:rsidR="00AF74E8" w:rsidRPr="00AF74E8" w:rsidTr="0006539C">
        <w:trPr>
          <w:trHeight w:val="399"/>
        </w:trPr>
        <w:tc>
          <w:tcPr>
            <w:tcW w:w="898" w:type="dxa"/>
            <w:vMerge/>
            <w:tcBorders>
              <w:top w:val="nil"/>
              <w:left w:val="single" w:sz="4" w:space="0" w:color="auto"/>
              <w:bottom w:val="single" w:sz="4" w:space="0" w:color="auto"/>
              <w:right w:val="single" w:sz="4" w:space="0" w:color="auto"/>
            </w:tcBorders>
            <w:vAlign w:val="center"/>
            <w:hideMark/>
          </w:tcPr>
          <w:p w:rsidR="00AF74E8" w:rsidRPr="00AF74E8" w:rsidRDefault="00AF74E8" w:rsidP="00AF74E8">
            <w:pPr>
              <w:spacing w:after="0" w:line="240" w:lineRule="auto"/>
              <w:rPr>
                <w:rFonts w:ascii="Arial" w:eastAsia="Times New Roman" w:hAnsi="Arial" w:cs="Arial"/>
                <w:color w:val="000000"/>
                <w:sz w:val="16"/>
                <w:szCs w:val="16"/>
              </w:rPr>
            </w:pPr>
          </w:p>
        </w:tc>
        <w:tc>
          <w:tcPr>
            <w:tcW w:w="14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Average Event</w:t>
            </w:r>
          </w:p>
        </w:tc>
        <w:tc>
          <w:tcPr>
            <w:tcW w:w="77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275</w:t>
            </w:r>
          </w:p>
        </w:tc>
        <w:tc>
          <w:tcPr>
            <w:tcW w:w="99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228.1</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63.2</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27.7%</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62.7</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17.4</w:t>
            </w:r>
          </w:p>
        </w:tc>
        <w:tc>
          <w:tcPr>
            <w:tcW w:w="738"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86.4</w:t>
            </w:r>
          </w:p>
        </w:tc>
        <w:tc>
          <w:tcPr>
            <w:tcW w:w="106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67.5</w:t>
            </w:r>
          </w:p>
        </w:tc>
      </w:tr>
      <w:tr w:rsidR="00AF74E8" w:rsidRPr="00AF74E8" w:rsidTr="0006539C">
        <w:trPr>
          <w:trHeight w:val="399"/>
        </w:trPr>
        <w:tc>
          <w:tcPr>
            <w:tcW w:w="898" w:type="dxa"/>
            <w:vMerge w:val="restart"/>
            <w:tcBorders>
              <w:top w:val="nil"/>
              <w:left w:val="single" w:sz="4" w:space="0" w:color="auto"/>
              <w:bottom w:val="single" w:sz="4" w:space="0" w:color="auto"/>
              <w:right w:val="single" w:sz="4" w:space="0" w:color="auto"/>
            </w:tcBorders>
            <w:shd w:val="clear" w:color="auto" w:fill="auto"/>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DRRC-DO</w:t>
            </w:r>
          </w:p>
        </w:tc>
        <w:tc>
          <w:tcPr>
            <w:tcW w:w="14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04/21/2011</w:t>
            </w:r>
          </w:p>
        </w:tc>
        <w:tc>
          <w:tcPr>
            <w:tcW w:w="77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61</w:t>
            </w:r>
          </w:p>
        </w:tc>
        <w:tc>
          <w:tcPr>
            <w:tcW w:w="99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777.2</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525.7</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67.6%</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47.4</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32.1</w:t>
            </w:r>
          </w:p>
        </w:tc>
        <w:tc>
          <w:tcPr>
            <w:tcW w:w="738"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65.1</w:t>
            </w:r>
          </w:p>
        </w:tc>
        <w:tc>
          <w:tcPr>
            <w:tcW w:w="106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52.0</w:t>
            </w:r>
          </w:p>
        </w:tc>
      </w:tr>
      <w:tr w:rsidR="00AF74E8" w:rsidRPr="00AF74E8" w:rsidTr="0006539C">
        <w:trPr>
          <w:trHeight w:val="399"/>
        </w:trPr>
        <w:tc>
          <w:tcPr>
            <w:tcW w:w="898" w:type="dxa"/>
            <w:vMerge/>
            <w:tcBorders>
              <w:top w:val="nil"/>
              <w:left w:val="single" w:sz="4" w:space="0" w:color="auto"/>
              <w:bottom w:val="single" w:sz="4" w:space="0" w:color="auto"/>
              <w:right w:val="single" w:sz="4" w:space="0" w:color="auto"/>
            </w:tcBorders>
            <w:vAlign w:val="center"/>
            <w:hideMark/>
          </w:tcPr>
          <w:p w:rsidR="00AF74E8" w:rsidRPr="00AF74E8" w:rsidRDefault="00AF74E8" w:rsidP="00AF74E8">
            <w:pPr>
              <w:spacing w:after="0" w:line="240" w:lineRule="auto"/>
              <w:rPr>
                <w:rFonts w:ascii="Arial" w:eastAsia="Times New Roman" w:hAnsi="Arial" w:cs="Arial"/>
                <w:color w:val="000000"/>
                <w:sz w:val="16"/>
                <w:szCs w:val="16"/>
              </w:rPr>
            </w:pPr>
          </w:p>
        </w:tc>
        <w:tc>
          <w:tcPr>
            <w:tcW w:w="14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06/23/2011</w:t>
            </w:r>
          </w:p>
        </w:tc>
        <w:tc>
          <w:tcPr>
            <w:tcW w:w="77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940</w:t>
            </w:r>
          </w:p>
        </w:tc>
        <w:tc>
          <w:tcPr>
            <w:tcW w:w="99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305.2</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92.4</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30.3%</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286.9</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86.9</w:t>
            </w:r>
          </w:p>
        </w:tc>
        <w:tc>
          <w:tcPr>
            <w:tcW w:w="738"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83.9</w:t>
            </w:r>
          </w:p>
        </w:tc>
        <w:tc>
          <w:tcPr>
            <w:tcW w:w="106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110.0</w:t>
            </w:r>
          </w:p>
        </w:tc>
      </w:tr>
      <w:tr w:rsidR="00AF74E8" w:rsidRPr="00AF74E8" w:rsidTr="0006539C">
        <w:trPr>
          <w:trHeight w:val="399"/>
        </w:trPr>
        <w:tc>
          <w:tcPr>
            <w:tcW w:w="898" w:type="dxa"/>
            <w:vMerge/>
            <w:tcBorders>
              <w:top w:val="nil"/>
              <w:left w:val="single" w:sz="4" w:space="0" w:color="auto"/>
              <w:bottom w:val="single" w:sz="4" w:space="0" w:color="auto"/>
              <w:right w:val="single" w:sz="4" w:space="0" w:color="auto"/>
            </w:tcBorders>
            <w:vAlign w:val="center"/>
            <w:hideMark/>
          </w:tcPr>
          <w:p w:rsidR="00AF74E8" w:rsidRPr="00AF74E8" w:rsidRDefault="00AF74E8" w:rsidP="00AF74E8">
            <w:pPr>
              <w:spacing w:after="0" w:line="240" w:lineRule="auto"/>
              <w:rPr>
                <w:rFonts w:ascii="Arial" w:eastAsia="Times New Roman" w:hAnsi="Arial" w:cs="Arial"/>
                <w:color w:val="000000"/>
                <w:sz w:val="16"/>
                <w:szCs w:val="16"/>
              </w:rPr>
            </w:pPr>
          </w:p>
        </w:tc>
        <w:tc>
          <w:tcPr>
            <w:tcW w:w="14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07/28/2011</w:t>
            </w:r>
          </w:p>
        </w:tc>
        <w:tc>
          <w:tcPr>
            <w:tcW w:w="77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1242</w:t>
            </w:r>
          </w:p>
        </w:tc>
        <w:tc>
          <w:tcPr>
            <w:tcW w:w="99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331.8</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74.1</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22.3%</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412.2</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92.0</w:t>
            </w:r>
          </w:p>
        </w:tc>
        <w:tc>
          <w:tcPr>
            <w:tcW w:w="738"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83.7</w:t>
            </w:r>
          </w:p>
        </w:tc>
        <w:tc>
          <w:tcPr>
            <w:tcW w:w="106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145.0</w:t>
            </w:r>
          </w:p>
        </w:tc>
      </w:tr>
      <w:tr w:rsidR="00AF74E8" w:rsidRPr="00AF74E8" w:rsidTr="0006539C">
        <w:trPr>
          <w:trHeight w:val="399"/>
        </w:trPr>
        <w:tc>
          <w:tcPr>
            <w:tcW w:w="898" w:type="dxa"/>
            <w:vMerge/>
            <w:tcBorders>
              <w:top w:val="nil"/>
              <w:left w:val="single" w:sz="4" w:space="0" w:color="auto"/>
              <w:bottom w:val="single" w:sz="4" w:space="0" w:color="auto"/>
              <w:right w:val="single" w:sz="4" w:space="0" w:color="auto"/>
            </w:tcBorders>
            <w:vAlign w:val="center"/>
            <w:hideMark/>
          </w:tcPr>
          <w:p w:rsidR="00AF74E8" w:rsidRPr="00AF74E8" w:rsidRDefault="00AF74E8" w:rsidP="00AF74E8">
            <w:pPr>
              <w:spacing w:after="0" w:line="240" w:lineRule="auto"/>
              <w:rPr>
                <w:rFonts w:ascii="Arial" w:eastAsia="Times New Roman" w:hAnsi="Arial" w:cs="Arial"/>
                <w:color w:val="000000"/>
                <w:sz w:val="16"/>
                <w:szCs w:val="16"/>
              </w:rPr>
            </w:pPr>
          </w:p>
        </w:tc>
        <w:tc>
          <w:tcPr>
            <w:tcW w:w="14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08/25/2011</w:t>
            </w:r>
          </w:p>
        </w:tc>
        <w:tc>
          <w:tcPr>
            <w:tcW w:w="77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1298</w:t>
            </w:r>
          </w:p>
        </w:tc>
        <w:tc>
          <w:tcPr>
            <w:tcW w:w="99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346.6</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88.4</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25.5%</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449.9</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114.7</w:t>
            </w:r>
          </w:p>
        </w:tc>
        <w:tc>
          <w:tcPr>
            <w:tcW w:w="738"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93.2</w:t>
            </w:r>
          </w:p>
        </w:tc>
        <w:tc>
          <w:tcPr>
            <w:tcW w:w="106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color w:val="000000"/>
                <w:sz w:val="16"/>
                <w:szCs w:val="16"/>
              </w:rPr>
            </w:pPr>
            <w:r w:rsidRPr="00AF74E8">
              <w:rPr>
                <w:rFonts w:ascii="Arial" w:eastAsia="Times New Roman" w:hAnsi="Arial" w:cs="Arial"/>
                <w:color w:val="000000"/>
                <w:sz w:val="16"/>
                <w:szCs w:val="16"/>
              </w:rPr>
              <w:t>150.0</w:t>
            </w:r>
          </w:p>
        </w:tc>
      </w:tr>
      <w:tr w:rsidR="00AF74E8" w:rsidRPr="00AF74E8" w:rsidTr="0006539C">
        <w:trPr>
          <w:trHeight w:val="399"/>
        </w:trPr>
        <w:tc>
          <w:tcPr>
            <w:tcW w:w="898" w:type="dxa"/>
            <w:vMerge/>
            <w:tcBorders>
              <w:top w:val="nil"/>
              <w:left w:val="single" w:sz="4" w:space="0" w:color="auto"/>
              <w:bottom w:val="single" w:sz="4" w:space="0" w:color="auto"/>
              <w:right w:val="single" w:sz="4" w:space="0" w:color="auto"/>
            </w:tcBorders>
            <w:vAlign w:val="center"/>
            <w:hideMark/>
          </w:tcPr>
          <w:p w:rsidR="00AF74E8" w:rsidRPr="00AF74E8" w:rsidRDefault="00AF74E8" w:rsidP="00AF74E8">
            <w:pPr>
              <w:spacing w:after="0" w:line="240" w:lineRule="auto"/>
              <w:rPr>
                <w:rFonts w:ascii="Arial" w:eastAsia="Times New Roman" w:hAnsi="Arial" w:cs="Arial"/>
                <w:color w:val="000000"/>
                <w:sz w:val="16"/>
                <w:szCs w:val="16"/>
              </w:rPr>
            </w:pPr>
          </w:p>
        </w:tc>
        <w:tc>
          <w:tcPr>
            <w:tcW w:w="14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Average Event</w:t>
            </w:r>
          </w:p>
        </w:tc>
        <w:tc>
          <w:tcPr>
            <w:tcW w:w="77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885</w:t>
            </w:r>
          </w:p>
        </w:tc>
        <w:tc>
          <w:tcPr>
            <w:tcW w:w="99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337.9</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92.0</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27.2%</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299.1</w:t>
            </w:r>
          </w:p>
        </w:tc>
        <w:tc>
          <w:tcPr>
            <w:tcW w:w="1080"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81.4</w:t>
            </w:r>
          </w:p>
        </w:tc>
        <w:tc>
          <w:tcPr>
            <w:tcW w:w="738"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86.9</w:t>
            </w:r>
          </w:p>
        </w:tc>
        <w:tc>
          <w:tcPr>
            <w:tcW w:w="1062" w:type="dxa"/>
            <w:tcBorders>
              <w:top w:val="nil"/>
              <w:left w:val="nil"/>
              <w:bottom w:val="single" w:sz="4" w:space="0" w:color="auto"/>
              <w:right w:val="single" w:sz="4" w:space="0" w:color="auto"/>
            </w:tcBorders>
            <w:shd w:val="clear" w:color="auto" w:fill="auto"/>
            <w:noWrap/>
            <w:vAlign w:val="center"/>
            <w:hideMark/>
          </w:tcPr>
          <w:p w:rsidR="00AF74E8" w:rsidRPr="00AF74E8" w:rsidRDefault="00AF74E8" w:rsidP="00AF74E8">
            <w:pPr>
              <w:spacing w:after="0" w:line="240" w:lineRule="auto"/>
              <w:jc w:val="center"/>
              <w:rPr>
                <w:rFonts w:ascii="Arial" w:eastAsia="Times New Roman" w:hAnsi="Arial" w:cs="Arial"/>
                <w:b/>
                <w:bCs/>
                <w:color w:val="000000"/>
                <w:sz w:val="16"/>
                <w:szCs w:val="16"/>
              </w:rPr>
            </w:pPr>
            <w:r w:rsidRPr="00AF74E8">
              <w:rPr>
                <w:rFonts w:ascii="Arial" w:eastAsia="Times New Roman" w:hAnsi="Arial" w:cs="Arial"/>
                <w:b/>
                <w:bCs/>
                <w:color w:val="000000"/>
                <w:sz w:val="16"/>
                <w:szCs w:val="16"/>
              </w:rPr>
              <w:t>114.3</w:t>
            </w:r>
          </w:p>
        </w:tc>
      </w:tr>
    </w:tbl>
    <w:p w:rsidR="00A73F2B" w:rsidRDefault="0074470A">
      <w:pPr>
        <w:pStyle w:val="BodyParaAfterTableFigure"/>
        <w:spacing w:before="240"/>
      </w:pPr>
      <w:r>
        <w:t xml:space="preserve">Figure </w:t>
      </w:r>
      <w:r w:rsidR="00A52143">
        <w:t>5</w:t>
      </w:r>
      <w:r w:rsidR="00DC52BC" w:rsidRPr="00050374">
        <w:t xml:space="preserve">-1 shows the </w:t>
      </w:r>
      <w:r w:rsidR="006A5BED">
        <w:t xml:space="preserve">estimated </w:t>
      </w:r>
      <w:r w:rsidR="00DC52BC" w:rsidRPr="00050374">
        <w:t xml:space="preserve">hourly electricity patterns with and without DR on </w:t>
      </w:r>
      <w:r w:rsidR="003B182A">
        <w:t>July</w:t>
      </w:r>
      <w:r w:rsidR="003B182A" w:rsidRPr="00050374">
        <w:t xml:space="preserve"> 2</w:t>
      </w:r>
      <w:r w:rsidR="003B182A">
        <w:t>8</w:t>
      </w:r>
      <w:r w:rsidR="00DC52BC" w:rsidRPr="00050374">
        <w:t xml:space="preserve">, when </w:t>
      </w:r>
      <w:r w:rsidR="00F95446">
        <w:t>day-ahead</w:t>
      </w:r>
      <w:r w:rsidR="006A5CD5">
        <w:t xml:space="preserve"> </w:t>
      </w:r>
      <w:r>
        <w:t xml:space="preserve">resources were dispatched </w:t>
      </w:r>
      <w:r w:rsidR="0022241B">
        <w:t xml:space="preserve">in full and two of the three aggregators providing </w:t>
      </w:r>
      <w:r w:rsidR="006A5BED">
        <w:t>d</w:t>
      </w:r>
      <w:r w:rsidR="00F95446">
        <w:t>ay</w:t>
      </w:r>
      <w:r w:rsidR="006A5BED">
        <w:t>-of</w:t>
      </w:r>
      <w:r w:rsidR="00F95446">
        <w:t xml:space="preserve"> resource</w:t>
      </w:r>
      <w:r w:rsidR="0022241B">
        <w:t xml:space="preserve">s were dispatched. </w:t>
      </w:r>
      <w:r w:rsidR="00DC52BC" w:rsidRPr="00050374">
        <w:t xml:space="preserve"> </w:t>
      </w:r>
      <w:r>
        <w:t>Both</w:t>
      </w:r>
      <w:r w:rsidR="00DC52BC" w:rsidRPr="00050374">
        <w:t xml:space="preserve"> </w:t>
      </w:r>
      <w:r w:rsidR="00F95446">
        <w:t>day-ahead</w:t>
      </w:r>
      <w:r w:rsidR="00DC52BC" w:rsidRPr="00050374">
        <w:t xml:space="preserve"> and </w:t>
      </w:r>
      <w:r w:rsidR="00F95446">
        <w:t>day</w:t>
      </w:r>
      <w:r w:rsidR="006A5BED">
        <w:t>-of</w:t>
      </w:r>
      <w:r w:rsidR="00F95446">
        <w:t xml:space="preserve"> notification</w:t>
      </w:r>
      <w:r w:rsidR="00DC52BC" w:rsidRPr="00050374">
        <w:t xml:space="preserve"> resources started reducing load at least an </w:t>
      </w:r>
      <w:r w:rsidR="00DC52BC" w:rsidRPr="00050374">
        <w:lastRenderedPageBreak/>
        <w:t xml:space="preserve">hour before the event and sustained reduced demand levels for an hour or two after the event </w:t>
      </w:r>
      <w:proofErr w:type="gramStart"/>
      <w:r w:rsidR="00DC52BC" w:rsidRPr="00050374">
        <w:t>had</w:t>
      </w:r>
      <w:r w:rsidR="00D649A8" w:rsidRPr="00050374">
        <w:t xml:space="preserve"> </w:t>
      </w:r>
      <w:r w:rsidR="00D921E2">
        <w:t> </w:t>
      </w:r>
      <w:r w:rsidR="00DC52BC" w:rsidRPr="00050374">
        <w:t>concluded</w:t>
      </w:r>
      <w:proofErr w:type="gramEnd"/>
      <w:r w:rsidR="00DC52BC" w:rsidRPr="00050374">
        <w:t xml:space="preserve">. </w:t>
      </w:r>
    </w:p>
    <w:p w:rsidR="00DC52BC" w:rsidRPr="00050374" w:rsidRDefault="0074470A" w:rsidP="00BA25E2">
      <w:pPr>
        <w:pStyle w:val="TableFigureCaption"/>
      </w:pPr>
      <w:r>
        <w:t xml:space="preserve">Figure </w:t>
      </w:r>
      <w:r w:rsidR="00A52143">
        <w:t>5</w:t>
      </w:r>
      <w:r w:rsidR="00DC52BC" w:rsidRPr="00050374">
        <w:t>-1:</w:t>
      </w:r>
      <w:r w:rsidR="00877CA8">
        <w:t xml:space="preserve"> </w:t>
      </w:r>
      <w:r>
        <w:t>SCE DRRC</w:t>
      </w:r>
      <w:r w:rsidR="00DC52BC" w:rsidRPr="00050374">
        <w:t xml:space="preserve"> Hourly Impacts for </w:t>
      </w:r>
      <w:r>
        <w:t>July</w:t>
      </w:r>
      <w:r w:rsidR="00DC52BC" w:rsidRPr="00050374">
        <w:t xml:space="preserve"> 2</w:t>
      </w:r>
      <w:r>
        <w:t>8</w:t>
      </w:r>
      <w:r w:rsidR="00DC52BC" w:rsidRPr="00050374">
        <w:t>, 2011</w:t>
      </w:r>
    </w:p>
    <w:p w:rsidR="00D649A8" w:rsidRDefault="005310C6">
      <w:pPr>
        <w:pStyle w:val="BodyParagraph"/>
        <w:jc w:val="center"/>
        <w:rPr>
          <w:rStyle w:val="Strong"/>
          <w:rFonts w:ascii="Calibri" w:hAnsi="Calibri"/>
          <w:sz w:val="22"/>
        </w:rPr>
      </w:pPr>
      <w:r>
        <w:rPr>
          <w:b/>
          <w:noProof/>
        </w:rPr>
        <w:drawing>
          <wp:inline distT="0" distB="0" distL="0" distR="0">
            <wp:extent cx="2505075" cy="2286000"/>
            <wp:effectExtent l="19050" t="0" r="9525"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2505075" cy="2286000"/>
                    </a:xfrm>
                    <a:prstGeom prst="rect">
                      <a:avLst/>
                    </a:prstGeom>
                    <a:noFill/>
                    <a:ln w="9525">
                      <a:noFill/>
                      <a:miter lim="800000"/>
                      <a:headEnd/>
                      <a:tailEnd/>
                    </a:ln>
                  </pic:spPr>
                </pic:pic>
              </a:graphicData>
            </a:graphic>
          </wp:inline>
        </w:drawing>
      </w:r>
      <w:r>
        <w:rPr>
          <w:b/>
          <w:noProof/>
        </w:rPr>
        <w:drawing>
          <wp:inline distT="0" distB="0" distL="0" distR="0">
            <wp:extent cx="2505075" cy="2286000"/>
            <wp:effectExtent l="19050" t="0" r="9525"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2505075" cy="2286000"/>
                    </a:xfrm>
                    <a:prstGeom prst="rect">
                      <a:avLst/>
                    </a:prstGeom>
                    <a:noFill/>
                    <a:ln w="9525">
                      <a:noFill/>
                      <a:miter lim="800000"/>
                      <a:headEnd/>
                      <a:tailEnd/>
                    </a:ln>
                  </pic:spPr>
                </pic:pic>
              </a:graphicData>
            </a:graphic>
          </wp:inline>
        </w:drawing>
      </w:r>
    </w:p>
    <w:p w:rsidR="005310C6" w:rsidRDefault="006A5BED">
      <w:pPr>
        <w:pStyle w:val="Heading3"/>
        <w:spacing w:before="360"/>
      </w:pPr>
      <w:bookmarkStart w:id="238" w:name="_Toc320625164"/>
      <w:bookmarkStart w:id="239" w:name="_Toc320626095"/>
      <w:bookmarkStart w:id="240" w:name="_Toc320626907"/>
      <w:bookmarkStart w:id="241" w:name="_Toc320627147"/>
      <w:bookmarkStart w:id="242" w:name="_Toc320693163"/>
      <w:bookmarkStart w:id="243" w:name="_Toc320703040"/>
      <w:bookmarkStart w:id="244" w:name="_Toc326074023"/>
      <w:bookmarkEnd w:id="238"/>
      <w:bookmarkEnd w:id="239"/>
      <w:bookmarkEnd w:id="240"/>
      <w:bookmarkEnd w:id="241"/>
      <w:bookmarkEnd w:id="242"/>
      <w:bookmarkEnd w:id="243"/>
      <w:r>
        <w:t xml:space="preserve">DRRC </w:t>
      </w:r>
      <w:r w:rsidR="00DC52BC" w:rsidRPr="00050374">
        <w:t>Demand Reductions by Industry</w:t>
      </w:r>
      <w:bookmarkEnd w:id="244"/>
    </w:p>
    <w:p w:rsidR="00A73F2B" w:rsidRDefault="004F1C85">
      <w:pPr>
        <w:pStyle w:val="BodyParagraph"/>
      </w:pPr>
      <w:r>
        <w:t xml:space="preserve">Table </w:t>
      </w:r>
      <w:r w:rsidR="00A52143">
        <w:t>5</w:t>
      </w:r>
      <w:r w:rsidR="00DC52BC" w:rsidRPr="00050374">
        <w:t>-3 shows load impacts by industry</w:t>
      </w:r>
      <w:r w:rsidR="0022241B">
        <w:t xml:space="preserve"> for the average </w:t>
      </w:r>
      <w:r w:rsidR="006A5BED">
        <w:t xml:space="preserve">DRRC </w:t>
      </w:r>
      <w:r w:rsidR="0022241B">
        <w:t>event</w:t>
      </w:r>
      <w:r w:rsidR="00DC52BC" w:rsidRPr="00050374">
        <w:t xml:space="preserve">.  </w:t>
      </w:r>
      <w:r w:rsidR="00972E99">
        <w:t xml:space="preserve">Both the </w:t>
      </w:r>
      <w:r w:rsidR="00F95446">
        <w:t>day-ahead</w:t>
      </w:r>
      <w:r w:rsidR="00DC52BC" w:rsidRPr="00050374">
        <w:t xml:space="preserve"> </w:t>
      </w:r>
      <w:r w:rsidR="00972E99">
        <w:t xml:space="preserve">and </w:t>
      </w:r>
      <w:r w:rsidR="00F95446">
        <w:t>day-of</w:t>
      </w:r>
      <w:r w:rsidR="00972E99">
        <w:t xml:space="preserve"> </w:t>
      </w:r>
      <w:r w:rsidR="00DC52BC" w:rsidRPr="00050374">
        <w:t>resource</w:t>
      </w:r>
      <w:r w:rsidR="00972E99">
        <w:t xml:space="preserve"> categories have broad representation across the various industry segments, </w:t>
      </w:r>
      <w:r w:rsidR="00C14B96">
        <w:t xml:space="preserve">but </w:t>
      </w:r>
      <w:r w:rsidR="00972E99">
        <w:t xml:space="preserve">the percent of accounts and aggregate load reduction attributable to specific industries differ across the product lines.  For example, for the </w:t>
      </w:r>
      <w:r w:rsidR="00F95446">
        <w:t>day-ahead</w:t>
      </w:r>
      <w:r w:rsidR="00972E99">
        <w:t xml:space="preserve"> resource, </w:t>
      </w:r>
      <w:r w:rsidR="00F352FB">
        <w:t>Agriculture, Mining &amp; Construction account</w:t>
      </w:r>
      <w:r w:rsidR="0006539C">
        <w:t>ed</w:t>
      </w:r>
      <w:r w:rsidR="00F352FB">
        <w:t xml:space="preserve"> for </w:t>
      </w:r>
      <w:r w:rsidR="00954C6C">
        <w:t>35</w:t>
      </w:r>
      <w:r w:rsidR="00972E99">
        <w:t xml:space="preserve">% of enrollment and </w:t>
      </w:r>
      <w:r w:rsidR="00F352FB">
        <w:t>35% of aggregate load</w:t>
      </w:r>
      <w:r w:rsidR="00972E99">
        <w:t xml:space="preserve"> reduction.  This same industry account</w:t>
      </w:r>
      <w:r w:rsidR="0006539C">
        <w:t>ed</w:t>
      </w:r>
      <w:r w:rsidR="00972E99">
        <w:t xml:space="preserve"> for only </w:t>
      </w:r>
      <w:r w:rsidR="00954C6C">
        <w:t>4</w:t>
      </w:r>
      <w:r w:rsidR="00972E99">
        <w:t xml:space="preserve">% of total enrollment for </w:t>
      </w:r>
      <w:r w:rsidR="00F95446">
        <w:t>day-of</w:t>
      </w:r>
      <w:r w:rsidR="00954C6C">
        <w:t xml:space="preserve"> resources</w:t>
      </w:r>
      <w:r w:rsidR="00972E99">
        <w:t xml:space="preserve"> and </w:t>
      </w:r>
      <w:r w:rsidR="00954C6C">
        <w:t>4</w:t>
      </w:r>
      <w:r w:rsidR="00972E99">
        <w:t>% of aggregate demand response.  This industry produce</w:t>
      </w:r>
      <w:r w:rsidR="0006539C">
        <w:t>d</w:t>
      </w:r>
      <w:r w:rsidR="00972E99">
        <w:t xml:space="preserve"> an 86% average demand reduction on a </w:t>
      </w:r>
      <w:r w:rsidR="00F95446">
        <w:t>day-ahead</w:t>
      </w:r>
      <w:r w:rsidR="00972E99">
        <w:t xml:space="preserve"> basis </w:t>
      </w:r>
      <w:r w:rsidR="0006539C">
        <w:t xml:space="preserve">in 2011 </w:t>
      </w:r>
      <w:r w:rsidR="00972E99">
        <w:t xml:space="preserve">and a much smaller, although still quite impressive, 46% reduction on a </w:t>
      </w:r>
      <w:r w:rsidR="00F95446">
        <w:t>day-of</w:t>
      </w:r>
      <w:r w:rsidR="00972E99">
        <w:t xml:space="preserve"> basis.  </w:t>
      </w:r>
    </w:p>
    <w:p w:rsidR="00A73F2B" w:rsidRDefault="000F185F">
      <w:pPr>
        <w:pStyle w:val="BodyParagraph"/>
      </w:pPr>
      <w:r>
        <w:t xml:space="preserve">Water Districts </w:t>
      </w:r>
      <w:r w:rsidR="0006539C">
        <w:t>we</w:t>
      </w:r>
      <w:r>
        <w:t xml:space="preserve">re the largest contributor to aggregate demand response for the </w:t>
      </w:r>
      <w:r w:rsidR="00F95446">
        <w:t>day-of</w:t>
      </w:r>
      <w:r>
        <w:t xml:space="preserve"> resource. </w:t>
      </w:r>
      <w:r w:rsidR="006A5BED">
        <w:t xml:space="preserve"> With an average load impact</w:t>
      </w:r>
      <w:r>
        <w:t xml:space="preserve"> of 66%, these accounts provided 37% of the </w:t>
      </w:r>
      <w:r w:rsidR="00C14B96">
        <w:t xml:space="preserve">same day </w:t>
      </w:r>
      <w:r>
        <w:t>load reduction</w:t>
      </w:r>
      <w:r w:rsidR="00C14B96">
        <w:t>s</w:t>
      </w:r>
      <w:r>
        <w:t xml:space="preserve">.  On a </w:t>
      </w:r>
      <w:r w:rsidR="00F95446">
        <w:t>day-ahead</w:t>
      </w:r>
      <w:r>
        <w:t xml:space="preserve"> basis, </w:t>
      </w:r>
      <w:r w:rsidR="0006539C">
        <w:t>W</w:t>
      </w:r>
      <w:r>
        <w:t xml:space="preserve">ater </w:t>
      </w:r>
      <w:r w:rsidR="0006539C">
        <w:t>D</w:t>
      </w:r>
      <w:r>
        <w:t xml:space="preserve">istricts are able to almost completely shed their dedicated load, producing a 94% average load reduction and accounting for about 20% of the average aggregate </w:t>
      </w:r>
      <w:r w:rsidR="00F95446">
        <w:t>day-ahead</w:t>
      </w:r>
      <w:r>
        <w:t xml:space="preserve"> load</w:t>
      </w:r>
      <w:r w:rsidR="006B7BA6">
        <w:t> </w:t>
      </w:r>
      <w:r>
        <w:t xml:space="preserve">reduction.   </w:t>
      </w:r>
    </w:p>
    <w:p w:rsidR="00A73F2B" w:rsidRDefault="00AA39FA">
      <w:pPr>
        <w:pStyle w:val="BodyParagraph"/>
      </w:pPr>
      <w:r>
        <w:br w:type="page"/>
      </w:r>
    </w:p>
    <w:p w:rsidR="00DC52BC" w:rsidRDefault="007821EF" w:rsidP="00BA25E2">
      <w:pPr>
        <w:pStyle w:val="TableFigureCaption"/>
        <w:rPr>
          <w:rStyle w:val="Strong"/>
          <w:b/>
          <w:bCs w:val="0"/>
        </w:rPr>
      </w:pPr>
      <w:r>
        <w:rPr>
          <w:rStyle w:val="Strong"/>
          <w:b/>
          <w:bCs w:val="0"/>
        </w:rPr>
        <w:lastRenderedPageBreak/>
        <w:t xml:space="preserve">Table </w:t>
      </w:r>
      <w:r w:rsidR="00A52143">
        <w:rPr>
          <w:rStyle w:val="Strong"/>
          <w:b/>
          <w:bCs w:val="0"/>
        </w:rPr>
        <w:t>5</w:t>
      </w:r>
      <w:r w:rsidR="00DC52BC" w:rsidRPr="00050374">
        <w:rPr>
          <w:rStyle w:val="Strong"/>
          <w:b/>
          <w:bCs w:val="0"/>
        </w:rPr>
        <w:t>-3:</w:t>
      </w:r>
      <w:r w:rsidR="00877CA8">
        <w:rPr>
          <w:rStyle w:val="Strong"/>
          <w:b/>
          <w:bCs w:val="0"/>
        </w:rPr>
        <w:t xml:space="preserve"> </w:t>
      </w:r>
      <w:r w:rsidR="00DC52BC" w:rsidRPr="00050374">
        <w:rPr>
          <w:rStyle w:val="Strong"/>
          <w:b/>
          <w:bCs w:val="0"/>
        </w:rPr>
        <w:t>Estimated Ex Post Load Impacts by Industry</w:t>
      </w:r>
      <w:r w:rsidR="00DC52BC" w:rsidRPr="00050374">
        <w:rPr>
          <w:rStyle w:val="Strong"/>
          <w:b/>
          <w:bCs w:val="0"/>
        </w:rPr>
        <w:br/>
        <w:t xml:space="preserve">Average 2011 </w:t>
      </w:r>
      <w:r w:rsidR="00F352FB">
        <w:rPr>
          <w:rStyle w:val="Strong"/>
          <w:b/>
          <w:bCs w:val="0"/>
        </w:rPr>
        <w:t>SCE DRRC</w:t>
      </w:r>
      <w:r w:rsidR="00DC52BC" w:rsidRPr="00050374">
        <w:rPr>
          <w:rStyle w:val="Strong"/>
          <w:b/>
          <w:bCs w:val="0"/>
        </w:rPr>
        <w:t xml:space="preserve"> Event</w:t>
      </w:r>
    </w:p>
    <w:tbl>
      <w:tblPr>
        <w:tblW w:w="4811" w:type="pct"/>
        <w:tblLayout w:type="fixed"/>
        <w:tblLook w:val="04A0"/>
      </w:tblPr>
      <w:tblGrid>
        <w:gridCol w:w="852"/>
        <w:gridCol w:w="2521"/>
        <w:gridCol w:w="631"/>
        <w:gridCol w:w="896"/>
        <w:gridCol w:w="871"/>
        <w:gridCol w:w="882"/>
        <w:gridCol w:w="878"/>
        <w:gridCol w:w="878"/>
        <w:gridCol w:w="680"/>
      </w:tblGrid>
      <w:tr w:rsidR="002B1DFB" w:rsidRPr="00FB2B36" w:rsidTr="00AF74E8">
        <w:trPr>
          <w:trHeight w:val="816"/>
        </w:trPr>
        <w:tc>
          <w:tcPr>
            <w:tcW w:w="469" w:type="pct"/>
            <w:tcBorders>
              <w:top w:val="single" w:sz="4" w:space="0" w:color="auto"/>
              <w:left w:val="single" w:sz="4" w:space="0" w:color="auto"/>
              <w:bottom w:val="single" w:sz="4" w:space="0" w:color="auto"/>
              <w:right w:val="single" w:sz="4" w:space="0" w:color="FFFFFF"/>
            </w:tcBorders>
            <w:shd w:val="clear" w:color="000000" w:fill="1F497D" w:themeFill="text2"/>
            <w:tcMar>
              <w:left w:w="43" w:type="dxa"/>
              <w:right w:w="43" w:type="dxa"/>
            </w:tcMar>
            <w:vAlign w:val="center"/>
            <w:hideMark/>
          </w:tcPr>
          <w:p w:rsidR="00FB2B36" w:rsidRPr="00FB2B36" w:rsidRDefault="00FB2B36" w:rsidP="006B7BA6">
            <w:pPr>
              <w:spacing w:after="0" w:line="240" w:lineRule="auto"/>
              <w:jc w:val="center"/>
              <w:rPr>
                <w:rFonts w:ascii="Arial" w:eastAsia="Times New Roman" w:hAnsi="Arial" w:cs="Arial"/>
                <w:b/>
                <w:bCs/>
                <w:color w:val="FFFFFF"/>
                <w:sz w:val="16"/>
                <w:szCs w:val="16"/>
              </w:rPr>
            </w:pPr>
            <w:r w:rsidRPr="00FB2B36">
              <w:rPr>
                <w:rFonts w:ascii="Arial" w:eastAsia="Times New Roman" w:hAnsi="Arial" w:cs="Arial"/>
                <w:b/>
                <w:bCs/>
                <w:color w:val="FFFFFF"/>
                <w:sz w:val="16"/>
                <w:szCs w:val="16"/>
              </w:rPr>
              <w:t>Program</w:t>
            </w:r>
          </w:p>
        </w:tc>
        <w:tc>
          <w:tcPr>
            <w:tcW w:w="1387"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FB2B36" w:rsidRPr="00FB2B36" w:rsidRDefault="00FB2B36" w:rsidP="006B7BA6">
            <w:pPr>
              <w:spacing w:after="0" w:line="240" w:lineRule="auto"/>
              <w:jc w:val="center"/>
              <w:rPr>
                <w:rFonts w:ascii="Arial" w:eastAsia="Times New Roman" w:hAnsi="Arial" w:cs="Arial"/>
                <w:b/>
                <w:bCs/>
                <w:color w:val="FFFFFF"/>
                <w:sz w:val="16"/>
                <w:szCs w:val="16"/>
              </w:rPr>
            </w:pPr>
            <w:r w:rsidRPr="00FB2B36">
              <w:rPr>
                <w:rFonts w:ascii="Arial" w:eastAsia="Times New Roman" w:hAnsi="Arial" w:cs="Arial"/>
                <w:b/>
                <w:bCs/>
                <w:color w:val="FFFFFF"/>
                <w:sz w:val="16"/>
                <w:szCs w:val="16"/>
              </w:rPr>
              <w:t>Industry</w:t>
            </w:r>
          </w:p>
        </w:tc>
        <w:tc>
          <w:tcPr>
            <w:tcW w:w="347"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FB2B36" w:rsidRPr="00FB2B36" w:rsidRDefault="00FB2B36" w:rsidP="006B7BA6">
            <w:pPr>
              <w:spacing w:after="0" w:line="240" w:lineRule="auto"/>
              <w:jc w:val="center"/>
              <w:rPr>
                <w:rFonts w:ascii="Arial" w:eastAsia="Times New Roman" w:hAnsi="Arial" w:cs="Arial"/>
                <w:b/>
                <w:bCs/>
                <w:color w:val="FFFFFF"/>
                <w:sz w:val="16"/>
                <w:szCs w:val="16"/>
              </w:rPr>
            </w:pPr>
            <w:r w:rsidRPr="00FB2B36">
              <w:rPr>
                <w:rFonts w:ascii="Arial" w:eastAsia="Times New Roman" w:hAnsi="Arial" w:cs="Arial"/>
                <w:b/>
                <w:bCs/>
                <w:color w:val="FFFFFF"/>
                <w:sz w:val="16"/>
                <w:szCs w:val="16"/>
              </w:rPr>
              <w:t>Accts</w:t>
            </w:r>
          </w:p>
        </w:tc>
        <w:tc>
          <w:tcPr>
            <w:tcW w:w="493"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E41E27" w:rsidRDefault="00FB2B36" w:rsidP="006B7BA6">
            <w:pPr>
              <w:spacing w:after="0" w:line="240" w:lineRule="auto"/>
              <w:jc w:val="center"/>
              <w:rPr>
                <w:rFonts w:ascii="Arial" w:eastAsia="Times New Roman" w:hAnsi="Arial" w:cs="Arial"/>
                <w:b/>
                <w:bCs/>
                <w:color w:val="FFFFFF"/>
                <w:sz w:val="16"/>
                <w:szCs w:val="16"/>
              </w:rPr>
            </w:pPr>
            <w:r w:rsidRPr="00FB2B36">
              <w:rPr>
                <w:rFonts w:ascii="Arial" w:eastAsia="Times New Roman" w:hAnsi="Arial" w:cs="Arial"/>
                <w:b/>
                <w:bCs/>
                <w:color w:val="FFFFFF"/>
                <w:sz w:val="16"/>
                <w:szCs w:val="16"/>
              </w:rPr>
              <w:t xml:space="preserve">Avg. Reference Load </w:t>
            </w:r>
          </w:p>
          <w:p w:rsidR="00FB2B36" w:rsidRPr="00FB2B36" w:rsidRDefault="00FB2B36" w:rsidP="006B7BA6">
            <w:pPr>
              <w:spacing w:after="0" w:line="240" w:lineRule="auto"/>
              <w:jc w:val="center"/>
              <w:rPr>
                <w:rFonts w:ascii="Arial" w:eastAsia="Times New Roman" w:hAnsi="Arial" w:cs="Arial"/>
                <w:b/>
                <w:bCs/>
                <w:color w:val="FFFFFF"/>
                <w:sz w:val="16"/>
                <w:szCs w:val="16"/>
              </w:rPr>
            </w:pPr>
            <w:r w:rsidRPr="00FB2B36">
              <w:rPr>
                <w:rFonts w:ascii="Arial" w:eastAsia="Times New Roman" w:hAnsi="Arial" w:cs="Arial"/>
                <w:b/>
                <w:bCs/>
                <w:color w:val="FFFFFF"/>
                <w:sz w:val="16"/>
                <w:szCs w:val="16"/>
              </w:rPr>
              <w:t>(kW)</w:t>
            </w:r>
          </w:p>
        </w:tc>
        <w:tc>
          <w:tcPr>
            <w:tcW w:w="479"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FB2B36" w:rsidRPr="00FB2B36" w:rsidRDefault="00FB2B36" w:rsidP="006B7BA6">
            <w:pPr>
              <w:spacing w:after="0" w:line="240" w:lineRule="auto"/>
              <w:jc w:val="center"/>
              <w:rPr>
                <w:rFonts w:ascii="Arial" w:eastAsia="Times New Roman" w:hAnsi="Arial" w:cs="Arial"/>
                <w:b/>
                <w:bCs/>
                <w:color w:val="FFFFFF"/>
                <w:sz w:val="16"/>
                <w:szCs w:val="16"/>
              </w:rPr>
            </w:pPr>
            <w:r w:rsidRPr="00FB2B36">
              <w:rPr>
                <w:rFonts w:ascii="Arial" w:eastAsia="Times New Roman" w:hAnsi="Arial" w:cs="Arial"/>
                <w:b/>
                <w:bCs/>
                <w:color w:val="FFFFFF"/>
                <w:sz w:val="16"/>
                <w:szCs w:val="16"/>
              </w:rPr>
              <w:t>Average Load Reduction (kW)</w:t>
            </w:r>
          </w:p>
        </w:tc>
        <w:tc>
          <w:tcPr>
            <w:tcW w:w="485"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FB2B36" w:rsidRPr="00FB2B36" w:rsidRDefault="00FB2B36" w:rsidP="006B7BA6">
            <w:pPr>
              <w:spacing w:after="0" w:line="240" w:lineRule="auto"/>
              <w:jc w:val="center"/>
              <w:rPr>
                <w:rFonts w:ascii="Arial" w:eastAsia="Times New Roman" w:hAnsi="Arial" w:cs="Arial"/>
                <w:b/>
                <w:bCs/>
                <w:color w:val="FFFFFF"/>
                <w:sz w:val="16"/>
                <w:szCs w:val="16"/>
              </w:rPr>
            </w:pPr>
            <w:r w:rsidRPr="00FB2B36">
              <w:rPr>
                <w:rFonts w:ascii="Arial" w:eastAsia="Times New Roman" w:hAnsi="Arial" w:cs="Arial"/>
                <w:b/>
                <w:bCs/>
                <w:color w:val="FFFFFF"/>
                <w:sz w:val="16"/>
                <w:szCs w:val="16"/>
              </w:rPr>
              <w:t>% Load Reduction</w:t>
            </w:r>
          </w:p>
        </w:tc>
        <w:tc>
          <w:tcPr>
            <w:tcW w:w="483"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FB2B36" w:rsidRPr="00FB2B36" w:rsidRDefault="00FB2B36" w:rsidP="006B7BA6">
            <w:pPr>
              <w:spacing w:after="0" w:line="240" w:lineRule="auto"/>
              <w:jc w:val="center"/>
              <w:rPr>
                <w:rFonts w:ascii="Arial" w:eastAsia="Times New Roman" w:hAnsi="Arial" w:cs="Arial"/>
                <w:b/>
                <w:bCs/>
                <w:color w:val="FFFFFF"/>
                <w:sz w:val="16"/>
                <w:szCs w:val="16"/>
              </w:rPr>
            </w:pPr>
            <w:r w:rsidRPr="00FB2B36">
              <w:rPr>
                <w:rFonts w:ascii="Arial" w:eastAsia="Times New Roman" w:hAnsi="Arial" w:cs="Arial"/>
                <w:b/>
                <w:bCs/>
                <w:color w:val="FFFFFF"/>
                <w:sz w:val="16"/>
                <w:szCs w:val="16"/>
              </w:rPr>
              <w:t>Aggregate Reference Load (MW)</w:t>
            </w:r>
          </w:p>
        </w:tc>
        <w:tc>
          <w:tcPr>
            <w:tcW w:w="483"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FB2B36" w:rsidRPr="00FB2B36" w:rsidRDefault="00FB2B36" w:rsidP="006B7BA6">
            <w:pPr>
              <w:spacing w:after="0" w:line="240" w:lineRule="auto"/>
              <w:jc w:val="center"/>
              <w:rPr>
                <w:rFonts w:ascii="Arial" w:eastAsia="Times New Roman" w:hAnsi="Arial" w:cs="Arial"/>
                <w:b/>
                <w:bCs/>
                <w:color w:val="FFFFFF"/>
                <w:sz w:val="16"/>
                <w:szCs w:val="16"/>
              </w:rPr>
            </w:pPr>
            <w:r w:rsidRPr="00FB2B36">
              <w:rPr>
                <w:rFonts w:ascii="Arial" w:eastAsia="Times New Roman" w:hAnsi="Arial" w:cs="Arial"/>
                <w:b/>
                <w:bCs/>
                <w:color w:val="FFFFFF"/>
                <w:sz w:val="16"/>
                <w:szCs w:val="16"/>
              </w:rPr>
              <w:t>Aggregate Load Impact (MW)</w:t>
            </w:r>
          </w:p>
        </w:tc>
        <w:tc>
          <w:tcPr>
            <w:tcW w:w="374" w:type="pct"/>
            <w:tcBorders>
              <w:top w:val="single" w:sz="4" w:space="0" w:color="auto"/>
              <w:left w:val="nil"/>
              <w:bottom w:val="single" w:sz="4" w:space="0" w:color="auto"/>
              <w:right w:val="single" w:sz="4" w:space="0" w:color="auto"/>
            </w:tcBorders>
            <w:shd w:val="clear" w:color="000000" w:fill="1F497D" w:themeFill="text2"/>
            <w:tcMar>
              <w:left w:w="43" w:type="dxa"/>
              <w:right w:w="43" w:type="dxa"/>
            </w:tcMar>
            <w:vAlign w:val="center"/>
            <w:hideMark/>
          </w:tcPr>
          <w:p w:rsidR="00FB2B36" w:rsidRPr="00FB2B36" w:rsidRDefault="00FB2B36" w:rsidP="006B7BA6">
            <w:pPr>
              <w:spacing w:after="0" w:line="240" w:lineRule="auto"/>
              <w:jc w:val="center"/>
              <w:rPr>
                <w:rFonts w:ascii="Arial" w:eastAsia="Times New Roman" w:hAnsi="Arial" w:cs="Arial"/>
                <w:b/>
                <w:bCs/>
                <w:color w:val="FFFFFF"/>
                <w:sz w:val="16"/>
                <w:szCs w:val="16"/>
              </w:rPr>
            </w:pPr>
            <w:r w:rsidRPr="00FB2B36">
              <w:rPr>
                <w:rFonts w:ascii="Arial" w:eastAsia="Times New Roman" w:hAnsi="Arial" w:cs="Arial"/>
                <w:b/>
                <w:bCs/>
                <w:color w:val="FFFFFF"/>
                <w:sz w:val="16"/>
                <w:szCs w:val="16"/>
              </w:rPr>
              <w:t>Avg. Temp During Event</w:t>
            </w:r>
          </w:p>
        </w:tc>
      </w:tr>
      <w:tr w:rsidR="00FB2B36" w:rsidRPr="00FB2B36" w:rsidTr="00AF74E8">
        <w:trPr>
          <w:trHeight w:val="396"/>
        </w:trPr>
        <w:tc>
          <w:tcPr>
            <w:tcW w:w="469" w:type="pct"/>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DRRC-DA </w:t>
            </w: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All Customers</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275</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228.1</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63.2</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28%</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62.7</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17.4</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86.4</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Agriculture, Mining &amp; Construction</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95</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74.1</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63.8</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86%</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7.0</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6.1</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88.7</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Institutional/Government</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3</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93.5</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46.7</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50%</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0.3</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0.1</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78.1</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Manufacturing</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16</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569.5</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238.2</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42%</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9.1</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3.8</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83.6</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Offices, Finance, Services, Hotels and Apartment Buildings</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18</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426.2</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9.1</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2%</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7.7</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0.2</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70.1</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Other or </w:t>
            </w:r>
            <w:r w:rsidR="0006539C">
              <w:rPr>
                <w:rFonts w:ascii="Arial" w:eastAsia="Times New Roman" w:hAnsi="Arial" w:cs="Arial"/>
                <w:color w:val="000000"/>
                <w:sz w:val="16"/>
                <w:szCs w:val="16"/>
              </w:rPr>
              <w:t>U</w:t>
            </w:r>
            <w:r w:rsidRPr="00FB2B36">
              <w:rPr>
                <w:rFonts w:ascii="Arial" w:eastAsia="Times New Roman" w:hAnsi="Arial" w:cs="Arial"/>
                <w:color w:val="000000"/>
                <w:sz w:val="16"/>
                <w:szCs w:val="16"/>
              </w:rPr>
              <w:t>nknown</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4</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60.7</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59.7</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98%</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0.2</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0.2</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97.8</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Retail stores</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85</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269.9</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30.2</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11%</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22.9</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2.6</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84.8</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Water Districts (including Sewerage and Irrigation)</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47</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79.1</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74.0</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94%</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3.7</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3.5</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90.9</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Wholesale, Transport, </w:t>
            </w:r>
            <w:r w:rsidR="0006539C">
              <w:rPr>
                <w:rFonts w:ascii="Arial" w:eastAsia="Times New Roman" w:hAnsi="Arial" w:cs="Arial"/>
                <w:color w:val="000000"/>
                <w:sz w:val="16"/>
                <w:szCs w:val="16"/>
              </w:rPr>
              <w:t>O</w:t>
            </w:r>
            <w:r w:rsidRPr="00FB2B36">
              <w:rPr>
                <w:rFonts w:ascii="Arial" w:eastAsia="Times New Roman" w:hAnsi="Arial" w:cs="Arial"/>
                <w:color w:val="000000"/>
                <w:sz w:val="16"/>
                <w:szCs w:val="16"/>
              </w:rPr>
              <w:t xml:space="preserve">ther </w:t>
            </w:r>
            <w:r w:rsidR="0006539C">
              <w:rPr>
                <w:rFonts w:ascii="Arial" w:eastAsia="Times New Roman" w:hAnsi="Arial" w:cs="Arial"/>
                <w:color w:val="000000"/>
                <w:sz w:val="16"/>
                <w:szCs w:val="16"/>
              </w:rPr>
              <w:t>U</w:t>
            </w:r>
            <w:r w:rsidRPr="00FB2B36">
              <w:rPr>
                <w:rFonts w:ascii="Arial" w:eastAsia="Times New Roman" w:hAnsi="Arial" w:cs="Arial"/>
                <w:color w:val="000000"/>
                <w:sz w:val="16"/>
                <w:szCs w:val="16"/>
              </w:rPr>
              <w:t>tilities</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1475.1</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122.5</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11.8</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1.0</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87.8</w:t>
            </w:r>
          </w:p>
        </w:tc>
      </w:tr>
      <w:tr w:rsidR="00FB2B36" w:rsidRPr="00FB2B36" w:rsidTr="00AF74E8">
        <w:trPr>
          <w:trHeight w:val="396"/>
        </w:trPr>
        <w:tc>
          <w:tcPr>
            <w:tcW w:w="469" w:type="pct"/>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DRRC-DO </w:t>
            </w: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All Customers</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885</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332.9</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91.9</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28%</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294.6</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81.4</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b/>
                <w:bCs/>
                <w:color w:val="000000"/>
                <w:sz w:val="16"/>
                <w:szCs w:val="16"/>
              </w:rPr>
            </w:pPr>
            <w:r w:rsidRPr="00FB2B36">
              <w:rPr>
                <w:rFonts w:ascii="Arial" w:eastAsia="Times New Roman" w:hAnsi="Arial" w:cs="Arial"/>
                <w:b/>
                <w:bCs/>
                <w:color w:val="000000"/>
                <w:sz w:val="16"/>
                <w:szCs w:val="16"/>
              </w:rPr>
              <w:t>87.0</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Agriculture, Mining &amp; Construction</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36</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185.4</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84.4</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46%</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6.7</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3.0</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90.3</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Institutional/Government</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9</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880.7</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80.2</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9%</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7.9</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0.7</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82.9</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Manufacturing</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70</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839.5</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249.0</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30%</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58.8</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17.4</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82.6</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Offices, Finance, Services, Hotels and Apartment Buildings</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55</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387.6</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100.0</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26%</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21.3</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5.5</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83.8</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Retail stores</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400</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281.0</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33.4</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12%</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112.4</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13.3</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85.5</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Schools</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15</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1975.8</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195.9</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10%</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29.6</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2.9</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81.2</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Water Districts (including Sewerage and Irrigation)</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273</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166.6</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109.9</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66%</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45.5</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30.0</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91.2</w:t>
            </w:r>
          </w:p>
        </w:tc>
      </w:tr>
      <w:tr w:rsidR="00FB2B36" w:rsidRPr="00FB2B36" w:rsidTr="00AF74E8">
        <w:trPr>
          <w:trHeight w:val="396"/>
        </w:trPr>
        <w:tc>
          <w:tcPr>
            <w:tcW w:w="469"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FB2B36" w:rsidRPr="00FB2B36" w:rsidRDefault="00FB2B36" w:rsidP="00FB2B36">
            <w:pPr>
              <w:spacing w:after="0" w:line="240" w:lineRule="auto"/>
              <w:rPr>
                <w:rFonts w:ascii="Arial" w:eastAsia="Times New Roman" w:hAnsi="Arial" w:cs="Arial"/>
                <w:color w:val="000000"/>
                <w:sz w:val="16"/>
                <w:szCs w:val="16"/>
              </w:rPr>
            </w:pPr>
          </w:p>
        </w:tc>
        <w:tc>
          <w:tcPr>
            <w:tcW w:w="138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 xml:space="preserve"> Wholesale, Transport, other utilities</w:t>
            </w:r>
          </w:p>
        </w:tc>
        <w:tc>
          <w:tcPr>
            <w:tcW w:w="34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28</w:t>
            </w:r>
          </w:p>
        </w:tc>
        <w:tc>
          <w:tcPr>
            <w:tcW w:w="49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478.8</w:t>
            </w:r>
          </w:p>
        </w:tc>
        <w:tc>
          <w:tcPr>
            <w:tcW w:w="47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309.1</w:t>
            </w:r>
          </w:p>
        </w:tc>
        <w:tc>
          <w:tcPr>
            <w:tcW w:w="485"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65%</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13.4</w:t>
            </w:r>
          </w:p>
        </w:tc>
        <w:tc>
          <w:tcPr>
            <w:tcW w:w="48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8.7</w:t>
            </w:r>
          </w:p>
        </w:tc>
        <w:tc>
          <w:tcPr>
            <w:tcW w:w="374"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FB2B36" w:rsidRPr="00FB2B36" w:rsidRDefault="00FB2B36" w:rsidP="00FB2B36">
            <w:pPr>
              <w:spacing w:after="0" w:line="240" w:lineRule="auto"/>
              <w:jc w:val="center"/>
              <w:rPr>
                <w:rFonts w:ascii="Arial" w:eastAsia="Times New Roman" w:hAnsi="Arial" w:cs="Arial"/>
                <w:color w:val="000000"/>
                <w:sz w:val="16"/>
                <w:szCs w:val="16"/>
              </w:rPr>
            </w:pPr>
            <w:r w:rsidRPr="00FB2B36">
              <w:rPr>
                <w:rFonts w:ascii="Arial" w:eastAsia="Times New Roman" w:hAnsi="Arial" w:cs="Arial"/>
                <w:color w:val="000000"/>
                <w:sz w:val="16"/>
                <w:szCs w:val="16"/>
              </w:rPr>
              <w:t>82.5</w:t>
            </w:r>
          </w:p>
        </w:tc>
      </w:tr>
    </w:tbl>
    <w:p w:rsidR="009555F5" w:rsidRDefault="00AF74E8">
      <w:pPr>
        <w:pStyle w:val="BodyParaAfterTableFigure"/>
      </w:pPr>
      <w:r>
        <w:t xml:space="preserve">The percent of total participation associated with </w:t>
      </w:r>
      <w:r w:rsidR="0006539C">
        <w:t>R</w:t>
      </w:r>
      <w:r>
        <w:t xml:space="preserve">etail </w:t>
      </w:r>
      <w:r w:rsidR="0006539C">
        <w:t>S</w:t>
      </w:r>
      <w:r>
        <w:t>tore accounts is significant for both day-ahead and day-of resources.  Retail stores account</w:t>
      </w:r>
      <w:r w:rsidR="0006539C">
        <w:t>ed</w:t>
      </w:r>
      <w:r>
        <w:t xml:space="preserve"> for </w:t>
      </w:r>
      <w:r w:rsidR="00954C6C">
        <w:t>31</w:t>
      </w:r>
      <w:r>
        <w:t xml:space="preserve">% of participation in the day-ahead resource and </w:t>
      </w:r>
      <w:r w:rsidR="00954C6C">
        <w:t>45</w:t>
      </w:r>
      <w:r>
        <w:t>% in the day-of resource, but provide</w:t>
      </w:r>
      <w:r w:rsidR="0006539C">
        <w:t>d</w:t>
      </w:r>
      <w:r>
        <w:t xml:space="preserve"> smaller percent load reductions.  Retail stores account</w:t>
      </w:r>
      <w:r w:rsidR="0006539C">
        <w:t>ed</w:t>
      </w:r>
      <w:r>
        <w:t xml:space="preserve"> for </w:t>
      </w:r>
      <w:r w:rsidR="00954C6C">
        <w:t>15</w:t>
      </w:r>
      <w:r>
        <w:t xml:space="preserve">% of aggregate load reduction in the day-ahead category and </w:t>
      </w:r>
      <w:r w:rsidR="00954C6C">
        <w:t>16</w:t>
      </w:r>
      <w:r>
        <w:t>% in the day-of category.  Manufacturing ha</w:t>
      </w:r>
      <w:r w:rsidR="0006539C">
        <w:t>d</w:t>
      </w:r>
      <w:r>
        <w:t xml:space="preserve"> relatively few accounts in both resource categories but these accounts are large and make a significant contribution to both product lines, accounting for </w:t>
      </w:r>
      <w:r w:rsidR="00954C6C">
        <w:t>22</w:t>
      </w:r>
      <w:r>
        <w:t>% of aggregate reduction for the day-ahead resource and 21% of aggregate reduction for the day-of resource.</w:t>
      </w:r>
    </w:p>
    <w:p w:rsidR="005310C6" w:rsidRDefault="00E41E27">
      <w:pPr>
        <w:pStyle w:val="Heading3"/>
      </w:pPr>
      <w:bookmarkStart w:id="245" w:name="_Toc326074024"/>
      <w:r>
        <w:t xml:space="preserve">DRRC </w:t>
      </w:r>
      <w:r w:rsidR="00DC52BC" w:rsidRPr="00050374">
        <w:t xml:space="preserve">Demand Reductions by </w:t>
      </w:r>
      <w:r w:rsidR="00D90A33">
        <w:t>L</w:t>
      </w:r>
      <w:r>
        <w:t>ocal Capacity Area</w:t>
      </w:r>
      <w:bookmarkEnd w:id="245"/>
    </w:p>
    <w:p w:rsidR="00DC52BC" w:rsidRPr="00050374" w:rsidRDefault="00F0171E" w:rsidP="00DC52BC">
      <w:pPr>
        <w:pStyle w:val="BodyParagraph"/>
      </w:pPr>
      <w:r>
        <w:t xml:space="preserve">Table </w:t>
      </w:r>
      <w:r w:rsidR="00A52143">
        <w:t>5</w:t>
      </w:r>
      <w:r w:rsidR="00DC52BC" w:rsidRPr="00050374">
        <w:t xml:space="preserve">-4 shows load impacts by </w:t>
      </w:r>
      <w:r w:rsidR="00EF1C99">
        <w:t>local capacity area.</w:t>
      </w:r>
      <w:r w:rsidR="009C3A3B">
        <w:t xml:space="preserve"> </w:t>
      </w:r>
      <w:r w:rsidR="00E41E27">
        <w:t xml:space="preserve"> </w:t>
      </w:r>
      <w:r w:rsidR="009C3A3B">
        <w:t>L</w:t>
      </w:r>
      <w:r w:rsidR="0006539C">
        <w:t>CAs</w:t>
      </w:r>
      <w:r w:rsidR="009C3A3B">
        <w:t xml:space="preserve"> reflect transmission constraints and the location of generators, which determine where resources are needed.</w:t>
      </w:r>
      <w:r w:rsidR="00EF1C99">
        <w:t xml:space="preserve">  </w:t>
      </w:r>
      <w:r w:rsidR="009C3A3B">
        <w:t xml:space="preserve">Not surprisingly, </w:t>
      </w:r>
      <w:r w:rsidR="00EF1C99">
        <w:t>the Los Angeles basin account</w:t>
      </w:r>
      <w:r w:rsidR="0006539C">
        <w:t>ed</w:t>
      </w:r>
      <w:r w:rsidR="00EF1C99">
        <w:t xml:space="preserve"> for the </w:t>
      </w:r>
      <w:r w:rsidR="00E41E27">
        <w:t xml:space="preserve">vast majority </w:t>
      </w:r>
      <w:r w:rsidR="00EF1C99">
        <w:t>of customers and load impacts</w:t>
      </w:r>
      <w:r w:rsidR="009C3A3B">
        <w:t xml:space="preserve"> for both </w:t>
      </w:r>
      <w:r w:rsidR="00F95446">
        <w:t>day-ahead</w:t>
      </w:r>
      <w:r w:rsidR="009C3A3B">
        <w:t xml:space="preserve"> and </w:t>
      </w:r>
      <w:r w:rsidR="00F95446">
        <w:t>day</w:t>
      </w:r>
      <w:r w:rsidR="00E41E27">
        <w:t>-of</w:t>
      </w:r>
      <w:r w:rsidR="00F95446">
        <w:t xml:space="preserve"> notification</w:t>
      </w:r>
      <w:r w:rsidR="009C3A3B">
        <w:t xml:space="preserve"> options</w:t>
      </w:r>
      <w:r w:rsidR="00EF1C99">
        <w:t>.</w:t>
      </w:r>
      <w:r w:rsidR="009C3A3B">
        <w:t xml:space="preserve"> </w:t>
      </w:r>
      <w:r w:rsidR="00E41E27">
        <w:t xml:space="preserve"> </w:t>
      </w:r>
      <w:r w:rsidR="009C3A3B">
        <w:t>However, the mix of customers differs across the areas.</w:t>
      </w:r>
      <w:r w:rsidR="00BB134E">
        <w:t xml:space="preserve"> </w:t>
      </w:r>
      <w:r w:rsidR="009C3A3B">
        <w:t xml:space="preserve"> The Ventura/Big </w:t>
      </w:r>
      <w:r w:rsidR="00EB4CC2">
        <w:lastRenderedPageBreak/>
        <w:t xml:space="preserve">Creek </w:t>
      </w:r>
      <w:r w:rsidR="009C3A3B">
        <w:t xml:space="preserve">and Outside LA Basin capacity areas include a higher proportion of accounts in the </w:t>
      </w:r>
      <w:r w:rsidR="0006539C">
        <w:t>A</w:t>
      </w:r>
      <w:r w:rsidR="009C3A3B">
        <w:t xml:space="preserve">gricultural </w:t>
      </w:r>
      <w:r w:rsidR="00EB4CC2">
        <w:t>and</w:t>
      </w:r>
      <w:r w:rsidR="009C3A3B">
        <w:t xml:space="preserve"> </w:t>
      </w:r>
      <w:r w:rsidR="0006539C">
        <w:t>W</w:t>
      </w:r>
      <w:r w:rsidR="009C3A3B">
        <w:t xml:space="preserve">ater </w:t>
      </w:r>
      <w:r w:rsidR="0006539C">
        <w:t>D</w:t>
      </w:r>
      <w:r w:rsidR="009C3A3B">
        <w:t>istrict</w:t>
      </w:r>
      <w:r w:rsidR="0006539C">
        <w:t xml:space="preserve"> segment</w:t>
      </w:r>
      <w:r w:rsidR="009C3A3B">
        <w:t xml:space="preserve">s. </w:t>
      </w:r>
    </w:p>
    <w:p w:rsidR="00DC52BC" w:rsidRDefault="007821EF" w:rsidP="00BA25E2">
      <w:pPr>
        <w:pStyle w:val="TableFigureCaption"/>
        <w:rPr>
          <w:rStyle w:val="Strong"/>
          <w:b/>
          <w:bCs w:val="0"/>
        </w:rPr>
      </w:pPr>
      <w:r>
        <w:rPr>
          <w:rStyle w:val="Strong"/>
          <w:b/>
          <w:bCs w:val="0"/>
        </w:rPr>
        <w:t xml:space="preserve">Table </w:t>
      </w:r>
      <w:r w:rsidR="00A52143">
        <w:rPr>
          <w:rStyle w:val="Strong"/>
          <w:b/>
          <w:bCs w:val="0"/>
        </w:rPr>
        <w:t>5</w:t>
      </w:r>
      <w:r w:rsidR="00DC52BC" w:rsidRPr="00050374">
        <w:rPr>
          <w:rStyle w:val="Strong"/>
          <w:b/>
          <w:bCs w:val="0"/>
        </w:rPr>
        <w:t>-4:</w:t>
      </w:r>
      <w:r w:rsidR="00877CA8">
        <w:rPr>
          <w:rStyle w:val="Strong"/>
          <w:b/>
          <w:bCs w:val="0"/>
        </w:rPr>
        <w:t xml:space="preserve"> </w:t>
      </w:r>
      <w:r w:rsidR="00D921E2">
        <w:rPr>
          <w:rStyle w:val="Strong"/>
          <w:b/>
          <w:bCs w:val="0"/>
        </w:rPr>
        <w:t xml:space="preserve"> </w:t>
      </w:r>
      <w:r w:rsidR="00DC52BC" w:rsidRPr="00050374">
        <w:rPr>
          <w:rStyle w:val="Strong"/>
          <w:b/>
          <w:bCs w:val="0"/>
        </w:rPr>
        <w:t xml:space="preserve">Estimated Ex Post Load Impacts by </w:t>
      </w:r>
      <w:r w:rsidR="00280B04">
        <w:rPr>
          <w:rStyle w:val="Strong"/>
          <w:b/>
          <w:bCs w:val="0"/>
        </w:rPr>
        <w:t>LCA</w:t>
      </w:r>
      <w:r w:rsidR="00DC52BC" w:rsidRPr="00050374">
        <w:rPr>
          <w:rStyle w:val="Strong"/>
          <w:b/>
          <w:bCs w:val="0"/>
        </w:rPr>
        <w:br/>
        <w:t xml:space="preserve">Average 2011 </w:t>
      </w:r>
      <w:r w:rsidR="000C417A">
        <w:rPr>
          <w:rStyle w:val="Strong"/>
          <w:b/>
          <w:bCs w:val="0"/>
        </w:rPr>
        <w:t>SC</w:t>
      </w:r>
      <w:r w:rsidR="00DC52BC" w:rsidRPr="00050374">
        <w:rPr>
          <w:rStyle w:val="Strong"/>
          <w:b/>
          <w:bCs w:val="0"/>
        </w:rPr>
        <w:t xml:space="preserve">E </w:t>
      </w:r>
      <w:r w:rsidR="000C417A">
        <w:rPr>
          <w:rStyle w:val="Strong"/>
          <w:b/>
          <w:bCs w:val="0"/>
        </w:rPr>
        <w:t>DRRC</w:t>
      </w:r>
      <w:r w:rsidR="00DC52BC" w:rsidRPr="00050374">
        <w:rPr>
          <w:rStyle w:val="Strong"/>
          <w:b/>
          <w:bCs w:val="0"/>
        </w:rPr>
        <w:t xml:space="preserve"> Event</w:t>
      </w:r>
    </w:p>
    <w:tbl>
      <w:tblPr>
        <w:tblW w:w="0" w:type="auto"/>
        <w:tblLayout w:type="fixed"/>
        <w:tblLook w:val="04A0"/>
      </w:tblPr>
      <w:tblGrid>
        <w:gridCol w:w="852"/>
        <w:gridCol w:w="1801"/>
        <w:gridCol w:w="900"/>
        <w:gridCol w:w="1093"/>
        <w:gridCol w:w="1002"/>
        <w:gridCol w:w="912"/>
        <w:gridCol w:w="912"/>
        <w:gridCol w:w="1002"/>
        <w:gridCol w:w="904"/>
      </w:tblGrid>
      <w:tr w:rsidR="002B1DFB" w:rsidRPr="00EF1C99" w:rsidTr="00E41E27">
        <w:trPr>
          <w:trHeight w:val="816"/>
        </w:trPr>
        <w:tc>
          <w:tcPr>
            <w:tcW w:w="852" w:type="dxa"/>
            <w:tcBorders>
              <w:top w:val="single" w:sz="4" w:space="0" w:color="auto"/>
              <w:left w:val="single" w:sz="4" w:space="0" w:color="auto"/>
              <w:bottom w:val="single" w:sz="4" w:space="0" w:color="auto"/>
              <w:right w:val="single" w:sz="4" w:space="0" w:color="FFFFFF"/>
            </w:tcBorders>
            <w:shd w:val="clear" w:color="000000" w:fill="1F497D" w:themeFill="text2"/>
            <w:tcMar>
              <w:left w:w="43" w:type="dxa"/>
              <w:right w:w="43" w:type="dxa"/>
            </w:tcMar>
            <w:vAlign w:val="center"/>
            <w:hideMark/>
          </w:tcPr>
          <w:p w:rsidR="00EF1C99" w:rsidRPr="00EF1C99" w:rsidRDefault="00EF1C99" w:rsidP="006B7BA6">
            <w:pPr>
              <w:spacing w:after="0" w:line="240" w:lineRule="auto"/>
              <w:jc w:val="center"/>
              <w:rPr>
                <w:rFonts w:ascii="Arial" w:eastAsia="Times New Roman" w:hAnsi="Arial" w:cs="Arial"/>
                <w:b/>
                <w:bCs/>
                <w:color w:val="FFFFFF"/>
                <w:sz w:val="16"/>
                <w:szCs w:val="16"/>
              </w:rPr>
            </w:pPr>
            <w:r w:rsidRPr="00EF1C99">
              <w:rPr>
                <w:rFonts w:ascii="Arial" w:eastAsia="Times New Roman" w:hAnsi="Arial" w:cs="Arial"/>
                <w:b/>
                <w:bCs/>
                <w:color w:val="FFFFFF"/>
                <w:sz w:val="16"/>
                <w:szCs w:val="16"/>
              </w:rPr>
              <w:t>Program</w:t>
            </w:r>
          </w:p>
        </w:tc>
        <w:tc>
          <w:tcPr>
            <w:tcW w:w="1801"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EF1C99" w:rsidRPr="00EF1C99" w:rsidRDefault="00EF1C99" w:rsidP="006B7BA6">
            <w:pPr>
              <w:spacing w:after="0" w:line="240" w:lineRule="auto"/>
              <w:jc w:val="center"/>
              <w:rPr>
                <w:rFonts w:ascii="Arial" w:eastAsia="Times New Roman" w:hAnsi="Arial" w:cs="Arial"/>
                <w:b/>
                <w:bCs/>
                <w:color w:val="FFFFFF"/>
                <w:sz w:val="16"/>
                <w:szCs w:val="16"/>
              </w:rPr>
            </w:pPr>
            <w:r w:rsidRPr="00EF1C99">
              <w:rPr>
                <w:rFonts w:ascii="Arial" w:eastAsia="Times New Roman" w:hAnsi="Arial" w:cs="Arial"/>
                <w:b/>
                <w:bCs/>
                <w:color w:val="FFFFFF"/>
                <w:sz w:val="16"/>
                <w:szCs w:val="16"/>
              </w:rPr>
              <w:t>Local Capacity Area</w:t>
            </w:r>
          </w:p>
        </w:tc>
        <w:tc>
          <w:tcPr>
            <w:tcW w:w="900"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EF1C99" w:rsidRPr="00EF1C99" w:rsidRDefault="00EF1C99" w:rsidP="006B7BA6">
            <w:pPr>
              <w:spacing w:after="0" w:line="240" w:lineRule="auto"/>
              <w:jc w:val="center"/>
              <w:rPr>
                <w:rFonts w:ascii="Arial" w:eastAsia="Times New Roman" w:hAnsi="Arial" w:cs="Arial"/>
                <w:b/>
                <w:bCs/>
                <w:color w:val="FFFFFF"/>
                <w:sz w:val="16"/>
                <w:szCs w:val="16"/>
              </w:rPr>
            </w:pPr>
            <w:r w:rsidRPr="00EF1C99">
              <w:rPr>
                <w:rFonts w:ascii="Arial" w:eastAsia="Times New Roman" w:hAnsi="Arial" w:cs="Arial"/>
                <w:b/>
                <w:bCs/>
                <w:color w:val="FFFFFF"/>
                <w:sz w:val="16"/>
                <w:szCs w:val="16"/>
              </w:rPr>
              <w:t>Acc</w:t>
            </w:r>
            <w:r w:rsidR="00E41E27">
              <w:rPr>
                <w:rFonts w:ascii="Arial" w:eastAsia="Times New Roman" w:hAnsi="Arial" w:cs="Arial"/>
                <w:b/>
                <w:bCs/>
                <w:color w:val="FFFFFF"/>
                <w:sz w:val="16"/>
                <w:szCs w:val="16"/>
              </w:rPr>
              <w:t>oun</w:t>
            </w:r>
            <w:r w:rsidRPr="00EF1C99">
              <w:rPr>
                <w:rFonts w:ascii="Arial" w:eastAsia="Times New Roman" w:hAnsi="Arial" w:cs="Arial"/>
                <w:b/>
                <w:bCs/>
                <w:color w:val="FFFFFF"/>
                <w:sz w:val="16"/>
                <w:szCs w:val="16"/>
              </w:rPr>
              <w:t>ts</w:t>
            </w:r>
          </w:p>
        </w:tc>
        <w:tc>
          <w:tcPr>
            <w:tcW w:w="1093"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E41E27" w:rsidRDefault="00EF1C99" w:rsidP="006B7BA6">
            <w:pPr>
              <w:spacing w:after="0" w:line="240" w:lineRule="auto"/>
              <w:jc w:val="center"/>
              <w:rPr>
                <w:rFonts w:ascii="Arial" w:eastAsia="Times New Roman" w:hAnsi="Arial" w:cs="Arial"/>
                <w:b/>
                <w:bCs/>
                <w:color w:val="FFFFFF"/>
                <w:sz w:val="16"/>
                <w:szCs w:val="16"/>
              </w:rPr>
            </w:pPr>
            <w:r w:rsidRPr="00EF1C99">
              <w:rPr>
                <w:rFonts w:ascii="Arial" w:eastAsia="Times New Roman" w:hAnsi="Arial" w:cs="Arial"/>
                <w:b/>
                <w:bCs/>
                <w:color w:val="FFFFFF"/>
                <w:sz w:val="16"/>
                <w:szCs w:val="16"/>
              </w:rPr>
              <w:t>Av</w:t>
            </w:r>
            <w:r w:rsidR="00E41E27">
              <w:rPr>
                <w:rFonts w:ascii="Arial" w:eastAsia="Times New Roman" w:hAnsi="Arial" w:cs="Arial"/>
                <w:b/>
                <w:bCs/>
                <w:color w:val="FFFFFF"/>
                <w:sz w:val="16"/>
                <w:szCs w:val="16"/>
              </w:rPr>
              <w:t>erage</w:t>
            </w:r>
          </w:p>
          <w:p w:rsidR="00EF1C99" w:rsidRPr="00EF1C99" w:rsidRDefault="00EF1C99" w:rsidP="006B7BA6">
            <w:pPr>
              <w:spacing w:after="0" w:line="240" w:lineRule="auto"/>
              <w:jc w:val="center"/>
              <w:rPr>
                <w:rFonts w:ascii="Arial" w:eastAsia="Times New Roman" w:hAnsi="Arial" w:cs="Arial"/>
                <w:b/>
                <w:bCs/>
                <w:color w:val="FFFFFF"/>
                <w:sz w:val="16"/>
                <w:szCs w:val="16"/>
              </w:rPr>
            </w:pPr>
            <w:r w:rsidRPr="00EF1C99">
              <w:rPr>
                <w:rFonts w:ascii="Arial" w:eastAsia="Times New Roman" w:hAnsi="Arial" w:cs="Arial"/>
                <w:b/>
                <w:bCs/>
                <w:color w:val="FFFFFF"/>
                <w:sz w:val="16"/>
                <w:szCs w:val="16"/>
              </w:rPr>
              <w:t>Reference Load (kW)</w:t>
            </w:r>
          </w:p>
        </w:tc>
        <w:tc>
          <w:tcPr>
            <w:tcW w:w="1002"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EF1C99" w:rsidRPr="00EF1C99" w:rsidRDefault="00EF1C99" w:rsidP="006B7BA6">
            <w:pPr>
              <w:spacing w:after="0" w:line="240" w:lineRule="auto"/>
              <w:jc w:val="center"/>
              <w:rPr>
                <w:rFonts w:ascii="Arial" w:eastAsia="Times New Roman" w:hAnsi="Arial" w:cs="Arial"/>
                <w:b/>
                <w:bCs/>
                <w:color w:val="FFFFFF"/>
                <w:sz w:val="16"/>
                <w:szCs w:val="16"/>
              </w:rPr>
            </w:pPr>
            <w:r w:rsidRPr="00EF1C99">
              <w:rPr>
                <w:rFonts w:ascii="Arial" w:eastAsia="Times New Roman" w:hAnsi="Arial" w:cs="Arial"/>
                <w:b/>
                <w:bCs/>
                <w:color w:val="FFFFFF"/>
                <w:sz w:val="16"/>
                <w:szCs w:val="16"/>
              </w:rPr>
              <w:t>Average Load Reduction (kW)</w:t>
            </w:r>
          </w:p>
        </w:tc>
        <w:tc>
          <w:tcPr>
            <w:tcW w:w="912"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EF1C99" w:rsidRPr="00EF1C99" w:rsidRDefault="00EF1C99" w:rsidP="006B7BA6">
            <w:pPr>
              <w:spacing w:after="0" w:line="240" w:lineRule="auto"/>
              <w:jc w:val="center"/>
              <w:rPr>
                <w:rFonts w:ascii="Arial" w:eastAsia="Times New Roman" w:hAnsi="Arial" w:cs="Arial"/>
                <w:b/>
                <w:bCs/>
                <w:color w:val="FFFFFF"/>
                <w:sz w:val="16"/>
                <w:szCs w:val="16"/>
              </w:rPr>
            </w:pPr>
            <w:r w:rsidRPr="00EF1C99">
              <w:rPr>
                <w:rFonts w:ascii="Arial" w:eastAsia="Times New Roman" w:hAnsi="Arial" w:cs="Arial"/>
                <w:b/>
                <w:bCs/>
                <w:color w:val="FFFFFF"/>
                <w:sz w:val="16"/>
                <w:szCs w:val="16"/>
              </w:rPr>
              <w:t>% Load Reduction</w:t>
            </w:r>
          </w:p>
        </w:tc>
        <w:tc>
          <w:tcPr>
            <w:tcW w:w="912"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E41E27" w:rsidRDefault="00EF1C99" w:rsidP="006B7BA6">
            <w:pPr>
              <w:spacing w:after="0" w:line="240" w:lineRule="auto"/>
              <w:jc w:val="center"/>
              <w:rPr>
                <w:rFonts w:ascii="Arial" w:eastAsia="Times New Roman" w:hAnsi="Arial" w:cs="Arial"/>
                <w:b/>
                <w:bCs/>
                <w:color w:val="FFFFFF"/>
                <w:sz w:val="16"/>
                <w:szCs w:val="16"/>
              </w:rPr>
            </w:pPr>
            <w:r w:rsidRPr="00EF1C99">
              <w:rPr>
                <w:rFonts w:ascii="Arial" w:eastAsia="Times New Roman" w:hAnsi="Arial" w:cs="Arial"/>
                <w:b/>
                <w:bCs/>
                <w:color w:val="FFFFFF"/>
                <w:sz w:val="16"/>
                <w:szCs w:val="16"/>
              </w:rPr>
              <w:t xml:space="preserve">Aggregate Reference Load </w:t>
            </w:r>
          </w:p>
          <w:p w:rsidR="00EF1C99" w:rsidRPr="00EF1C99" w:rsidRDefault="00EF1C99" w:rsidP="006B7BA6">
            <w:pPr>
              <w:spacing w:after="0" w:line="240" w:lineRule="auto"/>
              <w:jc w:val="center"/>
              <w:rPr>
                <w:rFonts w:ascii="Arial" w:eastAsia="Times New Roman" w:hAnsi="Arial" w:cs="Arial"/>
                <w:b/>
                <w:bCs/>
                <w:color w:val="FFFFFF"/>
                <w:sz w:val="16"/>
                <w:szCs w:val="16"/>
              </w:rPr>
            </w:pPr>
            <w:r w:rsidRPr="00EF1C99">
              <w:rPr>
                <w:rFonts w:ascii="Arial" w:eastAsia="Times New Roman" w:hAnsi="Arial" w:cs="Arial"/>
                <w:b/>
                <w:bCs/>
                <w:color w:val="FFFFFF"/>
                <w:sz w:val="16"/>
                <w:szCs w:val="16"/>
              </w:rPr>
              <w:t>(MW)</w:t>
            </w:r>
          </w:p>
        </w:tc>
        <w:tc>
          <w:tcPr>
            <w:tcW w:w="1002"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EF1C99" w:rsidRPr="00EF1C99" w:rsidRDefault="00EF1C99" w:rsidP="006B7BA6">
            <w:pPr>
              <w:spacing w:after="0" w:line="240" w:lineRule="auto"/>
              <w:jc w:val="center"/>
              <w:rPr>
                <w:rFonts w:ascii="Arial" w:eastAsia="Times New Roman" w:hAnsi="Arial" w:cs="Arial"/>
                <w:b/>
                <w:bCs/>
                <w:color w:val="FFFFFF"/>
                <w:sz w:val="16"/>
                <w:szCs w:val="16"/>
              </w:rPr>
            </w:pPr>
            <w:r w:rsidRPr="00EF1C99">
              <w:rPr>
                <w:rFonts w:ascii="Arial" w:eastAsia="Times New Roman" w:hAnsi="Arial" w:cs="Arial"/>
                <w:b/>
                <w:bCs/>
                <w:color w:val="FFFFFF"/>
                <w:sz w:val="16"/>
                <w:szCs w:val="16"/>
              </w:rPr>
              <w:t>Aggregate Load Impact (MW)</w:t>
            </w:r>
          </w:p>
        </w:tc>
        <w:tc>
          <w:tcPr>
            <w:tcW w:w="904" w:type="dxa"/>
            <w:tcBorders>
              <w:top w:val="single" w:sz="4" w:space="0" w:color="auto"/>
              <w:left w:val="nil"/>
              <w:bottom w:val="single" w:sz="4" w:space="0" w:color="auto"/>
              <w:right w:val="single" w:sz="4" w:space="0" w:color="auto"/>
            </w:tcBorders>
            <w:shd w:val="clear" w:color="000000" w:fill="1F497D" w:themeFill="text2"/>
            <w:tcMar>
              <w:left w:w="43" w:type="dxa"/>
              <w:right w:w="43" w:type="dxa"/>
            </w:tcMar>
            <w:vAlign w:val="center"/>
            <w:hideMark/>
          </w:tcPr>
          <w:p w:rsidR="00A73F2B" w:rsidRDefault="00EF1C99">
            <w:pPr>
              <w:spacing w:after="0" w:line="240" w:lineRule="auto"/>
              <w:jc w:val="center"/>
              <w:rPr>
                <w:rFonts w:ascii="Arial" w:eastAsia="Times New Roman" w:hAnsi="Arial" w:cs="Arial"/>
                <w:b/>
                <w:bCs/>
                <w:color w:val="FFFFFF"/>
                <w:sz w:val="16"/>
                <w:szCs w:val="16"/>
              </w:rPr>
            </w:pPr>
            <w:r w:rsidRPr="00EF1C99">
              <w:rPr>
                <w:rFonts w:ascii="Arial" w:eastAsia="Times New Roman" w:hAnsi="Arial" w:cs="Arial"/>
                <w:b/>
                <w:bCs/>
                <w:color w:val="FFFFFF"/>
                <w:sz w:val="16"/>
                <w:szCs w:val="16"/>
              </w:rPr>
              <w:t>Av</w:t>
            </w:r>
            <w:r w:rsidR="00E41E27">
              <w:rPr>
                <w:rFonts w:ascii="Arial" w:eastAsia="Times New Roman" w:hAnsi="Arial" w:cs="Arial"/>
                <w:b/>
                <w:bCs/>
                <w:color w:val="FFFFFF"/>
                <w:sz w:val="16"/>
                <w:szCs w:val="16"/>
              </w:rPr>
              <w:t>erage</w:t>
            </w:r>
            <w:r w:rsidRPr="00EF1C99">
              <w:rPr>
                <w:rFonts w:ascii="Arial" w:eastAsia="Times New Roman" w:hAnsi="Arial" w:cs="Arial"/>
                <w:b/>
                <w:bCs/>
                <w:color w:val="FFFFFF"/>
                <w:sz w:val="16"/>
                <w:szCs w:val="16"/>
              </w:rPr>
              <w:t xml:space="preserve"> Temp</w:t>
            </w:r>
            <w:r w:rsidR="00E41E27">
              <w:rPr>
                <w:rFonts w:ascii="Arial" w:eastAsia="Times New Roman" w:hAnsi="Arial" w:cs="Arial"/>
                <w:b/>
                <w:bCs/>
                <w:color w:val="FFFFFF"/>
                <w:sz w:val="16"/>
                <w:szCs w:val="16"/>
              </w:rPr>
              <w:t>.</w:t>
            </w:r>
            <w:r w:rsidRPr="00EF1C99">
              <w:rPr>
                <w:rFonts w:ascii="Arial" w:eastAsia="Times New Roman" w:hAnsi="Arial" w:cs="Arial"/>
                <w:b/>
                <w:bCs/>
                <w:color w:val="FFFFFF"/>
                <w:sz w:val="16"/>
                <w:szCs w:val="16"/>
              </w:rPr>
              <w:t xml:space="preserve"> During Event</w:t>
            </w:r>
          </w:p>
        </w:tc>
      </w:tr>
      <w:tr w:rsidR="00EF1C99" w:rsidRPr="00EF1C99" w:rsidTr="00E41E27">
        <w:trPr>
          <w:trHeight w:val="339"/>
        </w:trPr>
        <w:tc>
          <w:tcPr>
            <w:tcW w:w="852" w:type="dxa"/>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 xml:space="preserve">DRRC-DA </w:t>
            </w:r>
          </w:p>
        </w:tc>
        <w:tc>
          <w:tcPr>
            <w:tcW w:w="18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All Customers</w:t>
            </w:r>
          </w:p>
        </w:tc>
        <w:tc>
          <w:tcPr>
            <w:tcW w:w="90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275</w:t>
            </w:r>
          </w:p>
        </w:tc>
        <w:tc>
          <w:tcPr>
            <w:tcW w:w="10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228.1</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63.2</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27.7%</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62.7</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17.4</w:t>
            </w:r>
          </w:p>
        </w:tc>
        <w:tc>
          <w:tcPr>
            <w:tcW w:w="90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86.4</w:t>
            </w:r>
          </w:p>
        </w:tc>
      </w:tr>
      <w:tr w:rsidR="00EF1C99" w:rsidRPr="00EF1C99" w:rsidTr="00E41E27">
        <w:trPr>
          <w:trHeight w:val="339"/>
        </w:trPr>
        <w:tc>
          <w:tcPr>
            <w:tcW w:w="85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EF1C99" w:rsidRPr="00EF1C99" w:rsidRDefault="00EF1C99" w:rsidP="00EF1C99">
            <w:pPr>
              <w:spacing w:after="0" w:line="240" w:lineRule="auto"/>
              <w:rPr>
                <w:rFonts w:ascii="Arial" w:eastAsia="Times New Roman" w:hAnsi="Arial" w:cs="Arial"/>
                <w:color w:val="000000"/>
                <w:sz w:val="16"/>
                <w:szCs w:val="16"/>
              </w:rPr>
            </w:pPr>
          </w:p>
        </w:tc>
        <w:tc>
          <w:tcPr>
            <w:tcW w:w="18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 xml:space="preserve"> LA Basin</w:t>
            </w:r>
          </w:p>
        </w:tc>
        <w:tc>
          <w:tcPr>
            <w:tcW w:w="90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166</w:t>
            </w:r>
          </w:p>
        </w:tc>
        <w:tc>
          <w:tcPr>
            <w:tcW w:w="10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315.0</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75.3</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23.9%</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52.3</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12.5</w:t>
            </w:r>
          </w:p>
        </w:tc>
        <w:tc>
          <w:tcPr>
            <w:tcW w:w="90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83.6</w:t>
            </w:r>
          </w:p>
        </w:tc>
      </w:tr>
      <w:tr w:rsidR="00EF1C99" w:rsidRPr="00EF1C99" w:rsidTr="00E41E27">
        <w:trPr>
          <w:trHeight w:val="339"/>
        </w:trPr>
        <w:tc>
          <w:tcPr>
            <w:tcW w:w="85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EF1C99" w:rsidRPr="00EF1C99" w:rsidRDefault="00EF1C99" w:rsidP="00EF1C99">
            <w:pPr>
              <w:spacing w:after="0" w:line="240" w:lineRule="auto"/>
              <w:rPr>
                <w:rFonts w:ascii="Arial" w:eastAsia="Times New Roman" w:hAnsi="Arial" w:cs="Arial"/>
                <w:color w:val="000000"/>
                <w:sz w:val="16"/>
                <w:szCs w:val="16"/>
              </w:rPr>
            </w:pPr>
          </w:p>
        </w:tc>
        <w:tc>
          <w:tcPr>
            <w:tcW w:w="18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 xml:space="preserve"> Ventura</w:t>
            </w:r>
            <w:r w:rsidR="009C3A3B">
              <w:rPr>
                <w:rFonts w:ascii="Arial" w:eastAsia="Times New Roman" w:hAnsi="Arial" w:cs="Arial"/>
                <w:color w:val="000000"/>
                <w:sz w:val="16"/>
                <w:szCs w:val="16"/>
              </w:rPr>
              <w:t>/Big Creek</w:t>
            </w:r>
          </w:p>
        </w:tc>
        <w:tc>
          <w:tcPr>
            <w:tcW w:w="90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98</w:t>
            </w:r>
          </w:p>
        </w:tc>
        <w:tc>
          <w:tcPr>
            <w:tcW w:w="10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89.6</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45.2</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50.5%</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8.8</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4.4</w:t>
            </w:r>
          </w:p>
        </w:tc>
        <w:tc>
          <w:tcPr>
            <w:tcW w:w="90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89.9</w:t>
            </w:r>
          </w:p>
        </w:tc>
      </w:tr>
      <w:tr w:rsidR="00EF1C99" w:rsidRPr="00EF1C99" w:rsidTr="00E41E27">
        <w:trPr>
          <w:trHeight w:val="339"/>
        </w:trPr>
        <w:tc>
          <w:tcPr>
            <w:tcW w:w="85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EF1C99" w:rsidRPr="00EF1C99" w:rsidRDefault="00EF1C99" w:rsidP="00EF1C99">
            <w:pPr>
              <w:spacing w:after="0" w:line="240" w:lineRule="auto"/>
              <w:rPr>
                <w:rFonts w:ascii="Arial" w:eastAsia="Times New Roman" w:hAnsi="Arial" w:cs="Arial"/>
                <w:color w:val="000000"/>
                <w:sz w:val="16"/>
                <w:szCs w:val="16"/>
              </w:rPr>
            </w:pPr>
          </w:p>
        </w:tc>
        <w:tc>
          <w:tcPr>
            <w:tcW w:w="18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 xml:space="preserve"> Outside</w:t>
            </w:r>
            <w:r w:rsidR="009C3A3B">
              <w:rPr>
                <w:rFonts w:ascii="Arial" w:eastAsia="Times New Roman" w:hAnsi="Arial" w:cs="Arial"/>
                <w:color w:val="000000"/>
                <w:sz w:val="16"/>
                <w:szCs w:val="16"/>
              </w:rPr>
              <w:t xml:space="preserve"> LA Basin</w:t>
            </w:r>
          </w:p>
        </w:tc>
        <w:tc>
          <w:tcPr>
            <w:tcW w:w="90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11</w:t>
            </w:r>
          </w:p>
        </w:tc>
        <w:tc>
          <w:tcPr>
            <w:tcW w:w="10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150.6</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39.8</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26.4%</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1.7</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0.4</w:t>
            </w:r>
          </w:p>
        </w:tc>
        <w:tc>
          <w:tcPr>
            <w:tcW w:w="90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95.9</w:t>
            </w:r>
          </w:p>
        </w:tc>
      </w:tr>
      <w:tr w:rsidR="00EF1C99" w:rsidRPr="00EF1C99" w:rsidTr="00E41E27">
        <w:trPr>
          <w:trHeight w:val="339"/>
        </w:trPr>
        <w:tc>
          <w:tcPr>
            <w:tcW w:w="852" w:type="dxa"/>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 xml:space="preserve">DRRC-DO </w:t>
            </w:r>
          </w:p>
        </w:tc>
        <w:tc>
          <w:tcPr>
            <w:tcW w:w="18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All Customers</w:t>
            </w:r>
          </w:p>
        </w:tc>
        <w:tc>
          <w:tcPr>
            <w:tcW w:w="90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885</w:t>
            </w:r>
          </w:p>
        </w:tc>
        <w:tc>
          <w:tcPr>
            <w:tcW w:w="10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332.9</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91.9</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27.6%</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294.6</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81.4</w:t>
            </w:r>
          </w:p>
        </w:tc>
        <w:tc>
          <w:tcPr>
            <w:tcW w:w="90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EF1C99" w:rsidRPr="00EF1C99" w:rsidRDefault="00EF1C99" w:rsidP="00EF1C99">
            <w:pPr>
              <w:spacing w:after="0" w:line="240" w:lineRule="auto"/>
              <w:jc w:val="center"/>
              <w:rPr>
                <w:rFonts w:ascii="Arial" w:eastAsia="Times New Roman" w:hAnsi="Arial" w:cs="Arial"/>
                <w:b/>
                <w:bCs/>
                <w:color w:val="000000"/>
                <w:sz w:val="16"/>
                <w:szCs w:val="16"/>
              </w:rPr>
            </w:pPr>
            <w:r w:rsidRPr="00EF1C99">
              <w:rPr>
                <w:rFonts w:ascii="Arial" w:eastAsia="Times New Roman" w:hAnsi="Arial" w:cs="Arial"/>
                <w:b/>
                <w:bCs/>
                <w:color w:val="000000"/>
                <w:sz w:val="16"/>
                <w:szCs w:val="16"/>
              </w:rPr>
              <w:t>87.0</w:t>
            </w:r>
          </w:p>
        </w:tc>
      </w:tr>
      <w:tr w:rsidR="009C3A3B" w:rsidRPr="00EF1C99" w:rsidTr="00E41E27">
        <w:trPr>
          <w:trHeight w:val="339"/>
        </w:trPr>
        <w:tc>
          <w:tcPr>
            <w:tcW w:w="85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9C3A3B" w:rsidRPr="00EF1C99" w:rsidRDefault="009C3A3B" w:rsidP="00EF1C99">
            <w:pPr>
              <w:spacing w:after="0" w:line="240" w:lineRule="auto"/>
              <w:rPr>
                <w:rFonts w:ascii="Arial" w:eastAsia="Times New Roman" w:hAnsi="Arial" w:cs="Arial"/>
                <w:color w:val="000000"/>
                <w:sz w:val="16"/>
                <w:szCs w:val="16"/>
              </w:rPr>
            </w:pPr>
          </w:p>
        </w:tc>
        <w:tc>
          <w:tcPr>
            <w:tcW w:w="18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 xml:space="preserve"> LA Basin</w:t>
            </w:r>
          </w:p>
        </w:tc>
        <w:tc>
          <w:tcPr>
            <w:tcW w:w="90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683</w:t>
            </w:r>
          </w:p>
        </w:tc>
        <w:tc>
          <w:tcPr>
            <w:tcW w:w="10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332.2</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93.1</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28.0%</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226.9</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63.6</w:t>
            </w:r>
          </w:p>
        </w:tc>
        <w:tc>
          <w:tcPr>
            <w:tcW w:w="90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86.3</w:t>
            </w:r>
          </w:p>
        </w:tc>
      </w:tr>
      <w:tr w:rsidR="009C3A3B" w:rsidRPr="00EF1C99" w:rsidTr="00E41E27">
        <w:trPr>
          <w:trHeight w:val="339"/>
        </w:trPr>
        <w:tc>
          <w:tcPr>
            <w:tcW w:w="85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9C3A3B" w:rsidRPr="00EF1C99" w:rsidRDefault="009C3A3B" w:rsidP="00EF1C99">
            <w:pPr>
              <w:spacing w:after="0" w:line="240" w:lineRule="auto"/>
              <w:rPr>
                <w:rFonts w:ascii="Arial" w:eastAsia="Times New Roman" w:hAnsi="Arial" w:cs="Arial"/>
                <w:color w:val="000000"/>
                <w:sz w:val="16"/>
                <w:szCs w:val="16"/>
              </w:rPr>
            </w:pPr>
          </w:p>
        </w:tc>
        <w:tc>
          <w:tcPr>
            <w:tcW w:w="18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 xml:space="preserve"> Ventura</w:t>
            </w:r>
            <w:r>
              <w:rPr>
                <w:rFonts w:ascii="Arial" w:eastAsia="Times New Roman" w:hAnsi="Arial" w:cs="Arial"/>
                <w:color w:val="000000"/>
                <w:sz w:val="16"/>
                <w:szCs w:val="16"/>
              </w:rPr>
              <w:t>/Big Creek</w:t>
            </w:r>
          </w:p>
        </w:tc>
        <w:tc>
          <w:tcPr>
            <w:tcW w:w="90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116</w:t>
            </w:r>
          </w:p>
        </w:tc>
        <w:tc>
          <w:tcPr>
            <w:tcW w:w="10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446.0</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103.6</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23</w:t>
            </w:r>
            <w:r>
              <w:rPr>
                <w:rFonts w:ascii="Arial" w:eastAsia="Times New Roman" w:hAnsi="Arial" w:cs="Arial"/>
                <w:color w:val="000000"/>
                <w:sz w:val="16"/>
                <w:szCs w:val="16"/>
              </w:rPr>
              <w:t>.0</w:t>
            </w:r>
            <w:r w:rsidRPr="00EF1C99">
              <w:rPr>
                <w:rFonts w:ascii="Arial" w:eastAsia="Times New Roman" w:hAnsi="Arial" w:cs="Arial"/>
                <w:color w:val="000000"/>
                <w:sz w:val="16"/>
                <w:szCs w:val="16"/>
              </w:rPr>
              <w:t>%</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51.7</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12.0</w:t>
            </w:r>
          </w:p>
        </w:tc>
        <w:tc>
          <w:tcPr>
            <w:tcW w:w="90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85.7</w:t>
            </w:r>
          </w:p>
        </w:tc>
      </w:tr>
      <w:tr w:rsidR="009C3A3B" w:rsidRPr="00EF1C99" w:rsidTr="00E41E27">
        <w:trPr>
          <w:trHeight w:val="339"/>
        </w:trPr>
        <w:tc>
          <w:tcPr>
            <w:tcW w:w="85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9C3A3B" w:rsidRPr="00EF1C99" w:rsidRDefault="009C3A3B" w:rsidP="00EF1C99">
            <w:pPr>
              <w:spacing w:after="0" w:line="240" w:lineRule="auto"/>
              <w:rPr>
                <w:rFonts w:ascii="Arial" w:eastAsia="Times New Roman" w:hAnsi="Arial" w:cs="Arial"/>
                <w:color w:val="000000"/>
                <w:sz w:val="16"/>
                <w:szCs w:val="16"/>
              </w:rPr>
            </w:pPr>
          </w:p>
        </w:tc>
        <w:tc>
          <w:tcPr>
            <w:tcW w:w="18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 xml:space="preserve"> Outside</w:t>
            </w:r>
            <w:r>
              <w:rPr>
                <w:rFonts w:ascii="Arial" w:eastAsia="Times New Roman" w:hAnsi="Arial" w:cs="Arial"/>
                <w:color w:val="000000"/>
                <w:sz w:val="16"/>
                <w:szCs w:val="16"/>
              </w:rPr>
              <w:t xml:space="preserve"> LA Basin</w:t>
            </w:r>
          </w:p>
        </w:tc>
        <w:tc>
          <w:tcPr>
            <w:tcW w:w="90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85</w:t>
            </w:r>
          </w:p>
        </w:tc>
        <w:tc>
          <w:tcPr>
            <w:tcW w:w="10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183.5</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66.8</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36.4%</w:t>
            </w:r>
          </w:p>
        </w:tc>
        <w:tc>
          <w:tcPr>
            <w:tcW w:w="91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15.6</w:t>
            </w:r>
          </w:p>
        </w:tc>
        <w:tc>
          <w:tcPr>
            <w:tcW w:w="100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5.7</w:t>
            </w:r>
          </w:p>
        </w:tc>
        <w:tc>
          <w:tcPr>
            <w:tcW w:w="904"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C3A3B" w:rsidRPr="00EF1C99" w:rsidRDefault="009C3A3B" w:rsidP="00EF1C99">
            <w:pPr>
              <w:spacing w:after="0" w:line="240" w:lineRule="auto"/>
              <w:jc w:val="center"/>
              <w:rPr>
                <w:rFonts w:ascii="Arial" w:eastAsia="Times New Roman" w:hAnsi="Arial" w:cs="Arial"/>
                <w:color w:val="000000"/>
                <w:sz w:val="16"/>
                <w:szCs w:val="16"/>
              </w:rPr>
            </w:pPr>
            <w:r w:rsidRPr="00EF1C99">
              <w:rPr>
                <w:rFonts w:ascii="Arial" w:eastAsia="Times New Roman" w:hAnsi="Arial" w:cs="Arial"/>
                <w:color w:val="000000"/>
                <w:sz w:val="16"/>
                <w:szCs w:val="16"/>
              </w:rPr>
              <w:t>93.7</w:t>
            </w:r>
          </w:p>
        </w:tc>
      </w:tr>
    </w:tbl>
    <w:p w:rsidR="00DC52BC" w:rsidRPr="00050374" w:rsidRDefault="00DC52BC" w:rsidP="00DC52BC">
      <w:pPr>
        <w:pStyle w:val="ListParagraph"/>
        <w:jc w:val="center"/>
        <w:rPr>
          <w:rStyle w:val="Strong"/>
        </w:rPr>
      </w:pPr>
    </w:p>
    <w:p w:rsidR="005310C6" w:rsidRDefault="00E41E27">
      <w:pPr>
        <w:pStyle w:val="Heading3"/>
      </w:pPr>
      <w:bookmarkStart w:id="246" w:name="_Toc326074025"/>
      <w:r>
        <w:t xml:space="preserve">DRRC </w:t>
      </w:r>
      <w:r w:rsidR="00DC52BC" w:rsidRPr="00050374">
        <w:t>Demand Reductions by Customer Size</w:t>
      </w:r>
      <w:bookmarkEnd w:id="246"/>
    </w:p>
    <w:p w:rsidR="00DC52BC" w:rsidRPr="00050374" w:rsidRDefault="00642788" w:rsidP="00DC52BC">
      <w:pPr>
        <w:pStyle w:val="BodyParagraph"/>
      </w:pPr>
      <w:r>
        <w:t>Figure</w:t>
      </w:r>
      <w:r w:rsidR="000C417A">
        <w:t xml:space="preserve"> </w:t>
      </w:r>
      <w:r w:rsidR="00A52143">
        <w:t>5</w:t>
      </w:r>
      <w:r w:rsidR="00DC52BC" w:rsidRPr="00050374">
        <w:t>-</w:t>
      </w:r>
      <w:r>
        <w:t>2</w:t>
      </w:r>
      <w:r w:rsidR="00DC52BC" w:rsidRPr="00050374">
        <w:t xml:space="preserve"> shows load impacts by customer size.  </w:t>
      </w:r>
      <w:r w:rsidR="00280B04">
        <w:t>T</w:t>
      </w:r>
      <w:r w:rsidR="00280B04" w:rsidRPr="00050374">
        <w:t xml:space="preserve">he average demand during weekday, summer peak hours (1 PM to 6 PM) </w:t>
      </w:r>
      <w:r w:rsidR="00280B04">
        <w:t xml:space="preserve">was calculated </w:t>
      </w:r>
      <w:r w:rsidR="00280B04" w:rsidRPr="00050374">
        <w:t xml:space="preserve">for each customer and then divided into quintiles.  </w:t>
      </w:r>
      <w:r w:rsidR="00DC52BC" w:rsidRPr="00050374">
        <w:t xml:space="preserve">  </w:t>
      </w:r>
    </w:p>
    <w:p w:rsidR="00DC52BC" w:rsidRPr="00050374" w:rsidRDefault="00DC52BC" w:rsidP="00DC52BC">
      <w:pPr>
        <w:pStyle w:val="BodyParagraph"/>
      </w:pPr>
      <w:r w:rsidRPr="00050374">
        <w:t>For day-ahead resources, the largest fifth of customers account</w:t>
      </w:r>
      <w:r w:rsidR="00280B04">
        <w:t>ed</w:t>
      </w:r>
      <w:r w:rsidRPr="00050374">
        <w:t xml:space="preserve"> for </w:t>
      </w:r>
      <w:r w:rsidR="000C417A">
        <w:t>67</w:t>
      </w:r>
      <w:r w:rsidRPr="00050374">
        <w:t xml:space="preserve">% of the program reference load and </w:t>
      </w:r>
      <w:r w:rsidR="000C417A">
        <w:t>32</w:t>
      </w:r>
      <w:r w:rsidRPr="00050374">
        <w:t xml:space="preserve">% of the </w:t>
      </w:r>
      <w:r w:rsidR="00280B04">
        <w:t xml:space="preserve">aggregate </w:t>
      </w:r>
      <w:r w:rsidRPr="00050374">
        <w:t>load impact</w:t>
      </w:r>
      <w:r w:rsidR="000C417A">
        <w:t>.  Interestingly, the next largest fifth</w:t>
      </w:r>
      <w:r w:rsidR="00460E6B">
        <w:t xml:space="preserve"> of customers also provided 32</w:t>
      </w:r>
      <w:r w:rsidR="000C417A">
        <w:t xml:space="preserve">% of load impacts, despite having less than 20% of program reference load </w:t>
      </w:r>
      <w:r w:rsidR="000F1689">
        <w:t>–</w:t>
      </w:r>
      <w:r w:rsidR="000C417A">
        <w:t xml:space="preserve"> nearly a third less reference load than the top fifth of customers</w:t>
      </w:r>
      <w:r w:rsidRPr="00050374">
        <w:t xml:space="preserve">.  </w:t>
      </w:r>
      <w:r w:rsidR="000C417A">
        <w:t xml:space="preserve">This appears to be due to </w:t>
      </w:r>
      <w:r w:rsidR="00BE08BC">
        <w:t>the</w:t>
      </w:r>
      <w:r w:rsidR="000C417A">
        <w:t xml:space="preserve"> greater number of Water District customers</w:t>
      </w:r>
      <w:r w:rsidR="00BE08BC">
        <w:t xml:space="preserve"> in the fourth quintile</w:t>
      </w:r>
      <w:r w:rsidR="00280B04">
        <w:t xml:space="preserve"> compared with</w:t>
      </w:r>
      <w:r w:rsidR="00BE08BC">
        <w:t xml:space="preserve"> the top quintile</w:t>
      </w:r>
      <w:r w:rsidR="000C417A">
        <w:t xml:space="preserve">, </w:t>
      </w:r>
      <w:r w:rsidR="00BE08BC">
        <w:t>since Water Districts</w:t>
      </w:r>
      <w:r w:rsidR="000C417A">
        <w:t xml:space="preserve"> showed the largest load reduction as </w:t>
      </w:r>
      <w:r w:rsidR="00E41E27">
        <w:t xml:space="preserve">a </w:t>
      </w:r>
      <w:r w:rsidR="000C417A">
        <w:t>percent of reference load</w:t>
      </w:r>
      <w:r w:rsidR="00BE08BC">
        <w:t xml:space="preserve"> out of all customer segments</w:t>
      </w:r>
      <w:r w:rsidR="000C417A">
        <w:t xml:space="preserve">. </w:t>
      </w:r>
      <w:r w:rsidRPr="00050374">
        <w:t xml:space="preserve"> </w:t>
      </w:r>
      <w:r w:rsidR="00BE08BC">
        <w:t xml:space="preserve">For </w:t>
      </w:r>
      <w:r w:rsidRPr="00050374">
        <w:t xml:space="preserve">day-of </w:t>
      </w:r>
      <w:r w:rsidR="00BE08BC">
        <w:t>resources, load impacts are much more concentrated</w:t>
      </w:r>
      <w:r w:rsidRPr="00050374">
        <w:t>; the largest fi</w:t>
      </w:r>
      <w:r w:rsidR="007536E3">
        <w:t>fth of customers account</w:t>
      </w:r>
      <w:r w:rsidR="00280B04">
        <w:t>ed</w:t>
      </w:r>
      <w:r w:rsidR="007536E3">
        <w:t xml:space="preserve"> for 62</w:t>
      </w:r>
      <w:r w:rsidR="00BE08BC">
        <w:t>% of the reference load and 56</w:t>
      </w:r>
      <w:r w:rsidRPr="00050374">
        <w:t xml:space="preserve">% the </w:t>
      </w:r>
      <w:r w:rsidR="00280B04">
        <w:t xml:space="preserve">aggregate </w:t>
      </w:r>
      <w:r w:rsidRPr="00050374">
        <w:t>load impact.</w:t>
      </w:r>
      <w:r w:rsidR="00BB6A50">
        <w:t xml:space="preserve">  </w:t>
      </w:r>
    </w:p>
    <w:p w:rsidR="00DC52BC" w:rsidRPr="00050374" w:rsidRDefault="007821EF" w:rsidP="00BA25E2">
      <w:pPr>
        <w:pStyle w:val="TableFigureCaption"/>
        <w:rPr>
          <w:rStyle w:val="Strong"/>
          <w:b/>
          <w:bCs w:val="0"/>
        </w:rPr>
      </w:pPr>
      <w:r w:rsidRPr="006B7BA6">
        <w:rPr>
          <w:rStyle w:val="Strong"/>
          <w:b/>
          <w:bCs w:val="0"/>
        </w:rPr>
        <w:t>Figure</w:t>
      </w:r>
      <w:r>
        <w:rPr>
          <w:rStyle w:val="Strong"/>
          <w:b/>
          <w:bCs w:val="0"/>
        </w:rPr>
        <w:t xml:space="preserve"> </w:t>
      </w:r>
      <w:r w:rsidR="00A52143">
        <w:rPr>
          <w:rStyle w:val="Strong"/>
          <w:b/>
          <w:bCs w:val="0"/>
        </w:rPr>
        <w:t>5</w:t>
      </w:r>
      <w:r>
        <w:rPr>
          <w:rStyle w:val="Strong"/>
          <w:b/>
          <w:bCs w:val="0"/>
        </w:rPr>
        <w:t>-2</w:t>
      </w:r>
      <w:r w:rsidR="00DC52BC" w:rsidRPr="00050374">
        <w:rPr>
          <w:rStyle w:val="Strong"/>
          <w:b/>
          <w:bCs w:val="0"/>
        </w:rPr>
        <w:t>:</w:t>
      </w:r>
      <w:r w:rsidR="00877CA8">
        <w:rPr>
          <w:rStyle w:val="Strong"/>
          <w:b/>
          <w:bCs w:val="0"/>
        </w:rPr>
        <w:t xml:space="preserve"> </w:t>
      </w:r>
      <w:r w:rsidR="00D921E2">
        <w:rPr>
          <w:rStyle w:val="Strong"/>
          <w:b/>
          <w:bCs w:val="0"/>
        </w:rPr>
        <w:t xml:space="preserve"> </w:t>
      </w:r>
      <w:r w:rsidR="00DC52BC" w:rsidRPr="00050374">
        <w:rPr>
          <w:rStyle w:val="Strong"/>
          <w:b/>
          <w:bCs w:val="0"/>
        </w:rPr>
        <w:t>Estimated Ex Post Load Impacts by Customer Size</w:t>
      </w:r>
      <w:r w:rsidR="00DC52BC" w:rsidRPr="00050374">
        <w:rPr>
          <w:rStyle w:val="Strong"/>
          <w:b/>
          <w:bCs w:val="0"/>
        </w:rPr>
        <w:br/>
        <w:t xml:space="preserve">Average 2011 </w:t>
      </w:r>
      <w:r w:rsidR="000C417A">
        <w:rPr>
          <w:rStyle w:val="Strong"/>
          <w:b/>
          <w:bCs w:val="0"/>
        </w:rPr>
        <w:t>SCE DRRC</w:t>
      </w:r>
      <w:r w:rsidR="00DC52BC" w:rsidRPr="00050374">
        <w:rPr>
          <w:rStyle w:val="Strong"/>
          <w:b/>
          <w:bCs w:val="0"/>
        </w:rPr>
        <w:t xml:space="preserve"> Event</w:t>
      </w:r>
    </w:p>
    <w:p w:rsidR="00D649A8" w:rsidRDefault="005310C6" w:rsidP="00DC52BC">
      <w:pPr>
        <w:pStyle w:val="ListParagraph"/>
        <w:jc w:val="center"/>
        <w:rPr>
          <w:rStyle w:val="Strong"/>
        </w:rPr>
      </w:pPr>
      <w:r>
        <w:rPr>
          <w:b/>
          <w:noProof/>
        </w:rPr>
        <w:drawing>
          <wp:inline distT="0" distB="0" distL="0" distR="0">
            <wp:extent cx="2705100" cy="1905000"/>
            <wp:effectExtent l="1905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705100" cy="1905000"/>
                    </a:xfrm>
                    <a:prstGeom prst="rect">
                      <a:avLst/>
                    </a:prstGeom>
                    <a:noFill/>
                    <a:ln w="9525">
                      <a:noFill/>
                      <a:miter lim="800000"/>
                      <a:headEnd/>
                      <a:tailEnd/>
                    </a:ln>
                  </pic:spPr>
                </pic:pic>
              </a:graphicData>
            </a:graphic>
          </wp:inline>
        </w:drawing>
      </w:r>
      <w:r>
        <w:rPr>
          <w:b/>
          <w:noProof/>
        </w:rPr>
        <w:drawing>
          <wp:inline distT="0" distB="0" distL="0" distR="0">
            <wp:extent cx="2705100" cy="1905000"/>
            <wp:effectExtent l="19050" t="0" r="0" b="0"/>
            <wp:docPr id="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2705100" cy="1905000"/>
                    </a:xfrm>
                    <a:prstGeom prst="rect">
                      <a:avLst/>
                    </a:prstGeom>
                    <a:noFill/>
                    <a:ln w="9525">
                      <a:noFill/>
                      <a:miter lim="800000"/>
                      <a:headEnd/>
                      <a:tailEnd/>
                    </a:ln>
                  </pic:spPr>
                </pic:pic>
              </a:graphicData>
            </a:graphic>
          </wp:inline>
        </w:drawing>
      </w:r>
    </w:p>
    <w:p w:rsidR="00AF74E8" w:rsidRPr="00050374" w:rsidRDefault="00AF74E8" w:rsidP="00DC52BC">
      <w:pPr>
        <w:pStyle w:val="ListParagraph"/>
        <w:jc w:val="center"/>
        <w:rPr>
          <w:rStyle w:val="Strong"/>
        </w:rPr>
      </w:pPr>
    </w:p>
    <w:p w:rsidR="000D47CD" w:rsidRPr="00050374" w:rsidRDefault="000D47CD" w:rsidP="00BA25E2">
      <w:pPr>
        <w:pStyle w:val="Heading2"/>
      </w:pPr>
      <w:bookmarkStart w:id="247" w:name="_Toc318805853"/>
      <w:bookmarkStart w:id="248" w:name="_Toc326074026"/>
      <w:bookmarkEnd w:id="247"/>
      <w:r w:rsidRPr="00050374">
        <w:lastRenderedPageBreak/>
        <w:t xml:space="preserve">Capacity Bidding Program </w:t>
      </w:r>
      <w:r w:rsidR="00280B04">
        <w:t>Load Impacts</w:t>
      </w:r>
      <w:bookmarkEnd w:id="248"/>
    </w:p>
    <w:p w:rsidR="004D1278" w:rsidRDefault="007821EF" w:rsidP="000D47CD">
      <w:pPr>
        <w:pStyle w:val="BodyParagraph"/>
      </w:pPr>
      <w:r>
        <w:t xml:space="preserve">Table </w:t>
      </w:r>
      <w:r w:rsidR="00A52143">
        <w:t>5</w:t>
      </w:r>
      <w:r>
        <w:t>-5</w:t>
      </w:r>
      <w:r w:rsidR="000D47CD" w:rsidRPr="00050374">
        <w:t xml:space="preserve"> </w:t>
      </w:r>
      <w:r w:rsidR="00B80A60">
        <w:t>contains</w:t>
      </w:r>
      <w:r w:rsidR="000D47CD" w:rsidRPr="00050374">
        <w:t xml:space="preserve"> the estimated </w:t>
      </w:r>
      <w:r w:rsidR="00AD683A">
        <w:t>ex post</w:t>
      </w:r>
      <w:r w:rsidR="000D47CD" w:rsidRPr="00050374">
        <w:t xml:space="preserve"> load impacts for each CBP event day and </w:t>
      </w:r>
      <w:r w:rsidR="00B80A60">
        <w:t xml:space="preserve">for </w:t>
      </w:r>
      <w:r w:rsidR="000D47CD" w:rsidRPr="00050374">
        <w:t xml:space="preserve">the average event in 2011.  On average, day-ahead notification customers reduced demand by </w:t>
      </w:r>
      <w:r>
        <w:t>25</w:t>
      </w:r>
      <w:r w:rsidR="009672C2" w:rsidRPr="00050374">
        <w:t>% and delivered 3.</w:t>
      </w:r>
      <w:r w:rsidR="00E353B5">
        <w:t>8</w:t>
      </w:r>
      <w:r w:rsidR="000F1689">
        <w:t> </w:t>
      </w:r>
      <w:r w:rsidR="000D47CD" w:rsidRPr="00050374">
        <w:t xml:space="preserve">MW of demand reduction.  </w:t>
      </w:r>
      <w:r w:rsidR="00650881">
        <w:t xml:space="preserve">As was seen previously in Table </w:t>
      </w:r>
      <w:r w:rsidR="009918EE">
        <w:t>5</w:t>
      </w:r>
      <w:r w:rsidR="00650881">
        <w:t>-1, SCE d</w:t>
      </w:r>
      <w:r w:rsidR="0006539C">
        <w:t>id</w:t>
      </w:r>
      <w:r w:rsidR="00650881">
        <w:t xml:space="preserve"> not dispatch all aggregators on every event day</w:t>
      </w:r>
      <w:r w:rsidR="00EB4CC2">
        <w:t>,</w:t>
      </w:r>
      <w:r w:rsidR="009C3A3B">
        <w:t xml:space="preserve"> and the committed load reductions vary across months</w:t>
      </w:r>
      <w:r w:rsidR="00650881">
        <w:t xml:space="preserve">.  This explains the significant differences in load impacts </w:t>
      </w:r>
      <w:r w:rsidR="00BD7BFE">
        <w:t>across some of the events.  For example, for the events on July 5, 6 and 7, only 2 aggregators and 3 accounts were nominated</w:t>
      </w:r>
      <w:r w:rsidR="004D1278">
        <w:t>.  The aggregate and percentage impacts across the August events varied from a low of 2 MW and 10.8% reduction on August 19 to a high of 6 MW and 30.8% reduction on August 24.  The August 19 event day was the coolest of the summer and the only Friday event day.  The event was only in effect for two hours, from 3 PM to 5 PM, when business activ</w:t>
      </w:r>
      <w:r w:rsidR="009C3A3B">
        <w:t>i</w:t>
      </w:r>
      <w:r w:rsidR="004D1278">
        <w:t xml:space="preserve">ty may have been winding down on a Friday afternoon.  The next lowest event impact was 3.7 MW on August 2, nearly twice as much as the August 19 estimate.  </w:t>
      </w:r>
    </w:p>
    <w:p w:rsidR="000D47CD" w:rsidRPr="00050374" w:rsidRDefault="00CA723C" w:rsidP="000D47CD">
      <w:pPr>
        <w:pStyle w:val="BodyParagraph"/>
      </w:pPr>
      <w:r>
        <w:t xml:space="preserve">The number of nominated accounts for the </w:t>
      </w:r>
      <w:r w:rsidR="00F95446">
        <w:t>same-day notification</w:t>
      </w:r>
      <w:r w:rsidR="000D47CD" w:rsidRPr="00050374">
        <w:t xml:space="preserve"> </w:t>
      </w:r>
      <w:r w:rsidR="008664F8">
        <w:t xml:space="preserve">products was roughly twice as large as for the typical </w:t>
      </w:r>
      <w:r w:rsidR="00F95446">
        <w:t>day-of</w:t>
      </w:r>
      <w:r w:rsidR="008664F8">
        <w:t xml:space="preserve"> event</w:t>
      </w:r>
      <w:r w:rsidR="009C3A3B">
        <w:t xml:space="preserve"> </w:t>
      </w:r>
      <w:r w:rsidR="008664F8">
        <w:t xml:space="preserve">day.  For the 1-4 hour product, the percent reduction </w:t>
      </w:r>
      <w:r w:rsidR="0006539C">
        <w:t>wa</w:t>
      </w:r>
      <w:r w:rsidR="008664F8">
        <w:t xml:space="preserve">s less than for most </w:t>
      </w:r>
      <w:r w:rsidR="00F95446">
        <w:t>day-ahead</w:t>
      </w:r>
      <w:r w:rsidR="008664F8">
        <w:t xml:space="preserve"> events, averaging 16.7% compared with 24.8% for the </w:t>
      </w:r>
      <w:r w:rsidR="00F95446">
        <w:t>day-ahead</w:t>
      </w:r>
      <w:r w:rsidR="008664F8">
        <w:t xml:space="preserve"> events.  Aggregate load impacts averaged 6.8 MW.  The percent reduction for the </w:t>
      </w:r>
      <w:r w:rsidR="00F95446">
        <w:t>day-of</w:t>
      </w:r>
      <w:r w:rsidR="008664F8">
        <w:t xml:space="preserve">, 2-6 hour product averaged 21.3%. </w:t>
      </w:r>
      <w:r w:rsidR="00E41E27">
        <w:t xml:space="preserve"> </w:t>
      </w:r>
      <w:r w:rsidR="008664F8">
        <w:t xml:space="preserve">Aggregate load impacts averaged 12.4 MW.  </w:t>
      </w:r>
    </w:p>
    <w:p w:rsidR="000D47CD" w:rsidRDefault="009C3A3B" w:rsidP="00BA25E2">
      <w:pPr>
        <w:pStyle w:val="TableFigureCaption"/>
        <w:rPr>
          <w:rStyle w:val="Strong"/>
          <w:b/>
          <w:bCs w:val="0"/>
        </w:rPr>
      </w:pPr>
      <w:r>
        <w:rPr>
          <w:rStyle w:val="Strong"/>
          <w:b/>
          <w:bCs w:val="0"/>
        </w:rPr>
        <w:br w:type="column"/>
      </w:r>
      <w:r w:rsidR="000D47CD" w:rsidRPr="00050374">
        <w:rPr>
          <w:rStyle w:val="Strong"/>
          <w:b/>
          <w:bCs w:val="0"/>
        </w:rPr>
        <w:lastRenderedPageBreak/>
        <w:t xml:space="preserve">Table </w:t>
      </w:r>
      <w:r w:rsidR="00A52143">
        <w:rPr>
          <w:rStyle w:val="Strong"/>
          <w:b/>
          <w:bCs w:val="0"/>
        </w:rPr>
        <w:t>5</w:t>
      </w:r>
      <w:r w:rsidR="007821EF">
        <w:rPr>
          <w:rStyle w:val="Strong"/>
          <w:b/>
          <w:bCs w:val="0"/>
        </w:rPr>
        <w:t>-5</w:t>
      </w:r>
      <w:r w:rsidR="000D47CD" w:rsidRPr="00050374">
        <w:rPr>
          <w:rStyle w:val="Strong"/>
          <w:b/>
          <w:bCs w:val="0"/>
        </w:rPr>
        <w:t>:</w:t>
      </w:r>
      <w:r w:rsidR="00D921E2">
        <w:rPr>
          <w:rStyle w:val="Strong"/>
          <w:b/>
          <w:bCs w:val="0"/>
        </w:rPr>
        <w:t xml:space="preserve"> </w:t>
      </w:r>
      <w:r w:rsidR="00AD683A">
        <w:rPr>
          <w:rStyle w:val="Strong"/>
          <w:b/>
          <w:bCs w:val="0"/>
        </w:rPr>
        <w:t xml:space="preserve">Estimated Ex </w:t>
      </w:r>
      <w:r w:rsidR="000D47CD" w:rsidRPr="00050374">
        <w:rPr>
          <w:rStyle w:val="Strong"/>
          <w:b/>
          <w:bCs w:val="0"/>
        </w:rPr>
        <w:t>Post Load Impacts by Event Day</w:t>
      </w:r>
      <w:r w:rsidR="000D47CD" w:rsidRPr="00050374">
        <w:rPr>
          <w:rStyle w:val="Strong"/>
          <w:b/>
          <w:bCs w:val="0"/>
        </w:rPr>
        <w:br/>
        <w:t xml:space="preserve">2011 </w:t>
      </w:r>
      <w:r w:rsidR="007821EF">
        <w:rPr>
          <w:rStyle w:val="Strong"/>
          <w:b/>
          <w:bCs w:val="0"/>
        </w:rPr>
        <w:t>SCE</w:t>
      </w:r>
      <w:r w:rsidR="000D47CD" w:rsidRPr="00050374">
        <w:rPr>
          <w:rStyle w:val="Strong"/>
          <w:b/>
          <w:bCs w:val="0"/>
        </w:rPr>
        <w:t xml:space="preserve"> CBP Events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7"/>
        <w:gridCol w:w="1385"/>
        <w:gridCol w:w="898"/>
        <w:gridCol w:w="898"/>
        <w:gridCol w:w="898"/>
        <w:gridCol w:w="898"/>
        <w:gridCol w:w="993"/>
        <w:gridCol w:w="898"/>
        <w:gridCol w:w="898"/>
        <w:gridCol w:w="913"/>
      </w:tblGrid>
      <w:tr w:rsidR="008F19CC" w:rsidRPr="00C928C8" w:rsidTr="006B7BA6">
        <w:trPr>
          <w:trHeight w:val="816"/>
          <w:tblHeader/>
        </w:trPr>
        <w:tc>
          <w:tcPr>
            <w:tcW w:w="767" w:type="dxa"/>
            <w:tcBorders>
              <w:right w:val="single" w:sz="4" w:space="0" w:color="FFFFFF" w:themeColor="background1"/>
            </w:tcBorders>
            <w:shd w:val="clear" w:color="000000" w:fill="1F497D" w:themeFill="text2"/>
            <w:tcMar>
              <w:left w:w="43" w:type="dxa"/>
              <w:right w:w="43" w:type="dxa"/>
            </w:tcMar>
            <w:vAlign w:val="center"/>
            <w:hideMark/>
          </w:tcPr>
          <w:p w:rsidR="00C928C8" w:rsidRPr="00C928C8" w:rsidRDefault="00C928C8" w:rsidP="006B7BA6">
            <w:pPr>
              <w:spacing w:after="0" w:line="240" w:lineRule="auto"/>
              <w:jc w:val="center"/>
              <w:rPr>
                <w:rFonts w:ascii="Arial" w:eastAsia="Times New Roman" w:hAnsi="Arial" w:cs="Arial"/>
                <w:b/>
                <w:bCs/>
                <w:color w:val="FFFFFF"/>
                <w:sz w:val="16"/>
                <w:szCs w:val="16"/>
              </w:rPr>
            </w:pPr>
            <w:r w:rsidRPr="00C928C8">
              <w:rPr>
                <w:rFonts w:ascii="Arial" w:eastAsia="Times New Roman" w:hAnsi="Arial" w:cs="Arial"/>
                <w:b/>
                <w:bCs/>
                <w:color w:val="FFFFFF"/>
                <w:sz w:val="16"/>
                <w:szCs w:val="16"/>
              </w:rPr>
              <w:t>Program</w:t>
            </w:r>
          </w:p>
        </w:tc>
        <w:tc>
          <w:tcPr>
            <w:tcW w:w="1385" w:type="dxa"/>
            <w:tcBorders>
              <w:left w:val="single" w:sz="4" w:space="0" w:color="FFFFFF" w:themeColor="background1"/>
              <w:right w:val="single" w:sz="4" w:space="0" w:color="FFFFFF" w:themeColor="background1"/>
            </w:tcBorders>
            <w:shd w:val="clear" w:color="000000" w:fill="1F497D" w:themeFill="text2"/>
            <w:tcMar>
              <w:left w:w="43" w:type="dxa"/>
              <w:right w:w="43" w:type="dxa"/>
            </w:tcMar>
            <w:vAlign w:val="center"/>
            <w:hideMark/>
          </w:tcPr>
          <w:p w:rsidR="00C928C8" w:rsidRPr="00C928C8" w:rsidRDefault="00C928C8" w:rsidP="006B7BA6">
            <w:pPr>
              <w:spacing w:after="0" w:line="240" w:lineRule="auto"/>
              <w:jc w:val="center"/>
              <w:rPr>
                <w:rFonts w:ascii="Arial" w:eastAsia="Times New Roman" w:hAnsi="Arial" w:cs="Arial"/>
                <w:b/>
                <w:bCs/>
                <w:color w:val="FFFFFF"/>
                <w:sz w:val="16"/>
                <w:szCs w:val="16"/>
              </w:rPr>
            </w:pPr>
            <w:r w:rsidRPr="00C928C8">
              <w:rPr>
                <w:rFonts w:ascii="Arial" w:eastAsia="Times New Roman" w:hAnsi="Arial" w:cs="Arial"/>
                <w:b/>
                <w:bCs/>
                <w:color w:val="FFFFFF"/>
                <w:sz w:val="16"/>
                <w:szCs w:val="16"/>
              </w:rPr>
              <w:t>Event date</w:t>
            </w:r>
          </w:p>
        </w:tc>
        <w:tc>
          <w:tcPr>
            <w:tcW w:w="898" w:type="dxa"/>
            <w:tcBorders>
              <w:left w:val="single" w:sz="4" w:space="0" w:color="FFFFFF" w:themeColor="background1"/>
              <w:right w:val="single" w:sz="4" w:space="0" w:color="FFFFFF" w:themeColor="background1"/>
            </w:tcBorders>
            <w:shd w:val="clear" w:color="000000" w:fill="1F497D" w:themeFill="text2"/>
            <w:tcMar>
              <w:left w:w="43" w:type="dxa"/>
              <w:right w:w="43" w:type="dxa"/>
            </w:tcMar>
            <w:vAlign w:val="center"/>
            <w:hideMark/>
          </w:tcPr>
          <w:p w:rsidR="00C928C8" w:rsidRPr="00C928C8" w:rsidRDefault="00C928C8" w:rsidP="006B7BA6">
            <w:pPr>
              <w:spacing w:after="0" w:line="240" w:lineRule="auto"/>
              <w:jc w:val="center"/>
              <w:rPr>
                <w:rFonts w:ascii="Arial" w:eastAsia="Times New Roman" w:hAnsi="Arial" w:cs="Arial"/>
                <w:b/>
                <w:bCs/>
                <w:color w:val="FFFFFF"/>
                <w:sz w:val="16"/>
                <w:szCs w:val="16"/>
              </w:rPr>
            </w:pPr>
            <w:r w:rsidRPr="00C928C8">
              <w:rPr>
                <w:rFonts w:ascii="Arial" w:eastAsia="Times New Roman" w:hAnsi="Arial" w:cs="Arial"/>
                <w:b/>
                <w:bCs/>
                <w:color w:val="FFFFFF"/>
                <w:sz w:val="16"/>
                <w:szCs w:val="16"/>
              </w:rPr>
              <w:t>Acc</w:t>
            </w:r>
            <w:r w:rsidR="00E41E27">
              <w:rPr>
                <w:rFonts w:ascii="Arial" w:eastAsia="Times New Roman" w:hAnsi="Arial" w:cs="Arial"/>
                <w:b/>
                <w:bCs/>
                <w:color w:val="FFFFFF"/>
                <w:sz w:val="16"/>
                <w:szCs w:val="16"/>
              </w:rPr>
              <w:t>oun</w:t>
            </w:r>
            <w:r w:rsidRPr="00C928C8">
              <w:rPr>
                <w:rFonts w:ascii="Arial" w:eastAsia="Times New Roman" w:hAnsi="Arial" w:cs="Arial"/>
                <w:b/>
                <w:bCs/>
                <w:color w:val="FFFFFF"/>
                <w:sz w:val="16"/>
                <w:szCs w:val="16"/>
              </w:rPr>
              <w:t>ts</w:t>
            </w:r>
          </w:p>
        </w:tc>
        <w:tc>
          <w:tcPr>
            <w:tcW w:w="898" w:type="dxa"/>
            <w:tcBorders>
              <w:left w:val="single" w:sz="4" w:space="0" w:color="FFFFFF" w:themeColor="background1"/>
              <w:right w:val="single" w:sz="4" w:space="0" w:color="FFFFFF" w:themeColor="background1"/>
            </w:tcBorders>
            <w:shd w:val="clear" w:color="000000" w:fill="1F497D" w:themeFill="text2"/>
            <w:tcMar>
              <w:left w:w="43" w:type="dxa"/>
              <w:right w:w="43" w:type="dxa"/>
            </w:tcMar>
            <w:vAlign w:val="center"/>
            <w:hideMark/>
          </w:tcPr>
          <w:p w:rsidR="00E41E27" w:rsidRDefault="00C928C8" w:rsidP="006B7BA6">
            <w:pPr>
              <w:spacing w:after="0" w:line="240" w:lineRule="auto"/>
              <w:jc w:val="center"/>
              <w:rPr>
                <w:rFonts w:ascii="Arial" w:eastAsia="Times New Roman" w:hAnsi="Arial" w:cs="Arial"/>
                <w:b/>
                <w:bCs/>
                <w:color w:val="FFFFFF"/>
                <w:sz w:val="16"/>
                <w:szCs w:val="16"/>
              </w:rPr>
            </w:pPr>
            <w:r w:rsidRPr="00C928C8">
              <w:rPr>
                <w:rFonts w:ascii="Arial" w:eastAsia="Times New Roman" w:hAnsi="Arial" w:cs="Arial"/>
                <w:b/>
                <w:bCs/>
                <w:color w:val="FFFFFF"/>
                <w:sz w:val="16"/>
                <w:szCs w:val="16"/>
              </w:rPr>
              <w:t>Av</w:t>
            </w:r>
            <w:r w:rsidR="00E41E27">
              <w:rPr>
                <w:rFonts w:ascii="Arial" w:eastAsia="Times New Roman" w:hAnsi="Arial" w:cs="Arial"/>
                <w:b/>
                <w:bCs/>
                <w:color w:val="FFFFFF"/>
                <w:sz w:val="16"/>
                <w:szCs w:val="16"/>
              </w:rPr>
              <w:t>erage</w:t>
            </w:r>
            <w:r w:rsidRPr="00C928C8">
              <w:rPr>
                <w:rFonts w:ascii="Arial" w:eastAsia="Times New Roman" w:hAnsi="Arial" w:cs="Arial"/>
                <w:b/>
                <w:bCs/>
                <w:color w:val="FFFFFF"/>
                <w:sz w:val="16"/>
                <w:szCs w:val="16"/>
              </w:rPr>
              <w:t xml:space="preserve"> Reference Load </w:t>
            </w:r>
          </w:p>
          <w:p w:rsidR="00C928C8" w:rsidRPr="00C928C8" w:rsidRDefault="00C928C8" w:rsidP="006B7BA6">
            <w:pPr>
              <w:spacing w:after="0" w:line="240" w:lineRule="auto"/>
              <w:jc w:val="center"/>
              <w:rPr>
                <w:rFonts w:ascii="Arial" w:eastAsia="Times New Roman" w:hAnsi="Arial" w:cs="Arial"/>
                <w:b/>
                <w:bCs/>
                <w:color w:val="FFFFFF"/>
                <w:sz w:val="16"/>
                <w:szCs w:val="16"/>
              </w:rPr>
            </w:pPr>
            <w:r w:rsidRPr="00C928C8">
              <w:rPr>
                <w:rFonts w:ascii="Arial" w:eastAsia="Times New Roman" w:hAnsi="Arial" w:cs="Arial"/>
                <w:b/>
                <w:bCs/>
                <w:color w:val="FFFFFF"/>
                <w:sz w:val="16"/>
                <w:szCs w:val="16"/>
              </w:rPr>
              <w:t>(kW)</w:t>
            </w:r>
          </w:p>
        </w:tc>
        <w:tc>
          <w:tcPr>
            <w:tcW w:w="898" w:type="dxa"/>
            <w:tcBorders>
              <w:left w:val="single" w:sz="4" w:space="0" w:color="FFFFFF" w:themeColor="background1"/>
              <w:right w:val="single" w:sz="4" w:space="0" w:color="FFFFFF" w:themeColor="background1"/>
            </w:tcBorders>
            <w:shd w:val="clear" w:color="000000" w:fill="1F497D" w:themeFill="text2"/>
            <w:tcMar>
              <w:left w:w="43" w:type="dxa"/>
              <w:right w:w="43" w:type="dxa"/>
            </w:tcMar>
            <w:vAlign w:val="center"/>
            <w:hideMark/>
          </w:tcPr>
          <w:p w:rsidR="00C928C8" w:rsidRPr="00C928C8" w:rsidRDefault="00C928C8" w:rsidP="006B7BA6">
            <w:pPr>
              <w:spacing w:after="0" w:line="240" w:lineRule="auto"/>
              <w:jc w:val="center"/>
              <w:rPr>
                <w:rFonts w:ascii="Arial" w:eastAsia="Times New Roman" w:hAnsi="Arial" w:cs="Arial"/>
                <w:b/>
                <w:bCs/>
                <w:color w:val="FFFFFF"/>
                <w:sz w:val="16"/>
                <w:szCs w:val="16"/>
              </w:rPr>
            </w:pPr>
            <w:r w:rsidRPr="00C928C8">
              <w:rPr>
                <w:rFonts w:ascii="Arial" w:eastAsia="Times New Roman" w:hAnsi="Arial" w:cs="Arial"/>
                <w:b/>
                <w:bCs/>
                <w:color w:val="FFFFFF"/>
                <w:sz w:val="16"/>
                <w:szCs w:val="16"/>
              </w:rPr>
              <w:t>Average Load Reduction (kW)</w:t>
            </w:r>
          </w:p>
        </w:tc>
        <w:tc>
          <w:tcPr>
            <w:tcW w:w="898" w:type="dxa"/>
            <w:tcBorders>
              <w:left w:val="single" w:sz="4" w:space="0" w:color="FFFFFF" w:themeColor="background1"/>
              <w:right w:val="single" w:sz="4" w:space="0" w:color="FFFFFF" w:themeColor="background1"/>
            </w:tcBorders>
            <w:shd w:val="clear" w:color="000000" w:fill="1F497D" w:themeFill="text2"/>
            <w:tcMar>
              <w:left w:w="43" w:type="dxa"/>
              <w:right w:w="43" w:type="dxa"/>
            </w:tcMar>
            <w:vAlign w:val="center"/>
            <w:hideMark/>
          </w:tcPr>
          <w:p w:rsidR="00C928C8" w:rsidRPr="00C928C8" w:rsidRDefault="00C928C8" w:rsidP="006B7BA6">
            <w:pPr>
              <w:spacing w:after="0" w:line="240" w:lineRule="auto"/>
              <w:jc w:val="center"/>
              <w:rPr>
                <w:rFonts w:ascii="Arial" w:eastAsia="Times New Roman" w:hAnsi="Arial" w:cs="Arial"/>
                <w:b/>
                <w:bCs/>
                <w:color w:val="FFFFFF"/>
                <w:sz w:val="16"/>
                <w:szCs w:val="16"/>
              </w:rPr>
            </w:pPr>
            <w:r w:rsidRPr="00C928C8">
              <w:rPr>
                <w:rFonts w:ascii="Arial" w:eastAsia="Times New Roman" w:hAnsi="Arial" w:cs="Arial"/>
                <w:b/>
                <w:bCs/>
                <w:color w:val="FFFFFF"/>
                <w:sz w:val="16"/>
                <w:szCs w:val="16"/>
              </w:rPr>
              <w:t>% Load Reduction</w:t>
            </w:r>
          </w:p>
        </w:tc>
        <w:tc>
          <w:tcPr>
            <w:tcW w:w="993" w:type="dxa"/>
            <w:tcBorders>
              <w:left w:val="single" w:sz="4" w:space="0" w:color="FFFFFF" w:themeColor="background1"/>
              <w:right w:val="single" w:sz="4" w:space="0" w:color="FFFFFF" w:themeColor="background1"/>
            </w:tcBorders>
            <w:shd w:val="clear" w:color="000000" w:fill="1F497D" w:themeFill="text2"/>
            <w:tcMar>
              <w:left w:w="43" w:type="dxa"/>
              <w:right w:w="43" w:type="dxa"/>
            </w:tcMar>
            <w:vAlign w:val="center"/>
            <w:hideMark/>
          </w:tcPr>
          <w:p w:rsidR="00E41E27" w:rsidRDefault="00C928C8" w:rsidP="006B7BA6">
            <w:pPr>
              <w:spacing w:after="0" w:line="240" w:lineRule="auto"/>
              <w:jc w:val="center"/>
              <w:rPr>
                <w:rFonts w:ascii="Arial" w:eastAsia="Times New Roman" w:hAnsi="Arial" w:cs="Arial"/>
                <w:b/>
                <w:bCs/>
                <w:color w:val="FFFFFF"/>
                <w:sz w:val="16"/>
                <w:szCs w:val="16"/>
              </w:rPr>
            </w:pPr>
            <w:r w:rsidRPr="00C928C8">
              <w:rPr>
                <w:rFonts w:ascii="Arial" w:eastAsia="Times New Roman" w:hAnsi="Arial" w:cs="Arial"/>
                <w:b/>
                <w:bCs/>
                <w:color w:val="FFFFFF"/>
                <w:sz w:val="16"/>
                <w:szCs w:val="16"/>
              </w:rPr>
              <w:t xml:space="preserve">Aggregate Reference Load </w:t>
            </w:r>
          </w:p>
          <w:p w:rsidR="00C928C8" w:rsidRPr="00C928C8" w:rsidRDefault="00C928C8" w:rsidP="006B7BA6">
            <w:pPr>
              <w:spacing w:after="0" w:line="240" w:lineRule="auto"/>
              <w:jc w:val="center"/>
              <w:rPr>
                <w:rFonts w:ascii="Arial" w:eastAsia="Times New Roman" w:hAnsi="Arial" w:cs="Arial"/>
                <w:b/>
                <w:bCs/>
                <w:color w:val="FFFFFF"/>
                <w:sz w:val="16"/>
                <w:szCs w:val="16"/>
              </w:rPr>
            </w:pPr>
            <w:r w:rsidRPr="00C928C8">
              <w:rPr>
                <w:rFonts w:ascii="Arial" w:eastAsia="Times New Roman" w:hAnsi="Arial" w:cs="Arial"/>
                <w:b/>
                <w:bCs/>
                <w:color w:val="FFFFFF"/>
                <w:sz w:val="16"/>
                <w:szCs w:val="16"/>
              </w:rPr>
              <w:t>(MW)</w:t>
            </w:r>
          </w:p>
        </w:tc>
        <w:tc>
          <w:tcPr>
            <w:tcW w:w="898" w:type="dxa"/>
            <w:tcBorders>
              <w:left w:val="single" w:sz="4" w:space="0" w:color="FFFFFF" w:themeColor="background1"/>
              <w:right w:val="single" w:sz="4" w:space="0" w:color="FFFFFF" w:themeColor="background1"/>
            </w:tcBorders>
            <w:shd w:val="clear" w:color="000000" w:fill="1F497D" w:themeFill="text2"/>
            <w:tcMar>
              <w:left w:w="43" w:type="dxa"/>
              <w:right w:w="43" w:type="dxa"/>
            </w:tcMar>
            <w:vAlign w:val="center"/>
            <w:hideMark/>
          </w:tcPr>
          <w:p w:rsidR="00C928C8" w:rsidRPr="00C928C8" w:rsidRDefault="00C928C8" w:rsidP="006B7BA6">
            <w:pPr>
              <w:spacing w:after="0" w:line="240" w:lineRule="auto"/>
              <w:jc w:val="center"/>
              <w:rPr>
                <w:rFonts w:ascii="Arial" w:eastAsia="Times New Roman" w:hAnsi="Arial" w:cs="Arial"/>
                <w:b/>
                <w:bCs/>
                <w:color w:val="FFFFFF"/>
                <w:sz w:val="16"/>
                <w:szCs w:val="16"/>
              </w:rPr>
            </w:pPr>
            <w:r w:rsidRPr="00C928C8">
              <w:rPr>
                <w:rFonts w:ascii="Arial" w:eastAsia="Times New Roman" w:hAnsi="Arial" w:cs="Arial"/>
                <w:b/>
                <w:bCs/>
                <w:color w:val="FFFFFF"/>
                <w:sz w:val="16"/>
                <w:szCs w:val="16"/>
              </w:rPr>
              <w:t>Aggregate Load Impact (MW)</w:t>
            </w:r>
          </w:p>
        </w:tc>
        <w:tc>
          <w:tcPr>
            <w:tcW w:w="898" w:type="dxa"/>
            <w:tcBorders>
              <w:left w:val="single" w:sz="4" w:space="0" w:color="FFFFFF" w:themeColor="background1"/>
              <w:right w:val="single" w:sz="4" w:space="0" w:color="FFFFFF" w:themeColor="background1"/>
            </w:tcBorders>
            <w:shd w:val="clear" w:color="000000" w:fill="1F497D" w:themeFill="text2"/>
            <w:tcMar>
              <w:left w:w="43" w:type="dxa"/>
              <w:right w:w="43" w:type="dxa"/>
            </w:tcMar>
            <w:vAlign w:val="center"/>
            <w:hideMark/>
          </w:tcPr>
          <w:p w:rsidR="00C928C8" w:rsidRPr="00C928C8" w:rsidRDefault="00C928C8" w:rsidP="006B7BA6">
            <w:pPr>
              <w:spacing w:after="0" w:line="240" w:lineRule="auto"/>
              <w:jc w:val="center"/>
              <w:rPr>
                <w:rFonts w:ascii="Arial" w:eastAsia="Times New Roman" w:hAnsi="Arial" w:cs="Arial"/>
                <w:b/>
                <w:bCs/>
                <w:color w:val="FFFFFF"/>
                <w:sz w:val="16"/>
                <w:szCs w:val="16"/>
              </w:rPr>
            </w:pPr>
            <w:r w:rsidRPr="00C928C8">
              <w:rPr>
                <w:rFonts w:ascii="Arial" w:eastAsia="Times New Roman" w:hAnsi="Arial" w:cs="Arial"/>
                <w:b/>
                <w:bCs/>
                <w:color w:val="FFFFFF"/>
                <w:sz w:val="16"/>
                <w:szCs w:val="16"/>
              </w:rPr>
              <w:t>Av</w:t>
            </w:r>
            <w:r w:rsidR="00E41E27">
              <w:rPr>
                <w:rFonts w:ascii="Arial" w:eastAsia="Times New Roman" w:hAnsi="Arial" w:cs="Arial"/>
                <w:b/>
                <w:bCs/>
                <w:color w:val="FFFFFF"/>
                <w:sz w:val="16"/>
                <w:szCs w:val="16"/>
              </w:rPr>
              <w:t>erage</w:t>
            </w:r>
            <w:r w:rsidRPr="00C928C8">
              <w:rPr>
                <w:rFonts w:ascii="Arial" w:eastAsia="Times New Roman" w:hAnsi="Arial" w:cs="Arial"/>
                <w:b/>
                <w:bCs/>
                <w:color w:val="FFFFFF"/>
                <w:sz w:val="16"/>
                <w:szCs w:val="16"/>
              </w:rPr>
              <w:t xml:space="preserve"> Temp</w:t>
            </w:r>
            <w:r w:rsidR="00E41E27">
              <w:rPr>
                <w:rFonts w:ascii="Arial" w:eastAsia="Times New Roman" w:hAnsi="Arial" w:cs="Arial"/>
                <w:b/>
                <w:bCs/>
                <w:color w:val="FFFFFF"/>
                <w:sz w:val="16"/>
                <w:szCs w:val="16"/>
              </w:rPr>
              <w:t>.</w:t>
            </w:r>
            <w:r w:rsidRPr="00C928C8">
              <w:rPr>
                <w:rFonts w:ascii="Arial" w:eastAsia="Times New Roman" w:hAnsi="Arial" w:cs="Arial"/>
                <w:b/>
                <w:bCs/>
                <w:color w:val="FFFFFF"/>
                <w:sz w:val="16"/>
                <w:szCs w:val="16"/>
              </w:rPr>
              <w:t xml:space="preserve"> During Event</w:t>
            </w:r>
          </w:p>
        </w:tc>
        <w:tc>
          <w:tcPr>
            <w:tcW w:w="913" w:type="dxa"/>
            <w:tcBorders>
              <w:left w:val="single" w:sz="4" w:space="0" w:color="FFFFFF" w:themeColor="background1"/>
            </w:tcBorders>
            <w:shd w:val="clear" w:color="000000" w:fill="1F497D" w:themeFill="text2"/>
            <w:tcMar>
              <w:left w:w="43" w:type="dxa"/>
              <w:right w:w="43" w:type="dxa"/>
            </w:tcMar>
            <w:vAlign w:val="center"/>
            <w:hideMark/>
          </w:tcPr>
          <w:p w:rsidR="00C928C8" w:rsidRPr="00C928C8" w:rsidRDefault="00C928C8" w:rsidP="006B7BA6">
            <w:pPr>
              <w:spacing w:after="0" w:line="240" w:lineRule="auto"/>
              <w:jc w:val="center"/>
              <w:rPr>
                <w:rFonts w:ascii="Arial" w:eastAsia="Times New Roman" w:hAnsi="Arial" w:cs="Arial"/>
                <w:b/>
                <w:bCs/>
                <w:color w:val="FFFFFF"/>
                <w:sz w:val="16"/>
                <w:szCs w:val="16"/>
              </w:rPr>
            </w:pPr>
            <w:r w:rsidRPr="00C928C8">
              <w:rPr>
                <w:rFonts w:ascii="Arial" w:eastAsia="Times New Roman" w:hAnsi="Arial" w:cs="Arial"/>
                <w:b/>
                <w:bCs/>
                <w:color w:val="FFFFFF"/>
                <w:sz w:val="16"/>
                <w:szCs w:val="16"/>
              </w:rPr>
              <w:t>Nominated MW*</w:t>
            </w:r>
          </w:p>
        </w:tc>
      </w:tr>
      <w:tr w:rsidR="00C928C8" w:rsidRPr="00C928C8" w:rsidTr="006B7BA6">
        <w:trPr>
          <w:trHeight w:hRule="exact" w:val="288"/>
        </w:trPr>
        <w:tc>
          <w:tcPr>
            <w:tcW w:w="767" w:type="dxa"/>
            <w:vMerge w:val="restart"/>
            <w:shd w:val="clear" w:color="auto" w:fill="auto"/>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CBP-DA 1-4 Hour</w:t>
            </w: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06/22/2011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77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102.3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7.8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7.6%</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7.9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0.6</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80.9</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2.6</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07/05/2011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847.8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51.9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6.1%</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79.0</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07/06/2011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862.3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109.0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12.6%</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2.6</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78.8</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07/07/2011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837.2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6.6</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77.4</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08/01/2011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112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172.2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38.1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22.1%</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4.3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85.0</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08/02/2011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112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177.2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33.1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18.7%</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85.4</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08/03/2011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112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175.8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47.9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27.2%</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5.4</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82.2</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08/04/2011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110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170.5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52.7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30.9%</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18.8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81.6</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08/16/2011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112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171.2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49.9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29.1%</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5.6</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81.3</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08/17/2011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112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171.8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29.6%</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82.9</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08/18/2011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112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171.7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44.1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25.7%</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4.9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81.6</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08/19/2011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166.3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18.0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10.8%</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18.5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77.4</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08/22/2011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169.2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30.0%</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18.8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5.6</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80.7</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08/23/2011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175.5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53.4</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30.5%</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84.1</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08/24/2011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175.4</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54.0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30.8%</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83.9</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09/07/2011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101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162.6</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45.7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28.1%</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16.4</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4.6</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92.2</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2.5</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09/08/2011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101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162.0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42.5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26.2%</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16.4</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4.3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87.8</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2.5</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Average Event</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89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173.9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43.2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24.8%</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15.5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3.8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84.2</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3.7</w:t>
            </w:r>
          </w:p>
        </w:tc>
      </w:tr>
      <w:tr w:rsidR="00C928C8" w:rsidRPr="00C928C8" w:rsidTr="009C3A3B">
        <w:trPr>
          <w:trHeight w:hRule="exact" w:val="288"/>
        </w:trPr>
        <w:tc>
          <w:tcPr>
            <w:tcW w:w="767" w:type="dxa"/>
            <w:vMerge w:val="restart"/>
            <w:shd w:val="clear" w:color="auto" w:fill="auto"/>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CBP-DA 2-6 Hour</w:t>
            </w: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08/01/2011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155.4</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7.2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4.6%</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66.7</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0.1</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08/02/2011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149.2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65.9</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0.1</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08/03/2011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144.5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-2.2%</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63.6</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0.1</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08/16/2011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148.8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7.7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5.2%</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66.6</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0.1</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08/17/2011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147.0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1.6</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1.1%</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66.4</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0.1</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08/18/2011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152.4</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-3.6</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-2.4%</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66.6</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0.1</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08/19/2011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144.3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1.3%</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66.8</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0.1</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08/22/2011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154.0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1.4%</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66.6</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0.1</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08/23/2011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146.3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65.8</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0.1</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08/24/2011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146.3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-0.6%</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66.7</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0.1</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Average Event</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149.3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0.8%</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0.0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66.2</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0.1</w:t>
            </w:r>
          </w:p>
        </w:tc>
      </w:tr>
      <w:tr w:rsidR="00C928C8" w:rsidRPr="00C928C8" w:rsidTr="009C3A3B">
        <w:trPr>
          <w:trHeight w:hRule="exact" w:val="288"/>
        </w:trPr>
        <w:tc>
          <w:tcPr>
            <w:tcW w:w="767" w:type="dxa"/>
            <w:vMerge w:val="restart"/>
            <w:shd w:val="clear" w:color="auto" w:fill="auto"/>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CBP-DO 1-4 Hour</w:t>
            </w: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07/28/2011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238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188.5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38.5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20.4%</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44.9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9.2</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80.9</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10.4</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08/25/2011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185.7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26.0</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14.0%</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37.7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91.4</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5.8</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09/07/2011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203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190.8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30.1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15.8%</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38.7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93.3</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5.0</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Average Event</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215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188.9</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31.5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16.7%</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40.6</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6.8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89.4</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7.1</w:t>
            </w:r>
          </w:p>
        </w:tc>
      </w:tr>
      <w:tr w:rsidR="00C928C8" w:rsidRPr="00C928C8" w:rsidTr="009C3A3B">
        <w:trPr>
          <w:trHeight w:hRule="exact" w:val="288"/>
        </w:trPr>
        <w:tc>
          <w:tcPr>
            <w:tcW w:w="767" w:type="dxa"/>
            <w:vMerge w:val="restart"/>
            <w:shd w:val="clear" w:color="auto" w:fill="auto"/>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CBP-DO 2-6 Hour</w:t>
            </w: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08/25/2011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291.6</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61.3</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21.0%</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57.4</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12.1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89.5</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7.7</w:t>
            </w:r>
          </w:p>
        </w:tc>
      </w:tr>
      <w:tr w:rsidR="00C928C8" w:rsidRPr="00C928C8" w:rsidTr="009C3A3B">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09/07/2011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197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298.5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63.8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21.4%</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58.8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12.6</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91.4</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color w:val="000000"/>
                <w:sz w:val="16"/>
                <w:szCs w:val="16"/>
              </w:rPr>
            </w:pPr>
            <w:r w:rsidRPr="00C928C8">
              <w:rPr>
                <w:rFonts w:ascii="Arial" w:eastAsia="Times New Roman" w:hAnsi="Arial" w:cs="Arial"/>
                <w:color w:val="000000"/>
                <w:sz w:val="16"/>
                <w:szCs w:val="16"/>
              </w:rPr>
              <w:t>7.7</w:t>
            </w:r>
          </w:p>
        </w:tc>
      </w:tr>
      <w:tr w:rsidR="00C928C8" w:rsidRPr="00C928C8" w:rsidTr="006B7BA6">
        <w:trPr>
          <w:trHeight w:hRule="exact" w:val="288"/>
        </w:trPr>
        <w:tc>
          <w:tcPr>
            <w:tcW w:w="767" w:type="dxa"/>
            <w:vMerge/>
            <w:tcMar>
              <w:left w:w="43" w:type="dxa"/>
              <w:right w:w="43" w:type="dxa"/>
            </w:tcMar>
            <w:vAlign w:val="center"/>
            <w:hideMark/>
          </w:tcPr>
          <w:p w:rsidR="00C928C8" w:rsidRPr="00C928C8" w:rsidRDefault="00C928C8" w:rsidP="00C928C8">
            <w:pPr>
              <w:spacing w:after="0" w:line="240" w:lineRule="auto"/>
              <w:rPr>
                <w:rFonts w:ascii="Arial" w:eastAsia="Times New Roman" w:hAnsi="Arial" w:cs="Arial"/>
                <w:color w:val="000000"/>
                <w:sz w:val="16"/>
                <w:szCs w:val="16"/>
              </w:rPr>
            </w:pPr>
          </w:p>
        </w:tc>
        <w:tc>
          <w:tcPr>
            <w:tcW w:w="1385"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Average Event</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197</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296.8</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63.1</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21.3%</w:t>
            </w:r>
          </w:p>
        </w:tc>
        <w:tc>
          <w:tcPr>
            <w:tcW w:w="99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58.5</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12.4</w:t>
            </w:r>
          </w:p>
        </w:tc>
        <w:tc>
          <w:tcPr>
            <w:tcW w:w="898"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90.9</w:t>
            </w:r>
          </w:p>
        </w:tc>
        <w:tc>
          <w:tcPr>
            <w:tcW w:w="913" w:type="dxa"/>
            <w:shd w:val="clear" w:color="auto" w:fill="auto"/>
            <w:noWrap/>
            <w:tcMar>
              <w:left w:w="43" w:type="dxa"/>
              <w:right w:w="43" w:type="dxa"/>
            </w:tcMar>
            <w:vAlign w:val="center"/>
            <w:hideMark/>
          </w:tcPr>
          <w:p w:rsidR="00C928C8" w:rsidRPr="00C928C8" w:rsidRDefault="00C928C8" w:rsidP="00C928C8">
            <w:pPr>
              <w:spacing w:after="0" w:line="240" w:lineRule="auto"/>
              <w:jc w:val="center"/>
              <w:rPr>
                <w:rFonts w:ascii="Arial" w:eastAsia="Times New Roman" w:hAnsi="Arial" w:cs="Arial"/>
                <w:b/>
                <w:bCs/>
                <w:color w:val="000000"/>
                <w:sz w:val="16"/>
                <w:szCs w:val="16"/>
              </w:rPr>
            </w:pPr>
            <w:r w:rsidRPr="00C928C8">
              <w:rPr>
                <w:rFonts w:ascii="Arial" w:eastAsia="Times New Roman" w:hAnsi="Arial" w:cs="Arial"/>
                <w:b/>
                <w:bCs/>
                <w:color w:val="000000"/>
                <w:sz w:val="16"/>
                <w:szCs w:val="16"/>
              </w:rPr>
              <w:t>7.7</w:t>
            </w:r>
          </w:p>
        </w:tc>
      </w:tr>
      <w:tr w:rsidR="00C928C8" w:rsidRPr="00C928C8" w:rsidTr="006B7BA6">
        <w:trPr>
          <w:trHeight w:val="444"/>
        </w:trPr>
        <w:tc>
          <w:tcPr>
            <w:tcW w:w="9446" w:type="dxa"/>
            <w:gridSpan w:val="10"/>
            <w:tcBorders>
              <w:left w:val="single" w:sz="4" w:space="0" w:color="FFFFFF" w:themeColor="background1"/>
              <w:bottom w:val="single" w:sz="4" w:space="0" w:color="FFFFFF" w:themeColor="background1"/>
              <w:right w:val="single" w:sz="4" w:space="0" w:color="FFFFFF" w:themeColor="background1"/>
            </w:tcBorders>
            <w:shd w:val="clear" w:color="auto" w:fill="auto"/>
            <w:tcMar>
              <w:left w:w="43" w:type="dxa"/>
              <w:right w:w="43" w:type="dxa"/>
            </w:tcMar>
            <w:vAlign w:val="center"/>
            <w:hideMark/>
          </w:tcPr>
          <w:p w:rsidR="005E3FA6" w:rsidRDefault="005E3FA6">
            <w:pPr>
              <w:pStyle w:val="Footnote"/>
              <w:rPr>
                <w:rFonts w:eastAsia="Times New Roman"/>
              </w:rPr>
            </w:pPr>
          </w:p>
        </w:tc>
      </w:tr>
    </w:tbl>
    <w:p w:rsidR="00AF74E8" w:rsidRDefault="00AF74E8" w:rsidP="00AF74E8">
      <w:pPr>
        <w:pStyle w:val="BodyParaAfterTableFigure"/>
      </w:pPr>
      <w:bookmarkStart w:id="249" w:name="_Toc318805855"/>
      <w:bookmarkStart w:id="250" w:name="_Toc318805866"/>
      <w:bookmarkStart w:id="251" w:name="_Toc318805876"/>
      <w:bookmarkStart w:id="252" w:name="_Toc318805886"/>
      <w:bookmarkStart w:id="253" w:name="_Toc318805896"/>
      <w:bookmarkStart w:id="254" w:name="_Toc318805906"/>
      <w:bookmarkStart w:id="255" w:name="_Toc318805916"/>
      <w:bookmarkStart w:id="256" w:name="_Toc318805926"/>
      <w:bookmarkStart w:id="257" w:name="_Toc318805936"/>
      <w:bookmarkStart w:id="258" w:name="_Toc318805946"/>
      <w:bookmarkStart w:id="259" w:name="_Toc318805956"/>
      <w:bookmarkStart w:id="260" w:name="_Toc318805966"/>
      <w:bookmarkStart w:id="261" w:name="_Toc318805976"/>
      <w:bookmarkStart w:id="262" w:name="_Toc318805986"/>
      <w:bookmarkStart w:id="263" w:name="_Toc318805996"/>
      <w:bookmarkStart w:id="264" w:name="_Toc318806006"/>
      <w:bookmarkStart w:id="265" w:name="_Toc318806016"/>
      <w:bookmarkStart w:id="266" w:name="_Toc318806026"/>
      <w:bookmarkStart w:id="267" w:name="_Toc318806036"/>
      <w:bookmarkStart w:id="268" w:name="_Toc318806056"/>
      <w:bookmarkStart w:id="269" w:name="_Toc318806066"/>
      <w:bookmarkStart w:id="270" w:name="_Toc318806076"/>
      <w:bookmarkStart w:id="271" w:name="_Toc318806096"/>
      <w:bookmarkStart w:id="272" w:name="_Toc318806106"/>
      <w:bookmarkStart w:id="273" w:name="_Toc318806116"/>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Pr="004A7B02">
        <w:lastRenderedPageBreak/>
        <w:t xml:space="preserve">Figure </w:t>
      </w:r>
      <w:r w:rsidR="00A52143">
        <w:t>5</w:t>
      </w:r>
      <w:r w:rsidRPr="004A7B02">
        <w:t xml:space="preserve">-3 shows the </w:t>
      </w:r>
      <w:r>
        <w:t xml:space="preserve">estimated </w:t>
      </w:r>
      <w:r w:rsidRPr="004A7B02">
        <w:t xml:space="preserve">hourly electricity patterns with and without DR on </w:t>
      </w:r>
      <w:r w:rsidRPr="000E3384">
        <w:t xml:space="preserve">September 7, when both day-ahead and day-of resources with 1-4 </w:t>
      </w:r>
      <w:r>
        <w:t>h</w:t>
      </w:r>
      <w:r w:rsidRPr="000E3384">
        <w:t>our events were dispatched from 1 PM to 5 PM and 2</w:t>
      </w:r>
      <w:r w:rsidR="00E66777">
        <w:t> </w:t>
      </w:r>
      <w:r w:rsidRPr="000E3384">
        <w:t xml:space="preserve">PM to 6 PM, respectively.  The electricity load reductions of customers in the </w:t>
      </w:r>
      <w:r>
        <w:t>day-ahead</w:t>
      </w:r>
      <w:r w:rsidRPr="000E3384">
        <w:t xml:space="preserve"> notification option are comparable to those of customers dispatched on a same</w:t>
      </w:r>
      <w:r w:rsidR="00E66777">
        <w:t>-</w:t>
      </w:r>
      <w:r w:rsidRPr="000E3384">
        <w:t xml:space="preserve">day basis.  For day-ahead resources, </w:t>
      </w:r>
      <w:r>
        <w:t xml:space="preserve">customers </w:t>
      </w:r>
      <w:r w:rsidR="0006539C">
        <w:t xml:space="preserve">appeared to have </w:t>
      </w:r>
      <w:r>
        <w:t>shift</w:t>
      </w:r>
      <w:r w:rsidR="0006539C">
        <w:t>ed</w:t>
      </w:r>
      <w:r>
        <w:t xml:space="preserve"> </w:t>
      </w:r>
      <w:r w:rsidRPr="000E3384">
        <w:t xml:space="preserve">load </w:t>
      </w:r>
      <w:r>
        <w:t xml:space="preserve">to the hour immediately </w:t>
      </w:r>
      <w:r w:rsidRPr="000E3384">
        <w:t>prior to the event.</w:t>
      </w:r>
    </w:p>
    <w:p w:rsidR="00AF74E8" w:rsidRPr="00050374" w:rsidRDefault="00AF74E8" w:rsidP="00BA25E2">
      <w:pPr>
        <w:pStyle w:val="TableFigureCaption"/>
      </w:pPr>
      <w:r w:rsidRPr="00050374">
        <w:t xml:space="preserve">Figure </w:t>
      </w:r>
      <w:r w:rsidR="00A52143">
        <w:t>5</w:t>
      </w:r>
      <w:r>
        <w:t>-3</w:t>
      </w:r>
      <w:r w:rsidRPr="00050374">
        <w:t>:</w:t>
      </w:r>
      <w:r w:rsidR="00D921E2">
        <w:t xml:space="preserve"> </w:t>
      </w:r>
      <w:r>
        <w:t>SC</w:t>
      </w:r>
      <w:r w:rsidRPr="00050374">
        <w:t xml:space="preserve">E CBP Hourly Impacts for </w:t>
      </w:r>
      <w:r>
        <w:t>September</w:t>
      </w:r>
      <w:r w:rsidRPr="00050374">
        <w:t xml:space="preserve"> </w:t>
      </w:r>
      <w:r>
        <w:t>7</w:t>
      </w:r>
      <w:r w:rsidRPr="00050374">
        <w:t>, 2011</w:t>
      </w:r>
    </w:p>
    <w:p w:rsidR="00D649A8" w:rsidRDefault="005310C6" w:rsidP="00AF74E8">
      <w:pPr>
        <w:pStyle w:val="BodyParagraph"/>
        <w:jc w:val="center"/>
        <w:rPr>
          <w:rStyle w:val="Strong"/>
          <w:b w:val="0"/>
          <w:bCs w:val="0"/>
        </w:rPr>
      </w:pPr>
      <w:r>
        <w:rPr>
          <w:noProof/>
        </w:rPr>
        <w:drawing>
          <wp:inline distT="0" distB="0" distL="0" distR="0">
            <wp:extent cx="2505075" cy="2286000"/>
            <wp:effectExtent l="19050" t="0" r="9525"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2505075" cy="2286000"/>
                    </a:xfrm>
                    <a:prstGeom prst="rect">
                      <a:avLst/>
                    </a:prstGeom>
                    <a:noFill/>
                    <a:ln w="9525">
                      <a:noFill/>
                      <a:miter lim="800000"/>
                      <a:headEnd/>
                      <a:tailEnd/>
                    </a:ln>
                  </pic:spPr>
                </pic:pic>
              </a:graphicData>
            </a:graphic>
          </wp:inline>
        </w:drawing>
      </w:r>
      <w:r>
        <w:rPr>
          <w:noProof/>
        </w:rPr>
        <w:drawing>
          <wp:inline distT="0" distB="0" distL="0" distR="0">
            <wp:extent cx="2505075" cy="2286000"/>
            <wp:effectExtent l="19050" t="0" r="9525"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505075" cy="2286000"/>
                    </a:xfrm>
                    <a:prstGeom prst="rect">
                      <a:avLst/>
                    </a:prstGeom>
                    <a:noFill/>
                    <a:ln w="9525">
                      <a:noFill/>
                      <a:miter lim="800000"/>
                      <a:headEnd/>
                      <a:tailEnd/>
                    </a:ln>
                  </pic:spPr>
                </pic:pic>
              </a:graphicData>
            </a:graphic>
          </wp:inline>
        </w:drawing>
      </w:r>
    </w:p>
    <w:p w:rsidR="005310C6" w:rsidRDefault="00345F96">
      <w:pPr>
        <w:pStyle w:val="Heading3"/>
        <w:spacing w:before="360"/>
      </w:pPr>
      <w:bookmarkStart w:id="274" w:name="_Toc320625169"/>
      <w:bookmarkStart w:id="275" w:name="_Toc320626100"/>
      <w:bookmarkStart w:id="276" w:name="_Toc320626912"/>
      <w:bookmarkStart w:id="277" w:name="_Toc320627152"/>
      <w:bookmarkStart w:id="278" w:name="_Toc320693168"/>
      <w:bookmarkStart w:id="279" w:name="_Toc320703045"/>
      <w:bookmarkStart w:id="280" w:name="_Toc326074027"/>
      <w:bookmarkEnd w:id="274"/>
      <w:bookmarkEnd w:id="275"/>
      <w:bookmarkEnd w:id="276"/>
      <w:bookmarkEnd w:id="277"/>
      <w:bookmarkEnd w:id="278"/>
      <w:bookmarkEnd w:id="279"/>
      <w:r w:rsidRPr="00345F96">
        <w:t xml:space="preserve">CBP </w:t>
      </w:r>
      <w:bookmarkStart w:id="281" w:name="_Toc318806117"/>
      <w:bookmarkStart w:id="282" w:name="_Toc318806118"/>
      <w:bookmarkStart w:id="283" w:name="_Toc318806119"/>
      <w:bookmarkStart w:id="284" w:name="_Toc318806120"/>
      <w:bookmarkEnd w:id="281"/>
      <w:bookmarkEnd w:id="282"/>
      <w:bookmarkEnd w:id="283"/>
      <w:bookmarkEnd w:id="284"/>
      <w:r w:rsidR="004959BC" w:rsidRPr="004959BC">
        <w:t>Demand Reductions by Industry</w:t>
      </w:r>
      <w:bookmarkEnd w:id="280"/>
    </w:p>
    <w:p w:rsidR="000D47CD" w:rsidRPr="00050374" w:rsidRDefault="00C25138" w:rsidP="000D47CD">
      <w:pPr>
        <w:pStyle w:val="BodyParagraph"/>
        <w:keepNext/>
      </w:pPr>
      <w:r>
        <w:t xml:space="preserve">Table </w:t>
      </w:r>
      <w:r w:rsidR="00A52143">
        <w:t>5</w:t>
      </w:r>
      <w:r>
        <w:t>-6</w:t>
      </w:r>
      <w:r w:rsidR="000D47CD" w:rsidRPr="00050374">
        <w:t xml:space="preserve"> shows load impacts by industry</w:t>
      </w:r>
      <w:r w:rsidR="00E41E27">
        <w:t xml:space="preserve"> for SCE’s CBP program</w:t>
      </w:r>
      <w:r w:rsidR="000D47CD" w:rsidRPr="00050374">
        <w:t xml:space="preserve">.  </w:t>
      </w:r>
      <w:r w:rsidR="002C3D08">
        <w:t>Most of SCE’s CBP customers are retail stores; they account for nearly all accounts, reference loads and load impacts</w:t>
      </w:r>
      <w:r w:rsidR="000D47CD" w:rsidRPr="00050374">
        <w:t xml:space="preserve">.  </w:t>
      </w:r>
      <w:r w:rsidR="005D2665">
        <w:t>Retail stores providing day-ahead resources, on average, reduce</w:t>
      </w:r>
      <w:r w:rsidR="00E41E27">
        <w:t>d</w:t>
      </w:r>
      <w:r w:rsidR="005D2665">
        <w:t xml:space="preserve"> loads by 30%, while those </w:t>
      </w:r>
      <w:r w:rsidR="00E41E27">
        <w:t xml:space="preserve">on day-of notification </w:t>
      </w:r>
      <w:r w:rsidR="005D2665">
        <w:t>reduce</w:t>
      </w:r>
      <w:r w:rsidR="00E41E27">
        <w:t>d</w:t>
      </w:r>
      <w:r w:rsidR="005D2665">
        <w:t xml:space="preserve"> loads by 20%.</w:t>
      </w:r>
    </w:p>
    <w:p w:rsidR="000D47CD" w:rsidRPr="00877CA8" w:rsidRDefault="00C25138" w:rsidP="00877CA8">
      <w:pPr>
        <w:pStyle w:val="TableFigureCaption"/>
        <w:rPr>
          <w:rStyle w:val="Strong"/>
          <w:b/>
          <w:bCs w:val="0"/>
        </w:rPr>
      </w:pPr>
      <w:r w:rsidRPr="00877CA8">
        <w:t xml:space="preserve">Table </w:t>
      </w:r>
      <w:r w:rsidR="00A52143" w:rsidRPr="00877CA8">
        <w:t>5</w:t>
      </w:r>
      <w:r w:rsidRPr="00877CA8">
        <w:t>-6</w:t>
      </w:r>
      <w:proofErr w:type="gramStart"/>
      <w:r w:rsidR="00D649A8" w:rsidRPr="00877CA8">
        <w:rPr>
          <w:rStyle w:val="Strong"/>
          <w:b/>
          <w:bCs w:val="0"/>
        </w:rPr>
        <w:t>:</w:t>
      </w:r>
      <w:r w:rsidR="00877CA8" w:rsidRPr="00877CA8">
        <w:rPr>
          <w:rStyle w:val="Strong"/>
          <w:b/>
          <w:bCs w:val="0"/>
        </w:rPr>
        <w:t xml:space="preserve"> </w:t>
      </w:r>
      <w:r w:rsidR="000D47CD" w:rsidRPr="00877CA8">
        <w:rPr>
          <w:rStyle w:val="Strong"/>
          <w:b/>
          <w:bCs w:val="0"/>
        </w:rPr>
        <w:t>:</w:t>
      </w:r>
      <w:proofErr w:type="gramEnd"/>
      <w:r w:rsidR="00D921E2" w:rsidRPr="00877CA8">
        <w:rPr>
          <w:rStyle w:val="Strong"/>
          <w:b/>
          <w:bCs w:val="0"/>
        </w:rPr>
        <w:t xml:space="preserve"> </w:t>
      </w:r>
      <w:r w:rsidR="000D47CD" w:rsidRPr="00877CA8">
        <w:rPr>
          <w:rStyle w:val="Strong"/>
          <w:b/>
          <w:bCs w:val="0"/>
        </w:rPr>
        <w:t xml:space="preserve">Estimated </w:t>
      </w:r>
      <w:r w:rsidR="00AD683A" w:rsidRPr="00877CA8">
        <w:rPr>
          <w:rStyle w:val="Strong"/>
          <w:b/>
          <w:bCs w:val="0"/>
        </w:rPr>
        <w:t>Ex Post</w:t>
      </w:r>
      <w:r w:rsidR="000D47CD" w:rsidRPr="00877CA8">
        <w:rPr>
          <w:rStyle w:val="Strong"/>
          <w:b/>
          <w:bCs w:val="0"/>
        </w:rPr>
        <w:t xml:space="preserve"> Load Impa</w:t>
      </w:r>
      <w:r w:rsidRPr="00877CA8">
        <w:rPr>
          <w:rStyle w:val="Strong"/>
          <w:b/>
          <w:bCs w:val="0"/>
        </w:rPr>
        <w:t>cts by Industry</w:t>
      </w:r>
      <w:r w:rsidRPr="00877CA8">
        <w:rPr>
          <w:rStyle w:val="Strong"/>
          <w:b/>
          <w:bCs w:val="0"/>
        </w:rPr>
        <w:br/>
        <w:t>Average 2011 SC</w:t>
      </w:r>
      <w:r w:rsidR="000D47CD" w:rsidRPr="00877CA8">
        <w:rPr>
          <w:rStyle w:val="Strong"/>
          <w:b/>
          <w:bCs w:val="0"/>
        </w:rPr>
        <w:t>E CBP Event</w:t>
      </w:r>
    </w:p>
    <w:tbl>
      <w:tblPr>
        <w:tblW w:w="5288" w:type="pct"/>
        <w:tblLayout w:type="fixed"/>
        <w:tblLook w:val="04A0"/>
      </w:tblPr>
      <w:tblGrid>
        <w:gridCol w:w="907"/>
        <w:gridCol w:w="2494"/>
        <w:gridCol w:w="719"/>
        <w:gridCol w:w="873"/>
        <w:gridCol w:w="975"/>
        <w:gridCol w:w="1025"/>
        <w:gridCol w:w="1075"/>
        <w:gridCol w:w="1077"/>
        <w:gridCol w:w="845"/>
      </w:tblGrid>
      <w:tr w:rsidR="002B1DFB" w:rsidRPr="005B71E5" w:rsidTr="006B7BA6">
        <w:trPr>
          <w:trHeight w:val="816"/>
        </w:trPr>
        <w:tc>
          <w:tcPr>
            <w:tcW w:w="454" w:type="pct"/>
            <w:tcBorders>
              <w:top w:val="single" w:sz="4" w:space="0" w:color="auto"/>
              <w:left w:val="single" w:sz="4" w:space="0" w:color="auto"/>
              <w:bottom w:val="single" w:sz="4" w:space="0" w:color="auto"/>
              <w:right w:val="single" w:sz="4" w:space="0" w:color="FFFFFF"/>
            </w:tcBorders>
            <w:shd w:val="clear" w:color="000000" w:fill="1F497D" w:themeFill="text2"/>
            <w:tcMar>
              <w:left w:w="43" w:type="dxa"/>
              <w:right w:w="43" w:type="dxa"/>
            </w:tcMar>
            <w:vAlign w:val="center"/>
            <w:hideMark/>
          </w:tcPr>
          <w:p w:rsidR="005B71E5" w:rsidRPr="005B71E5" w:rsidRDefault="005B71E5" w:rsidP="006B7BA6">
            <w:pPr>
              <w:spacing w:after="0" w:line="240" w:lineRule="auto"/>
              <w:jc w:val="center"/>
              <w:rPr>
                <w:rFonts w:ascii="Arial" w:eastAsia="Times New Roman" w:hAnsi="Arial" w:cs="Arial"/>
                <w:b/>
                <w:bCs/>
                <w:color w:val="FFFFFF"/>
                <w:sz w:val="16"/>
                <w:szCs w:val="16"/>
              </w:rPr>
            </w:pPr>
            <w:r w:rsidRPr="005B71E5">
              <w:rPr>
                <w:rFonts w:ascii="Arial" w:eastAsia="Times New Roman" w:hAnsi="Arial" w:cs="Arial"/>
                <w:b/>
                <w:bCs/>
                <w:color w:val="FFFFFF"/>
                <w:sz w:val="16"/>
                <w:szCs w:val="16"/>
              </w:rPr>
              <w:t>Program</w:t>
            </w:r>
          </w:p>
        </w:tc>
        <w:tc>
          <w:tcPr>
            <w:tcW w:w="1248"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5B71E5" w:rsidRPr="005B71E5" w:rsidRDefault="005B71E5" w:rsidP="006B7BA6">
            <w:pPr>
              <w:spacing w:after="0" w:line="240" w:lineRule="auto"/>
              <w:jc w:val="center"/>
              <w:rPr>
                <w:rFonts w:ascii="Arial" w:eastAsia="Times New Roman" w:hAnsi="Arial" w:cs="Arial"/>
                <w:b/>
                <w:bCs/>
                <w:color w:val="FFFFFF"/>
                <w:sz w:val="16"/>
                <w:szCs w:val="16"/>
              </w:rPr>
            </w:pPr>
            <w:r w:rsidRPr="005B71E5">
              <w:rPr>
                <w:rFonts w:ascii="Arial" w:eastAsia="Times New Roman" w:hAnsi="Arial" w:cs="Arial"/>
                <w:b/>
                <w:bCs/>
                <w:color w:val="FFFFFF"/>
                <w:sz w:val="16"/>
                <w:szCs w:val="16"/>
              </w:rPr>
              <w:t>Industry</w:t>
            </w:r>
          </w:p>
        </w:tc>
        <w:tc>
          <w:tcPr>
            <w:tcW w:w="360"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5B71E5" w:rsidRPr="005B71E5" w:rsidRDefault="005B71E5" w:rsidP="006B7BA6">
            <w:pPr>
              <w:spacing w:after="0" w:line="240" w:lineRule="auto"/>
              <w:jc w:val="center"/>
              <w:rPr>
                <w:rFonts w:ascii="Arial" w:eastAsia="Times New Roman" w:hAnsi="Arial" w:cs="Arial"/>
                <w:b/>
                <w:bCs/>
                <w:color w:val="FFFFFF"/>
                <w:sz w:val="16"/>
                <w:szCs w:val="16"/>
              </w:rPr>
            </w:pPr>
            <w:r w:rsidRPr="005B71E5">
              <w:rPr>
                <w:rFonts w:ascii="Arial" w:eastAsia="Times New Roman" w:hAnsi="Arial" w:cs="Arial"/>
                <w:b/>
                <w:bCs/>
                <w:color w:val="FFFFFF"/>
                <w:sz w:val="16"/>
                <w:szCs w:val="16"/>
              </w:rPr>
              <w:t>Accts</w:t>
            </w:r>
          </w:p>
        </w:tc>
        <w:tc>
          <w:tcPr>
            <w:tcW w:w="437"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5B71E5" w:rsidRPr="005B71E5" w:rsidRDefault="005B71E5" w:rsidP="006B7BA6">
            <w:pPr>
              <w:spacing w:after="0" w:line="240" w:lineRule="auto"/>
              <w:jc w:val="center"/>
              <w:rPr>
                <w:rFonts w:ascii="Arial" w:eastAsia="Times New Roman" w:hAnsi="Arial" w:cs="Arial"/>
                <w:b/>
                <w:bCs/>
                <w:color w:val="FFFFFF"/>
                <w:sz w:val="16"/>
                <w:szCs w:val="16"/>
              </w:rPr>
            </w:pPr>
            <w:r w:rsidRPr="005B71E5">
              <w:rPr>
                <w:rFonts w:ascii="Arial" w:eastAsia="Times New Roman" w:hAnsi="Arial" w:cs="Arial"/>
                <w:b/>
                <w:bCs/>
                <w:color w:val="FFFFFF"/>
                <w:sz w:val="16"/>
                <w:szCs w:val="16"/>
              </w:rPr>
              <w:t>Avg. Reference Load (kW)</w:t>
            </w:r>
          </w:p>
        </w:tc>
        <w:tc>
          <w:tcPr>
            <w:tcW w:w="488"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5B71E5" w:rsidRPr="005B71E5" w:rsidRDefault="005B71E5" w:rsidP="006B7BA6">
            <w:pPr>
              <w:spacing w:after="0" w:line="240" w:lineRule="auto"/>
              <w:jc w:val="center"/>
              <w:rPr>
                <w:rFonts w:ascii="Arial" w:eastAsia="Times New Roman" w:hAnsi="Arial" w:cs="Arial"/>
                <w:b/>
                <w:bCs/>
                <w:color w:val="FFFFFF"/>
                <w:sz w:val="16"/>
                <w:szCs w:val="16"/>
              </w:rPr>
            </w:pPr>
            <w:r>
              <w:rPr>
                <w:rFonts w:ascii="Arial" w:eastAsia="Times New Roman" w:hAnsi="Arial" w:cs="Arial"/>
                <w:b/>
                <w:bCs/>
                <w:color w:val="FFFFFF"/>
                <w:sz w:val="16"/>
                <w:szCs w:val="16"/>
              </w:rPr>
              <w:t>Avg.</w:t>
            </w:r>
            <w:r w:rsidRPr="005B71E5">
              <w:rPr>
                <w:rFonts w:ascii="Arial" w:eastAsia="Times New Roman" w:hAnsi="Arial" w:cs="Arial"/>
                <w:b/>
                <w:bCs/>
                <w:color w:val="FFFFFF"/>
                <w:sz w:val="16"/>
                <w:szCs w:val="16"/>
              </w:rPr>
              <w:t xml:space="preserve"> Load Reduction (kW)</w:t>
            </w:r>
          </w:p>
        </w:tc>
        <w:tc>
          <w:tcPr>
            <w:tcW w:w="513"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5B71E5" w:rsidRPr="005B71E5" w:rsidRDefault="005B71E5" w:rsidP="006B7BA6">
            <w:pPr>
              <w:spacing w:after="0" w:line="240" w:lineRule="auto"/>
              <w:jc w:val="center"/>
              <w:rPr>
                <w:rFonts w:ascii="Arial" w:eastAsia="Times New Roman" w:hAnsi="Arial" w:cs="Arial"/>
                <w:b/>
                <w:bCs/>
                <w:color w:val="FFFFFF"/>
                <w:sz w:val="16"/>
                <w:szCs w:val="16"/>
              </w:rPr>
            </w:pPr>
            <w:r w:rsidRPr="005B71E5">
              <w:rPr>
                <w:rFonts w:ascii="Arial" w:eastAsia="Times New Roman" w:hAnsi="Arial" w:cs="Arial"/>
                <w:b/>
                <w:bCs/>
                <w:color w:val="FFFFFF"/>
                <w:sz w:val="16"/>
                <w:szCs w:val="16"/>
              </w:rPr>
              <w:t>% Load Reduction</w:t>
            </w:r>
          </w:p>
        </w:tc>
        <w:tc>
          <w:tcPr>
            <w:tcW w:w="538"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5B71E5" w:rsidRPr="005B71E5" w:rsidRDefault="005B71E5" w:rsidP="006B7BA6">
            <w:pPr>
              <w:spacing w:after="0" w:line="240" w:lineRule="auto"/>
              <w:jc w:val="center"/>
              <w:rPr>
                <w:rFonts w:ascii="Arial" w:eastAsia="Times New Roman" w:hAnsi="Arial" w:cs="Arial"/>
                <w:b/>
                <w:bCs/>
                <w:color w:val="FFFFFF"/>
                <w:sz w:val="16"/>
                <w:szCs w:val="16"/>
              </w:rPr>
            </w:pPr>
            <w:r w:rsidRPr="005B71E5">
              <w:rPr>
                <w:rFonts w:ascii="Arial" w:eastAsia="Times New Roman" w:hAnsi="Arial" w:cs="Arial"/>
                <w:b/>
                <w:bCs/>
                <w:color w:val="FFFFFF"/>
                <w:sz w:val="16"/>
                <w:szCs w:val="16"/>
              </w:rPr>
              <w:t>Aggregate Reference Load (MW)</w:t>
            </w:r>
          </w:p>
        </w:tc>
        <w:tc>
          <w:tcPr>
            <w:tcW w:w="539" w:type="pct"/>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5B71E5" w:rsidRPr="005B71E5" w:rsidRDefault="005B71E5" w:rsidP="006B7BA6">
            <w:pPr>
              <w:spacing w:after="0" w:line="240" w:lineRule="auto"/>
              <w:jc w:val="center"/>
              <w:rPr>
                <w:rFonts w:ascii="Arial" w:eastAsia="Times New Roman" w:hAnsi="Arial" w:cs="Arial"/>
                <w:b/>
                <w:bCs/>
                <w:color w:val="FFFFFF"/>
                <w:sz w:val="16"/>
                <w:szCs w:val="16"/>
              </w:rPr>
            </w:pPr>
            <w:r w:rsidRPr="005B71E5">
              <w:rPr>
                <w:rFonts w:ascii="Arial" w:eastAsia="Times New Roman" w:hAnsi="Arial" w:cs="Arial"/>
                <w:b/>
                <w:bCs/>
                <w:color w:val="FFFFFF"/>
                <w:sz w:val="16"/>
                <w:szCs w:val="16"/>
              </w:rPr>
              <w:t>Aggregate Load Impact (MW)</w:t>
            </w:r>
          </w:p>
        </w:tc>
        <w:tc>
          <w:tcPr>
            <w:tcW w:w="423" w:type="pct"/>
            <w:tcBorders>
              <w:top w:val="single" w:sz="4" w:space="0" w:color="auto"/>
              <w:left w:val="nil"/>
              <w:bottom w:val="single" w:sz="4" w:space="0" w:color="auto"/>
              <w:right w:val="single" w:sz="4" w:space="0" w:color="auto"/>
            </w:tcBorders>
            <w:shd w:val="clear" w:color="000000" w:fill="1F497D" w:themeFill="text2"/>
            <w:tcMar>
              <w:left w:w="43" w:type="dxa"/>
              <w:right w:w="43" w:type="dxa"/>
            </w:tcMar>
            <w:vAlign w:val="center"/>
            <w:hideMark/>
          </w:tcPr>
          <w:p w:rsidR="005B71E5" w:rsidRPr="005B71E5" w:rsidRDefault="005B71E5" w:rsidP="006B7BA6">
            <w:pPr>
              <w:spacing w:after="0" w:line="240" w:lineRule="auto"/>
              <w:jc w:val="center"/>
              <w:rPr>
                <w:rFonts w:ascii="Arial" w:eastAsia="Times New Roman" w:hAnsi="Arial" w:cs="Arial"/>
                <w:b/>
                <w:bCs/>
                <w:color w:val="FFFFFF"/>
                <w:sz w:val="16"/>
                <w:szCs w:val="16"/>
              </w:rPr>
            </w:pPr>
            <w:r w:rsidRPr="005B71E5">
              <w:rPr>
                <w:rFonts w:ascii="Arial" w:eastAsia="Times New Roman" w:hAnsi="Arial" w:cs="Arial"/>
                <w:b/>
                <w:bCs/>
                <w:color w:val="FFFFFF"/>
                <w:sz w:val="16"/>
                <w:szCs w:val="16"/>
              </w:rPr>
              <w:t>Avg. Temp During Event</w:t>
            </w:r>
          </w:p>
        </w:tc>
      </w:tr>
      <w:tr w:rsidR="002B1DFB" w:rsidRPr="005B71E5" w:rsidTr="005B71E5">
        <w:trPr>
          <w:trHeight w:val="396"/>
        </w:trPr>
        <w:tc>
          <w:tcPr>
            <w:tcW w:w="454" w:type="pct"/>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CBP-DA</w:t>
            </w:r>
          </w:p>
        </w:tc>
        <w:tc>
          <w:tcPr>
            <w:tcW w:w="124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All Customers</w:t>
            </w:r>
          </w:p>
        </w:tc>
        <w:tc>
          <w:tcPr>
            <w:tcW w:w="36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90</w:t>
            </w:r>
          </w:p>
        </w:tc>
        <w:tc>
          <w:tcPr>
            <w:tcW w:w="43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176.6</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46.5</w:t>
            </w:r>
          </w:p>
        </w:tc>
        <w:tc>
          <w:tcPr>
            <w:tcW w:w="51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Pr>
                <w:rFonts w:ascii="Arial" w:hAnsi="Arial" w:cs="Arial"/>
                <w:b/>
                <w:bCs/>
                <w:color w:val="000000"/>
                <w:sz w:val="16"/>
                <w:szCs w:val="16"/>
              </w:rPr>
              <w:t>26.3%</w:t>
            </w:r>
          </w:p>
        </w:tc>
        <w:tc>
          <w:tcPr>
            <w:tcW w:w="53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15.9</w:t>
            </w:r>
          </w:p>
        </w:tc>
        <w:tc>
          <w:tcPr>
            <w:tcW w:w="53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4.2</w:t>
            </w:r>
          </w:p>
        </w:tc>
        <w:tc>
          <w:tcPr>
            <w:tcW w:w="42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84.2</w:t>
            </w:r>
          </w:p>
        </w:tc>
      </w:tr>
      <w:tr w:rsidR="002B1DFB" w:rsidRPr="005B71E5" w:rsidTr="005B71E5">
        <w:trPr>
          <w:trHeight w:val="396"/>
        </w:trPr>
        <w:tc>
          <w:tcPr>
            <w:tcW w:w="454"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5B71E5" w:rsidRPr="005B71E5" w:rsidRDefault="005B71E5" w:rsidP="005B71E5">
            <w:pPr>
              <w:spacing w:after="0" w:line="240" w:lineRule="auto"/>
              <w:rPr>
                <w:rFonts w:ascii="Arial" w:eastAsia="Times New Roman" w:hAnsi="Arial" w:cs="Arial"/>
                <w:color w:val="000000"/>
                <w:sz w:val="16"/>
                <w:szCs w:val="16"/>
              </w:rPr>
            </w:pPr>
          </w:p>
        </w:tc>
        <w:tc>
          <w:tcPr>
            <w:tcW w:w="124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 xml:space="preserve"> Manufacturing</w:t>
            </w:r>
          </w:p>
        </w:tc>
        <w:tc>
          <w:tcPr>
            <w:tcW w:w="36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1</w:t>
            </w:r>
          </w:p>
        </w:tc>
        <w:tc>
          <w:tcPr>
            <w:tcW w:w="43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1182.8</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214.7</w:t>
            </w:r>
          </w:p>
        </w:tc>
        <w:tc>
          <w:tcPr>
            <w:tcW w:w="51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18.1%</w:t>
            </w:r>
          </w:p>
        </w:tc>
        <w:tc>
          <w:tcPr>
            <w:tcW w:w="53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1.2</w:t>
            </w:r>
          </w:p>
        </w:tc>
        <w:tc>
          <w:tcPr>
            <w:tcW w:w="53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0.2</w:t>
            </w:r>
          </w:p>
        </w:tc>
        <w:tc>
          <w:tcPr>
            <w:tcW w:w="42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72.2</w:t>
            </w:r>
          </w:p>
        </w:tc>
      </w:tr>
      <w:tr w:rsidR="002B1DFB" w:rsidRPr="005B71E5" w:rsidTr="005B71E5">
        <w:trPr>
          <w:trHeight w:val="396"/>
        </w:trPr>
        <w:tc>
          <w:tcPr>
            <w:tcW w:w="454"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5B71E5" w:rsidRPr="005B71E5" w:rsidRDefault="005B71E5" w:rsidP="005B71E5">
            <w:pPr>
              <w:spacing w:after="0" w:line="240" w:lineRule="auto"/>
              <w:rPr>
                <w:rFonts w:ascii="Arial" w:eastAsia="Times New Roman" w:hAnsi="Arial" w:cs="Arial"/>
                <w:color w:val="000000"/>
                <w:sz w:val="16"/>
                <w:szCs w:val="16"/>
              </w:rPr>
            </w:pPr>
          </w:p>
        </w:tc>
        <w:tc>
          <w:tcPr>
            <w:tcW w:w="124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 xml:space="preserve"> Offices, Finance, Services, Hotels and Apartment Buildings</w:t>
            </w:r>
          </w:p>
        </w:tc>
        <w:tc>
          <w:tcPr>
            <w:tcW w:w="36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4</w:t>
            </w:r>
          </w:p>
        </w:tc>
        <w:tc>
          <w:tcPr>
            <w:tcW w:w="43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490.8</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11.9</w:t>
            </w:r>
          </w:p>
        </w:tc>
        <w:tc>
          <w:tcPr>
            <w:tcW w:w="51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2.4%</w:t>
            </w:r>
          </w:p>
        </w:tc>
        <w:tc>
          <w:tcPr>
            <w:tcW w:w="53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2.0</w:t>
            </w:r>
          </w:p>
        </w:tc>
        <w:tc>
          <w:tcPr>
            <w:tcW w:w="53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0.0</w:t>
            </w:r>
          </w:p>
        </w:tc>
        <w:tc>
          <w:tcPr>
            <w:tcW w:w="42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73.9</w:t>
            </w:r>
          </w:p>
        </w:tc>
      </w:tr>
      <w:tr w:rsidR="002B1DFB" w:rsidRPr="005B71E5" w:rsidTr="005B71E5">
        <w:trPr>
          <w:trHeight w:val="396"/>
        </w:trPr>
        <w:tc>
          <w:tcPr>
            <w:tcW w:w="454"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5B71E5" w:rsidRPr="005B71E5" w:rsidRDefault="005B71E5" w:rsidP="005B71E5">
            <w:pPr>
              <w:spacing w:after="0" w:line="240" w:lineRule="auto"/>
              <w:rPr>
                <w:rFonts w:ascii="Arial" w:eastAsia="Times New Roman" w:hAnsi="Arial" w:cs="Arial"/>
                <w:color w:val="000000"/>
                <w:sz w:val="16"/>
                <w:szCs w:val="16"/>
              </w:rPr>
            </w:pPr>
          </w:p>
        </w:tc>
        <w:tc>
          <w:tcPr>
            <w:tcW w:w="124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 xml:space="preserve"> Retail stores</w:t>
            </w:r>
          </w:p>
        </w:tc>
        <w:tc>
          <w:tcPr>
            <w:tcW w:w="36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85</w:t>
            </w:r>
          </w:p>
        </w:tc>
        <w:tc>
          <w:tcPr>
            <w:tcW w:w="43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154.6</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46.0</w:t>
            </w:r>
          </w:p>
        </w:tc>
        <w:tc>
          <w:tcPr>
            <w:tcW w:w="51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29.8%</w:t>
            </w:r>
          </w:p>
        </w:tc>
        <w:tc>
          <w:tcPr>
            <w:tcW w:w="53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13.1</w:t>
            </w:r>
          </w:p>
        </w:tc>
        <w:tc>
          <w:tcPr>
            <w:tcW w:w="53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3.9</w:t>
            </w:r>
          </w:p>
        </w:tc>
        <w:tc>
          <w:tcPr>
            <w:tcW w:w="42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84.7</w:t>
            </w:r>
          </w:p>
        </w:tc>
      </w:tr>
      <w:tr w:rsidR="002B1DFB" w:rsidRPr="005B71E5" w:rsidTr="005B71E5">
        <w:trPr>
          <w:trHeight w:val="396"/>
        </w:trPr>
        <w:tc>
          <w:tcPr>
            <w:tcW w:w="454" w:type="pct"/>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CBP-DO</w:t>
            </w:r>
          </w:p>
        </w:tc>
        <w:tc>
          <w:tcPr>
            <w:tcW w:w="124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All Customers</w:t>
            </w:r>
          </w:p>
        </w:tc>
        <w:tc>
          <w:tcPr>
            <w:tcW w:w="36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412</w:t>
            </w:r>
          </w:p>
        </w:tc>
        <w:tc>
          <w:tcPr>
            <w:tcW w:w="43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240.9</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46.5</w:t>
            </w:r>
          </w:p>
        </w:tc>
        <w:tc>
          <w:tcPr>
            <w:tcW w:w="51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Pr>
                <w:rFonts w:ascii="Arial" w:hAnsi="Arial" w:cs="Arial"/>
                <w:b/>
                <w:bCs/>
                <w:color w:val="000000"/>
                <w:sz w:val="16"/>
                <w:szCs w:val="16"/>
              </w:rPr>
              <w:t>19.3%</w:t>
            </w:r>
          </w:p>
        </w:tc>
        <w:tc>
          <w:tcPr>
            <w:tcW w:w="53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99.3</w:t>
            </w:r>
          </w:p>
        </w:tc>
        <w:tc>
          <w:tcPr>
            <w:tcW w:w="53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19.2</w:t>
            </w:r>
          </w:p>
        </w:tc>
        <w:tc>
          <w:tcPr>
            <w:tcW w:w="42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b/>
                <w:bCs/>
                <w:color w:val="000000"/>
                <w:sz w:val="16"/>
                <w:szCs w:val="16"/>
              </w:rPr>
            </w:pPr>
            <w:r w:rsidRPr="005B71E5">
              <w:rPr>
                <w:rFonts w:ascii="Arial" w:eastAsia="Times New Roman" w:hAnsi="Arial" w:cs="Arial"/>
                <w:b/>
                <w:bCs/>
                <w:color w:val="000000"/>
                <w:sz w:val="16"/>
                <w:szCs w:val="16"/>
              </w:rPr>
              <w:t>90.1</w:t>
            </w:r>
          </w:p>
        </w:tc>
      </w:tr>
      <w:tr w:rsidR="002B1DFB" w:rsidRPr="005B71E5" w:rsidTr="005B71E5">
        <w:trPr>
          <w:trHeight w:val="396"/>
        </w:trPr>
        <w:tc>
          <w:tcPr>
            <w:tcW w:w="454"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5B71E5" w:rsidRPr="005B71E5" w:rsidRDefault="005B71E5" w:rsidP="005B71E5">
            <w:pPr>
              <w:spacing w:after="0" w:line="240" w:lineRule="auto"/>
              <w:rPr>
                <w:rFonts w:ascii="Arial" w:eastAsia="Times New Roman" w:hAnsi="Arial" w:cs="Arial"/>
                <w:color w:val="000000"/>
                <w:sz w:val="16"/>
                <w:szCs w:val="16"/>
              </w:rPr>
            </w:pPr>
          </w:p>
        </w:tc>
        <w:tc>
          <w:tcPr>
            <w:tcW w:w="124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 xml:space="preserve"> Institutional/Government</w:t>
            </w:r>
          </w:p>
        </w:tc>
        <w:tc>
          <w:tcPr>
            <w:tcW w:w="36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42</w:t>
            </w:r>
          </w:p>
        </w:tc>
        <w:tc>
          <w:tcPr>
            <w:tcW w:w="43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137.2</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15.4</w:t>
            </w:r>
          </w:p>
        </w:tc>
        <w:tc>
          <w:tcPr>
            <w:tcW w:w="51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11.2%</w:t>
            </w:r>
          </w:p>
        </w:tc>
        <w:tc>
          <w:tcPr>
            <w:tcW w:w="53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5.8</w:t>
            </w:r>
          </w:p>
        </w:tc>
        <w:tc>
          <w:tcPr>
            <w:tcW w:w="53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0.6</w:t>
            </w:r>
          </w:p>
        </w:tc>
        <w:tc>
          <w:tcPr>
            <w:tcW w:w="42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87.8</w:t>
            </w:r>
          </w:p>
        </w:tc>
      </w:tr>
      <w:tr w:rsidR="002B1DFB" w:rsidRPr="005B71E5" w:rsidTr="005B71E5">
        <w:trPr>
          <w:trHeight w:val="396"/>
        </w:trPr>
        <w:tc>
          <w:tcPr>
            <w:tcW w:w="454"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5B71E5" w:rsidRPr="005B71E5" w:rsidRDefault="005B71E5" w:rsidP="005B71E5">
            <w:pPr>
              <w:spacing w:after="0" w:line="240" w:lineRule="auto"/>
              <w:rPr>
                <w:rFonts w:ascii="Arial" w:eastAsia="Times New Roman" w:hAnsi="Arial" w:cs="Arial"/>
                <w:color w:val="000000"/>
                <w:sz w:val="16"/>
                <w:szCs w:val="16"/>
              </w:rPr>
            </w:pPr>
          </w:p>
        </w:tc>
        <w:tc>
          <w:tcPr>
            <w:tcW w:w="124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 xml:space="preserve"> Retail stores</w:t>
            </w:r>
          </w:p>
        </w:tc>
        <w:tc>
          <w:tcPr>
            <w:tcW w:w="36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369</w:t>
            </w:r>
          </w:p>
        </w:tc>
        <w:tc>
          <w:tcPr>
            <w:tcW w:w="43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252.5</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49.4</w:t>
            </w:r>
          </w:p>
        </w:tc>
        <w:tc>
          <w:tcPr>
            <w:tcW w:w="51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19.5%</w:t>
            </w:r>
          </w:p>
        </w:tc>
        <w:tc>
          <w:tcPr>
            <w:tcW w:w="53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93.2</w:t>
            </w:r>
          </w:p>
        </w:tc>
        <w:tc>
          <w:tcPr>
            <w:tcW w:w="53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18.2</w:t>
            </w:r>
          </w:p>
        </w:tc>
        <w:tc>
          <w:tcPr>
            <w:tcW w:w="42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90.4</w:t>
            </w:r>
          </w:p>
        </w:tc>
      </w:tr>
      <w:tr w:rsidR="002B1DFB" w:rsidRPr="005B71E5" w:rsidTr="005B71E5">
        <w:trPr>
          <w:trHeight w:val="396"/>
        </w:trPr>
        <w:tc>
          <w:tcPr>
            <w:tcW w:w="454" w:type="pct"/>
            <w:vMerge/>
            <w:tcBorders>
              <w:top w:val="nil"/>
              <w:left w:val="single" w:sz="4" w:space="0" w:color="auto"/>
              <w:bottom w:val="single" w:sz="4" w:space="0" w:color="auto"/>
              <w:right w:val="single" w:sz="4" w:space="0" w:color="auto"/>
            </w:tcBorders>
            <w:tcMar>
              <w:left w:w="43" w:type="dxa"/>
              <w:right w:w="43" w:type="dxa"/>
            </w:tcMar>
            <w:vAlign w:val="center"/>
            <w:hideMark/>
          </w:tcPr>
          <w:p w:rsidR="005B71E5" w:rsidRPr="005B71E5" w:rsidRDefault="005B71E5" w:rsidP="005B71E5">
            <w:pPr>
              <w:spacing w:after="0" w:line="240" w:lineRule="auto"/>
              <w:rPr>
                <w:rFonts w:ascii="Arial" w:eastAsia="Times New Roman" w:hAnsi="Arial" w:cs="Arial"/>
                <w:color w:val="000000"/>
                <w:sz w:val="16"/>
                <w:szCs w:val="16"/>
              </w:rPr>
            </w:pPr>
          </w:p>
        </w:tc>
        <w:tc>
          <w:tcPr>
            <w:tcW w:w="124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 xml:space="preserve"> Wholesale, Transport, other utilities</w:t>
            </w:r>
          </w:p>
        </w:tc>
        <w:tc>
          <w:tcPr>
            <w:tcW w:w="360"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1</w:t>
            </w:r>
          </w:p>
        </w:tc>
        <w:tc>
          <w:tcPr>
            <w:tcW w:w="437"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354.9</w:t>
            </w:r>
          </w:p>
        </w:tc>
        <w:tc>
          <w:tcPr>
            <w:tcW w:w="48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322.1</w:t>
            </w:r>
          </w:p>
        </w:tc>
        <w:tc>
          <w:tcPr>
            <w:tcW w:w="51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Pr>
                <w:rFonts w:ascii="Arial" w:hAnsi="Arial" w:cs="Arial"/>
                <w:color w:val="000000"/>
                <w:sz w:val="16"/>
                <w:szCs w:val="16"/>
              </w:rPr>
              <w:t>90.8%</w:t>
            </w:r>
          </w:p>
        </w:tc>
        <w:tc>
          <w:tcPr>
            <w:tcW w:w="538"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0.4</w:t>
            </w:r>
          </w:p>
        </w:tc>
        <w:tc>
          <w:tcPr>
            <w:tcW w:w="539"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0.3</w:t>
            </w:r>
          </w:p>
        </w:tc>
        <w:tc>
          <w:tcPr>
            <w:tcW w:w="423" w:type="pct"/>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5B71E5" w:rsidRPr="005B71E5" w:rsidRDefault="005B71E5" w:rsidP="005B71E5">
            <w:pPr>
              <w:spacing w:after="0" w:line="240" w:lineRule="auto"/>
              <w:jc w:val="center"/>
              <w:rPr>
                <w:rFonts w:ascii="Arial" w:eastAsia="Times New Roman" w:hAnsi="Arial" w:cs="Arial"/>
                <w:color w:val="000000"/>
                <w:sz w:val="16"/>
                <w:szCs w:val="16"/>
              </w:rPr>
            </w:pPr>
            <w:r w:rsidRPr="005B71E5">
              <w:rPr>
                <w:rFonts w:ascii="Arial" w:eastAsia="Times New Roman" w:hAnsi="Arial" w:cs="Arial"/>
                <w:color w:val="000000"/>
                <w:sz w:val="16"/>
                <w:szCs w:val="16"/>
              </w:rPr>
              <w:t>93.6</w:t>
            </w:r>
          </w:p>
        </w:tc>
      </w:tr>
    </w:tbl>
    <w:p w:rsidR="005310C6" w:rsidRDefault="00E41E27">
      <w:pPr>
        <w:pStyle w:val="Heading3"/>
      </w:pPr>
      <w:bookmarkStart w:id="285" w:name="_Toc318806122"/>
      <w:bookmarkStart w:id="286" w:name="_Toc318806143"/>
      <w:bookmarkStart w:id="287" w:name="_Toc318806153"/>
      <w:bookmarkStart w:id="288" w:name="_Toc318806173"/>
      <w:bookmarkStart w:id="289" w:name="_Toc318806183"/>
      <w:bookmarkStart w:id="290" w:name="_Toc318806193"/>
      <w:bookmarkStart w:id="291" w:name="_Toc318806205"/>
      <w:bookmarkStart w:id="292" w:name="_Toc326074028"/>
      <w:bookmarkEnd w:id="285"/>
      <w:bookmarkEnd w:id="286"/>
      <w:bookmarkEnd w:id="287"/>
      <w:bookmarkEnd w:id="288"/>
      <w:bookmarkEnd w:id="289"/>
      <w:bookmarkEnd w:id="290"/>
      <w:bookmarkEnd w:id="291"/>
      <w:r>
        <w:lastRenderedPageBreak/>
        <w:t xml:space="preserve">CBP </w:t>
      </w:r>
      <w:r w:rsidR="000D47CD" w:rsidRPr="00050374">
        <w:t xml:space="preserve">Demand Reductions by </w:t>
      </w:r>
      <w:r w:rsidR="00630A6F">
        <w:t>L</w:t>
      </w:r>
      <w:r>
        <w:t>ocal Capacity Area</w:t>
      </w:r>
      <w:bookmarkEnd w:id="292"/>
    </w:p>
    <w:p w:rsidR="009555F5" w:rsidRDefault="002C3D08">
      <w:pPr>
        <w:pStyle w:val="BodyParagraph"/>
      </w:pPr>
      <w:r>
        <w:t xml:space="preserve">Table </w:t>
      </w:r>
      <w:r w:rsidR="00A52143">
        <w:t>5</w:t>
      </w:r>
      <w:r>
        <w:t>-7</w:t>
      </w:r>
      <w:r w:rsidR="000D47CD" w:rsidRPr="00050374">
        <w:t xml:space="preserve"> shows load impacts by </w:t>
      </w:r>
      <w:r w:rsidR="00A06330">
        <w:t>local capacity area</w:t>
      </w:r>
      <w:r w:rsidR="000D47CD" w:rsidRPr="00050374">
        <w:t>.  Day-ahead</w:t>
      </w:r>
      <w:r w:rsidR="00E744B8">
        <w:t xml:space="preserve"> and day-of</w:t>
      </w:r>
      <w:r w:rsidR="000D47CD" w:rsidRPr="00050374">
        <w:t xml:space="preserve"> CBP resources </w:t>
      </w:r>
      <w:r w:rsidR="00E744B8">
        <w:t xml:space="preserve">are </w:t>
      </w:r>
      <w:r w:rsidR="00A06330">
        <w:t>located predominantly in the Los Angeles Basin</w:t>
      </w:r>
      <w:r w:rsidR="00E744B8">
        <w:t xml:space="preserve">.  </w:t>
      </w:r>
      <w:r w:rsidR="005D2665">
        <w:t xml:space="preserve">Customers are similar in size across capacity areas and program options and provide consistent percent </w:t>
      </w:r>
      <w:r w:rsidR="00A06330">
        <w:t>load reductions</w:t>
      </w:r>
      <w:r w:rsidR="00E744B8">
        <w:t>.</w:t>
      </w:r>
    </w:p>
    <w:p w:rsidR="000D47CD" w:rsidRPr="00877CA8" w:rsidRDefault="002C3D08" w:rsidP="00877CA8">
      <w:pPr>
        <w:pStyle w:val="TableFigureCaption"/>
        <w:rPr>
          <w:rStyle w:val="Strong"/>
          <w:b/>
          <w:bCs w:val="0"/>
        </w:rPr>
      </w:pPr>
      <w:r w:rsidRPr="00877CA8">
        <w:t xml:space="preserve">Table </w:t>
      </w:r>
      <w:r w:rsidR="00A52143" w:rsidRPr="00877CA8">
        <w:t>5</w:t>
      </w:r>
      <w:r w:rsidRPr="00877CA8">
        <w:t>-7</w:t>
      </w:r>
      <w:r w:rsidR="00D649A8" w:rsidRPr="00877CA8">
        <w:rPr>
          <w:rStyle w:val="Strong"/>
          <w:b/>
          <w:bCs w:val="0"/>
        </w:rPr>
        <w:t>:</w:t>
      </w:r>
      <w:r w:rsidR="00877CA8">
        <w:rPr>
          <w:rStyle w:val="Strong"/>
          <w:b/>
          <w:bCs w:val="0"/>
        </w:rPr>
        <w:t xml:space="preserve"> </w:t>
      </w:r>
      <w:r w:rsidR="000D47CD" w:rsidRPr="00877CA8">
        <w:rPr>
          <w:rStyle w:val="Strong"/>
          <w:b/>
          <w:bCs w:val="0"/>
        </w:rPr>
        <w:t xml:space="preserve">Estimated </w:t>
      </w:r>
      <w:r w:rsidR="00AD683A" w:rsidRPr="00877CA8">
        <w:rPr>
          <w:rStyle w:val="Strong"/>
          <w:b/>
          <w:bCs w:val="0"/>
        </w:rPr>
        <w:t>Ex Post</w:t>
      </w:r>
      <w:r w:rsidR="000D47CD" w:rsidRPr="00877CA8">
        <w:rPr>
          <w:rStyle w:val="Strong"/>
          <w:b/>
          <w:bCs w:val="0"/>
        </w:rPr>
        <w:t xml:space="preserve"> Load Impacts b</w:t>
      </w:r>
      <w:r w:rsidRPr="00877CA8">
        <w:rPr>
          <w:rStyle w:val="Strong"/>
          <w:b/>
          <w:bCs w:val="0"/>
        </w:rPr>
        <w:t xml:space="preserve">y </w:t>
      </w:r>
      <w:r w:rsidR="00E744B8" w:rsidRPr="00877CA8">
        <w:rPr>
          <w:rStyle w:val="Strong"/>
          <w:b/>
          <w:bCs w:val="0"/>
        </w:rPr>
        <w:t xml:space="preserve">CEC </w:t>
      </w:r>
      <w:r w:rsidRPr="00877CA8">
        <w:rPr>
          <w:rStyle w:val="Strong"/>
          <w:b/>
          <w:bCs w:val="0"/>
        </w:rPr>
        <w:t>Climate Zone</w:t>
      </w:r>
      <w:r w:rsidRPr="00877CA8">
        <w:rPr>
          <w:rStyle w:val="Strong"/>
          <w:b/>
          <w:bCs w:val="0"/>
        </w:rPr>
        <w:br/>
        <w:t>Average 2011 SC</w:t>
      </w:r>
      <w:r w:rsidR="000D47CD" w:rsidRPr="00877CA8">
        <w:rPr>
          <w:rStyle w:val="Strong"/>
          <w:b/>
          <w:bCs w:val="0"/>
        </w:rPr>
        <w:t>E CBP Event</w:t>
      </w:r>
    </w:p>
    <w:tbl>
      <w:tblPr>
        <w:tblW w:w="0" w:type="auto"/>
        <w:tblLayout w:type="fixed"/>
        <w:tblLook w:val="04A0"/>
      </w:tblPr>
      <w:tblGrid>
        <w:gridCol w:w="746"/>
        <w:gridCol w:w="1893"/>
        <w:gridCol w:w="982"/>
        <w:gridCol w:w="1092"/>
        <w:gridCol w:w="1001"/>
        <w:gridCol w:w="911"/>
        <w:gridCol w:w="911"/>
        <w:gridCol w:w="1001"/>
        <w:gridCol w:w="909"/>
      </w:tblGrid>
      <w:tr w:rsidR="002B1DFB" w:rsidRPr="00A06330" w:rsidTr="006B7BA6">
        <w:trPr>
          <w:trHeight w:val="948"/>
        </w:trPr>
        <w:tc>
          <w:tcPr>
            <w:tcW w:w="746" w:type="dxa"/>
            <w:tcBorders>
              <w:top w:val="single" w:sz="4" w:space="0" w:color="auto"/>
              <w:left w:val="single" w:sz="4" w:space="0" w:color="auto"/>
              <w:bottom w:val="single" w:sz="4" w:space="0" w:color="auto"/>
              <w:right w:val="single" w:sz="4" w:space="0" w:color="FFFFFF"/>
            </w:tcBorders>
            <w:shd w:val="clear" w:color="000000" w:fill="1F497D" w:themeFill="text2"/>
            <w:tcMar>
              <w:left w:w="43" w:type="dxa"/>
              <w:right w:w="43" w:type="dxa"/>
            </w:tcMar>
            <w:vAlign w:val="center"/>
            <w:hideMark/>
          </w:tcPr>
          <w:p w:rsidR="00A06330" w:rsidRPr="00A06330" w:rsidRDefault="00A06330" w:rsidP="006B7BA6">
            <w:pPr>
              <w:spacing w:after="0" w:line="240" w:lineRule="auto"/>
              <w:jc w:val="center"/>
              <w:rPr>
                <w:rFonts w:ascii="Arial" w:eastAsia="Times New Roman" w:hAnsi="Arial" w:cs="Arial"/>
                <w:b/>
                <w:bCs/>
                <w:color w:val="FFFFFF"/>
                <w:sz w:val="16"/>
                <w:szCs w:val="16"/>
              </w:rPr>
            </w:pPr>
            <w:r w:rsidRPr="00A06330">
              <w:rPr>
                <w:rFonts w:ascii="Arial" w:eastAsia="Times New Roman" w:hAnsi="Arial" w:cs="Arial"/>
                <w:b/>
                <w:bCs/>
                <w:color w:val="FFFFFF"/>
                <w:sz w:val="16"/>
                <w:szCs w:val="16"/>
              </w:rPr>
              <w:t>Program</w:t>
            </w:r>
          </w:p>
        </w:tc>
        <w:tc>
          <w:tcPr>
            <w:tcW w:w="1893"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A06330" w:rsidRPr="00A06330" w:rsidRDefault="00A06330" w:rsidP="006B7BA6">
            <w:pPr>
              <w:spacing w:after="0" w:line="240" w:lineRule="auto"/>
              <w:jc w:val="center"/>
              <w:rPr>
                <w:rFonts w:ascii="Arial" w:eastAsia="Times New Roman" w:hAnsi="Arial" w:cs="Arial"/>
                <w:b/>
                <w:bCs/>
                <w:color w:val="FFFFFF"/>
                <w:sz w:val="16"/>
                <w:szCs w:val="16"/>
              </w:rPr>
            </w:pPr>
            <w:r w:rsidRPr="00A06330">
              <w:rPr>
                <w:rFonts w:ascii="Arial" w:eastAsia="Times New Roman" w:hAnsi="Arial" w:cs="Arial"/>
                <w:b/>
                <w:bCs/>
                <w:color w:val="FFFFFF"/>
                <w:sz w:val="16"/>
                <w:szCs w:val="16"/>
              </w:rPr>
              <w:t>Local Capacity Area</w:t>
            </w:r>
          </w:p>
        </w:tc>
        <w:tc>
          <w:tcPr>
            <w:tcW w:w="982"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A06330" w:rsidRPr="00A06330" w:rsidRDefault="00A06330" w:rsidP="006B7BA6">
            <w:pPr>
              <w:spacing w:after="0" w:line="240" w:lineRule="auto"/>
              <w:jc w:val="center"/>
              <w:rPr>
                <w:rFonts w:ascii="Arial" w:eastAsia="Times New Roman" w:hAnsi="Arial" w:cs="Arial"/>
                <w:b/>
                <w:bCs/>
                <w:color w:val="FFFFFF"/>
                <w:sz w:val="16"/>
                <w:szCs w:val="16"/>
              </w:rPr>
            </w:pPr>
            <w:r w:rsidRPr="00A06330">
              <w:rPr>
                <w:rFonts w:ascii="Arial" w:eastAsia="Times New Roman" w:hAnsi="Arial" w:cs="Arial"/>
                <w:b/>
                <w:bCs/>
                <w:color w:val="FFFFFF"/>
                <w:sz w:val="16"/>
                <w:szCs w:val="16"/>
              </w:rPr>
              <w:t>Acc</w:t>
            </w:r>
            <w:r w:rsidR="00E41E27">
              <w:rPr>
                <w:rFonts w:ascii="Arial" w:eastAsia="Times New Roman" w:hAnsi="Arial" w:cs="Arial"/>
                <w:b/>
                <w:bCs/>
                <w:color w:val="FFFFFF"/>
                <w:sz w:val="16"/>
                <w:szCs w:val="16"/>
              </w:rPr>
              <w:t>oun</w:t>
            </w:r>
            <w:r w:rsidRPr="00A06330">
              <w:rPr>
                <w:rFonts w:ascii="Arial" w:eastAsia="Times New Roman" w:hAnsi="Arial" w:cs="Arial"/>
                <w:b/>
                <w:bCs/>
                <w:color w:val="FFFFFF"/>
                <w:sz w:val="16"/>
                <w:szCs w:val="16"/>
              </w:rPr>
              <w:t>ts</w:t>
            </w:r>
          </w:p>
        </w:tc>
        <w:tc>
          <w:tcPr>
            <w:tcW w:w="1092"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A73F2B" w:rsidRDefault="00A06330">
            <w:pPr>
              <w:spacing w:after="0" w:line="240" w:lineRule="auto"/>
              <w:jc w:val="center"/>
              <w:rPr>
                <w:rFonts w:ascii="Arial" w:eastAsia="Times New Roman" w:hAnsi="Arial" w:cs="Arial"/>
                <w:b/>
                <w:bCs/>
                <w:color w:val="FFFFFF"/>
                <w:sz w:val="16"/>
                <w:szCs w:val="16"/>
              </w:rPr>
            </w:pPr>
            <w:r w:rsidRPr="00A06330">
              <w:rPr>
                <w:rFonts w:ascii="Arial" w:eastAsia="Times New Roman" w:hAnsi="Arial" w:cs="Arial"/>
                <w:b/>
                <w:bCs/>
                <w:color w:val="FFFFFF"/>
                <w:sz w:val="16"/>
                <w:szCs w:val="16"/>
              </w:rPr>
              <w:t>Av</w:t>
            </w:r>
            <w:r w:rsidR="00E41E27">
              <w:rPr>
                <w:rFonts w:ascii="Arial" w:eastAsia="Times New Roman" w:hAnsi="Arial" w:cs="Arial"/>
                <w:b/>
                <w:bCs/>
                <w:color w:val="FFFFFF"/>
                <w:sz w:val="16"/>
                <w:szCs w:val="16"/>
              </w:rPr>
              <w:t>erage</w:t>
            </w:r>
            <w:r w:rsidRPr="00A06330">
              <w:rPr>
                <w:rFonts w:ascii="Arial" w:eastAsia="Times New Roman" w:hAnsi="Arial" w:cs="Arial"/>
                <w:b/>
                <w:bCs/>
                <w:color w:val="FFFFFF"/>
                <w:sz w:val="16"/>
                <w:szCs w:val="16"/>
              </w:rPr>
              <w:t xml:space="preserve"> Reference Load (kW)</w:t>
            </w:r>
          </w:p>
        </w:tc>
        <w:tc>
          <w:tcPr>
            <w:tcW w:w="1001"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A06330" w:rsidRPr="00A06330" w:rsidRDefault="00A06330" w:rsidP="006B7BA6">
            <w:pPr>
              <w:spacing w:after="0" w:line="240" w:lineRule="auto"/>
              <w:jc w:val="center"/>
              <w:rPr>
                <w:rFonts w:ascii="Arial" w:eastAsia="Times New Roman" w:hAnsi="Arial" w:cs="Arial"/>
                <w:b/>
                <w:bCs/>
                <w:color w:val="FFFFFF"/>
                <w:sz w:val="16"/>
                <w:szCs w:val="16"/>
              </w:rPr>
            </w:pPr>
            <w:r w:rsidRPr="00A06330">
              <w:rPr>
                <w:rFonts w:ascii="Arial" w:eastAsia="Times New Roman" w:hAnsi="Arial" w:cs="Arial"/>
                <w:b/>
                <w:bCs/>
                <w:color w:val="FFFFFF"/>
                <w:sz w:val="16"/>
                <w:szCs w:val="16"/>
              </w:rPr>
              <w:t>Average Load Reduction (kW)</w:t>
            </w:r>
          </w:p>
        </w:tc>
        <w:tc>
          <w:tcPr>
            <w:tcW w:w="911"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A06330" w:rsidRPr="00A06330" w:rsidRDefault="00A06330" w:rsidP="006B7BA6">
            <w:pPr>
              <w:spacing w:after="0" w:line="240" w:lineRule="auto"/>
              <w:jc w:val="center"/>
              <w:rPr>
                <w:rFonts w:ascii="Arial" w:eastAsia="Times New Roman" w:hAnsi="Arial" w:cs="Arial"/>
                <w:b/>
                <w:bCs/>
                <w:color w:val="FFFFFF"/>
                <w:sz w:val="16"/>
                <w:szCs w:val="16"/>
              </w:rPr>
            </w:pPr>
            <w:r w:rsidRPr="00A06330">
              <w:rPr>
                <w:rFonts w:ascii="Arial" w:eastAsia="Times New Roman" w:hAnsi="Arial" w:cs="Arial"/>
                <w:b/>
                <w:bCs/>
                <w:color w:val="FFFFFF"/>
                <w:sz w:val="16"/>
                <w:szCs w:val="16"/>
              </w:rPr>
              <w:t>% Load Reduction</w:t>
            </w:r>
          </w:p>
        </w:tc>
        <w:tc>
          <w:tcPr>
            <w:tcW w:w="911"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E41E27" w:rsidRDefault="00A06330" w:rsidP="006B7BA6">
            <w:pPr>
              <w:spacing w:after="0" w:line="240" w:lineRule="auto"/>
              <w:jc w:val="center"/>
              <w:rPr>
                <w:rFonts w:ascii="Arial" w:eastAsia="Times New Roman" w:hAnsi="Arial" w:cs="Arial"/>
                <w:b/>
                <w:bCs/>
                <w:color w:val="FFFFFF"/>
                <w:sz w:val="16"/>
                <w:szCs w:val="16"/>
              </w:rPr>
            </w:pPr>
            <w:r w:rsidRPr="00A06330">
              <w:rPr>
                <w:rFonts w:ascii="Arial" w:eastAsia="Times New Roman" w:hAnsi="Arial" w:cs="Arial"/>
                <w:b/>
                <w:bCs/>
                <w:color w:val="FFFFFF"/>
                <w:sz w:val="16"/>
                <w:szCs w:val="16"/>
              </w:rPr>
              <w:t xml:space="preserve">Aggregate Reference Load </w:t>
            </w:r>
          </w:p>
          <w:p w:rsidR="00A06330" w:rsidRPr="00A06330" w:rsidRDefault="00A06330" w:rsidP="006B7BA6">
            <w:pPr>
              <w:spacing w:after="0" w:line="240" w:lineRule="auto"/>
              <w:jc w:val="center"/>
              <w:rPr>
                <w:rFonts w:ascii="Arial" w:eastAsia="Times New Roman" w:hAnsi="Arial" w:cs="Arial"/>
                <w:b/>
                <w:bCs/>
                <w:color w:val="FFFFFF"/>
                <w:sz w:val="16"/>
                <w:szCs w:val="16"/>
              </w:rPr>
            </w:pPr>
            <w:r w:rsidRPr="00A06330">
              <w:rPr>
                <w:rFonts w:ascii="Arial" w:eastAsia="Times New Roman" w:hAnsi="Arial" w:cs="Arial"/>
                <w:b/>
                <w:bCs/>
                <w:color w:val="FFFFFF"/>
                <w:sz w:val="16"/>
                <w:szCs w:val="16"/>
              </w:rPr>
              <w:t>(MW)</w:t>
            </w:r>
          </w:p>
        </w:tc>
        <w:tc>
          <w:tcPr>
            <w:tcW w:w="1001"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A06330" w:rsidRPr="00A06330" w:rsidRDefault="00A06330" w:rsidP="006B7BA6">
            <w:pPr>
              <w:spacing w:after="0" w:line="240" w:lineRule="auto"/>
              <w:jc w:val="center"/>
              <w:rPr>
                <w:rFonts w:ascii="Arial" w:eastAsia="Times New Roman" w:hAnsi="Arial" w:cs="Arial"/>
                <w:b/>
                <w:bCs/>
                <w:color w:val="FFFFFF"/>
                <w:sz w:val="16"/>
                <w:szCs w:val="16"/>
              </w:rPr>
            </w:pPr>
            <w:r w:rsidRPr="00A06330">
              <w:rPr>
                <w:rFonts w:ascii="Arial" w:eastAsia="Times New Roman" w:hAnsi="Arial" w:cs="Arial"/>
                <w:b/>
                <w:bCs/>
                <w:color w:val="FFFFFF"/>
                <w:sz w:val="16"/>
                <w:szCs w:val="16"/>
              </w:rPr>
              <w:t>Aggregate Load Impact (MW)</w:t>
            </w:r>
          </w:p>
        </w:tc>
        <w:tc>
          <w:tcPr>
            <w:tcW w:w="909" w:type="dxa"/>
            <w:tcBorders>
              <w:top w:val="single" w:sz="4" w:space="0" w:color="auto"/>
              <w:left w:val="nil"/>
              <w:bottom w:val="single" w:sz="4" w:space="0" w:color="auto"/>
              <w:right w:val="single" w:sz="4" w:space="0" w:color="auto"/>
            </w:tcBorders>
            <w:shd w:val="clear" w:color="000000" w:fill="1F497D" w:themeFill="text2"/>
            <w:tcMar>
              <w:left w:w="43" w:type="dxa"/>
              <w:right w:w="43" w:type="dxa"/>
            </w:tcMar>
            <w:vAlign w:val="center"/>
            <w:hideMark/>
          </w:tcPr>
          <w:p w:rsidR="00A73F2B" w:rsidRDefault="00A06330">
            <w:pPr>
              <w:spacing w:after="0" w:line="240" w:lineRule="auto"/>
              <w:jc w:val="center"/>
              <w:rPr>
                <w:rFonts w:ascii="Arial" w:eastAsia="Times New Roman" w:hAnsi="Arial" w:cs="Arial"/>
                <w:b/>
                <w:bCs/>
                <w:color w:val="FFFFFF"/>
                <w:sz w:val="16"/>
                <w:szCs w:val="16"/>
              </w:rPr>
            </w:pPr>
            <w:r w:rsidRPr="00A06330">
              <w:rPr>
                <w:rFonts w:ascii="Arial" w:eastAsia="Times New Roman" w:hAnsi="Arial" w:cs="Arial"/>
                <w:b/>
                <w:bCs/>
                <w:color w:val="FFFFFF"/>
                <w:sz w:val="16"/>
                <w:szCs w:val="16"/>
              </w:rPr>
              <w:t>Av</w:t>
            </w:r>
            <w:r w:rsidR="00E41E27">
              <w:rPr>
                <w:rFonts w:ascii="Arial" w:eastAsia="Times New Roman" w:hAnsi="Arial" w:cs="Arial"/>
                <w:b/>
                <w:bCs/>
                <w:color w:val="FFFFFF"/>
                <w:sz w:val="16"/>
                <w:szCs w:val="16"/>
              </w:rPr>
              <w:t>erage</w:t>
            </w:r>
            <w:r w:rsidRPr="00A06330">
              <w:rPr>
                <w:rFonts w:ascii="Arial" w:eastAsia="Times New Roman" w:hAnsi="Arial" w:cs="Arial"/>
                <w:b/>
                <w:bCs/>
                <w:color w:val="FFFFFF"/>
                <w:sz w:val="16"/>
                <w:szCs w:val="16"/>
              </w:rPr>
              <w:t xml:space="preserve"> Temp</w:t>
            </w:r>
            <w:r w:rsidR="00E41E27">
              <w:rPr>
                <w:rFonts w:ascii="Arial" w:eastAsia="Times New Roman" w:hAnsi="Arial" w:cs="Arial"/>
                <w:b/>
                <w:bCs/>
                <w:color w:val="FFFFFF"/>
                <w:sz w:val="16"/>
                <w:szCs w:val="16"/>
              </w:rPr>
              <w:t>.</w:t>
            </w:r>
            <w:r w:rsidRPr="00A06330">
              <w:rPr>
                <w:rFonts w:ascii="Arial" w:eastAsia="Times New Roman" w:hAnsi="Arial" w:cs="Arial"/>
                <w:b/>
                <w:bCs/>
                <w:color w:val="FFFFFF"/>
                <w:sz w:val="16"/>
                <w:szCs w:val="16"/>
              </w:rPr>
              <w:t xml:space="preserve"> During Event</w:t>
            </w:r>
          </w:p>
        </w:tc>
      </w:tr>
      <w:tr w:rsidR="00A06330" w:rsidRPr="00A06330" w:rsidTr="00A06330">
        <w:trPr>
          <w:trHeight w:val="396"/>
        </w:trPr>
        <w:tc>
          <w:tcPr>
            <w:tcW w:w="746" w:type="dxa"/>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CBP-DA</w:t>
            </w:r>
          </w:p>
        </w:tc>
        <w:tc>
          <w:tcPr>
            <w:tcW w:w="18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b/>
                <w:bCs/>
                <w:color w:val="000000"/>
                <w:sz w:val="16"/>
                <w:szCs w:val="16"/>
              </w:rPr>
            </w:pPr>
            <w:r w:rsidRPr="00A06330">
              <w:rPr>
                <w:rFonts w:ascii="Arial" w:eastAsia="Times New Roman" w:hAnsi="Arial" w:cs="Arial"/>
                <w:b/>
                <w:bCs/>
                <w:color w:val="000000"/>
                <w:sz w:val="16"/>
                <w:szCs w:val="16"/>
              </w:rPr>
              <w:t>All Customers</w:t>
            </w:r>
          </w:p>
        </w:tc>
        <w:tc>
          <w:tcPr>
            <w:tcW w:w="9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b/>
                <w:bCs/>
                <w:color w:val="000000"/>
                <w:sz w:val="16"/>
                <w:szCs w:val="16"/>
              </w:rPr>
            </w:pPr>
            <w:r w:rsidRPr="00A06330">
              <w:rPr>
                <w:rFonts w:ascii="Arial" w:eastAsia="Times New Roman" w:hAnsi="Arial" w:cs="Arial"/>
                <w:b/>
                <w:bCs/>
                <w:color w:val="000000"/>
                <w:sz w:val="16"/>
                <w:szCs w:val="16"/>
              </w:rPr>
              <w:t>90</w:t>
            </w:r>
          </w:p>
        </w:tc>
        <w:tc>
          <w:tcPr>
            <w:tcW w:w="109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b/>
                <w:bCs/>
                <w:color w:val="000000"/>
                <w:sz w:val="16"/>
                <w:szCs w:val="16"/>
              </w:rPr>
            </w:pPr>
            <w:r w:rsidRPr="00A06330">
              <w:rPr>
                <w:rFonts w:ascii="Arial" w:eastAsia="Times New Roman" w:hAnsi="Arial" w:cs="Arial"/>
                <w:b/>
                <w:bCs/>
                <w:color w:val="000000"/>
                <w:sz w:val="16"/>
                <w:szCs w:val="16"/>
              </w:rPr>
              <w:t>176.6</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b/>
                <w:bCs/>
                <w:color w:val="000000"/>
                <w:sz w:val="16"/>
                <w:szCs w:val="16"/>
              </w:rPr>
            </w:pPr>
            <w:r w:rsidRPr="00A06330">
              <w:rPr>
                <w:rFonts w:ascii="Arial" w:eastAsia="Times New Roman" w:hAnsi="Arial" w:cs="Arial"/>
                <w:b/>
                <w:bCs/>
                <w:color w:val="000000"/>
                <w:sz w:val="16"/>
                <w:szCs w:val="16"/>
              </w:rPr>
              <w:t>46.5</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b/>
                <w:bCs/>
                <w:color w:val="000000"/>
                <w:sz w:val="16"/>
                <w:szCs w:val="16"/>
              </w:rPr>
            </w:pPr>
            <w:r w:rsidRPr="00A06330">
              <w:rPr>
                <w:rFonts w:ascii="Arial" w:eastAsia="Times New Roman" w:hAnsi="Arial" w:cs="Arial"/>
                <w:b/>
                <w:bCs/>
                <w:color w:val="000000"/>
                <w:sz w:val="16"/>
                <w:szCs w:val="16"/>
              </w:rPr>
              <w:t>26.3%</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b/>
                <w:bCs/>
                <w:color w:val="000000"/>
                <w:sz w:val="16"/>
                <w:szCs w:val="16"/>
              </w:rPr>
            </w:pPr>
            <w:r w:rsidRPr="00A06330">
              <w:rPr>
                <w:rFonts w:ascii="Arial" w:eastAsia="Times New Roman" w:hAnsi="Arial" w:cs="Arial"/>
                <w:b/>
                <w:bCs/>
                <w:color w:val="000000"/>
                <w:sz w:val="16"/>
                <w:szCs w:val="16"/>
              </w:rPr>
              <w:t>15.9</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b/>
                <w:bCs/>
                <w:color w:val="000000"/>
                <w:sz w:val="16"/>
                <w:szCs w:val="16"/>
              </w:rPr>
            </w:pPr>
            <w:r w:rsidRPr="00A06330">
              <w:rPr>
                <w:rFonts w:ascii="Arial" w:eastAsia="Times New Roman" w:hAnsi="Arial" w:cs="Arial"/>
                <w:b/>
                <w:bCs/>
                <w:color w:val="000000"/>
                <w:sz w:val="16"/>
                <w:szCs w:val="16"/>
              </w:rPr>
              <w:t>4.2</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b/>
                <w:bCs/>
                <w:color w:val="000000"/>
                <w:sz w:val="16"/>
                <w:szCs w:val="16"/>
              </w:rPr>
            </w:pPr>
            <w:r w:rsidRPr="00A06330">
              <w:rPr>
                <w:rFonts w:ascii="Arial" w:eastAsia="Times New Roman" w:hAnsi="Arial" w:cs="Arial"/>
                <w:b/>
                <w:bCs/>
                <w:color w:val="000000"/>
                <w:sz w:val="16"/>
                <w:szCs w:val="16"/>
              </w:rPr>
              <w:t>84.2</w:t>
            </w:r>
          </w:p>
        </w:tc>
      </w:tr>
      <w:tr w:rsidR="00A06330" w:rsidRPr="00A06330" w:rsidTr="00A06330">
        <w:trPr>
          <w:trHeight w:val="396"/>
        </w:trPr>
        <w:tc>
          <w:tcPr>
            <w:tcW w:w="746"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A06330" w:rsidRPr="00A06330" w:rsidRDefault="00A06330" w:rsidP="00A06330">
            <w:pPr>
              <w:spacing w:after="0" w:line="240" w:lineRule="auto"/>
              <w:rPr>
                <w:rFonts w:ascii="Arial" w:eastAsia="Times New Roman" w:hAnsi="Arial" w:cs="Arial"/>
                <w:color w:val="000000"/>
                <w:sz w:val="16"/>
                <w:szCs w:val="16"/>
              </w:rPr>
            </w:pPr>
          </w:p>
        </w:tc>
        <w:tc>
          <w:tcPr>
            <w:tcW w:w="18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 xml:space="preserve"> LA Basin</w:t>
            </w:r>
          </w:p>
        </w:tc>
        <w:tc>
          <w:tcPr>
            <w:tcW w:w="9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71</w:t>
            </w:r>
          </w:p>
        </w:tc>
        <w:tc>
          <w:tcPr>
            <w:tcW w:w="109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171.2</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45.1</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26.3%</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12.2</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3.2</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84.3</w:t>
            </w:r>
          </w:p>
        </w:tc>
      </w:tr>
      <w:tr w:rsidR="00A06330" w:rsidRPr="00A06330" w:rsidTr="00A06330">
        <w:trPr>
          <w:trHeight w:val="396"/>
        </w:trPr>
        <w:tc>
          <w:tcPr>
            <w:tcW w:w="746"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A06330" w:rsidRPr="00A06330" w:rsidRDefault="00A06330" w:rsidP="00A06330">
            <w:pPr>
              <w:spacing w:after="0" w:line="240" w:lineRule="auto"/>
              <w:rPr>
                <w:rFonts w:ascii="Arial" w:eastAsia="Times New Roman" w:hAnsi="Arial" w:cs="Arial"/>
                <w:color w:val="000000"/>
                <w:sz w:val="16"/>
                <w:szCs w:val="16"/>
              </w:rPr>
            </w:pPr>
          </w:p>
        </w:tc>
        <w:tc>
          <w:tcPr>
            <w:tcW w:w="18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 xml:space="preserve"> Ventura</w:t>
            </w:r>
            <w:r w:rsidR="00EB4CC2">
              <w:rPr>
                <w:rFonts w:ascii="Arial" w:eastAsia="Times New Roman" w:hAnsi="Arial" w:cs="Arial"/>
                <w:color w:val="000000"/>
                <w:sz w:val="16"/>
                <w:szCs w:val="16"/>
              </w:rPr>
              <w:t>/Big Creek</w:t>
            </w:r>
          </w:p>
        </w:tc>
        <w:tc>
          <w:tcPr>
            <w:tcW w:w="9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15</w:t>
            </w:r>
          </w:p>
        </w:tc>
        <w:tc>
          <w:tcPr>
            <w:tcW w:w="109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209.2</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56.2</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26.9%</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3.1</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0.8</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80.6</w:t>
            </w:r>
          </w:p>
        </w:tc>
      </w:tr>
      <w:tr w:rsidR="00A06330" w:rsidRPr="00A06330" w:rsidTr="00A06330">
        <w:trPr>
          <w:trHeight w:val="396"/>
        </w:trPr>
        <w:tc>
          <w:tcPr>
            <w:tcW w:w="746"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A06330" w:rsidRPr="00A06330" w:rsidRDefault="00A06330" w:rsidP="00A06330">
            <w:pPr>
              <w:spacing w:after="0" w:line="240" w:lineRule="auto"/>
              <w:rPr>
                <w:rFonts w:ascii="Arial" w:eastAsia="Times New Roman" w:hAnsi="Arial" w:cs="Arial"/>
                <w:color w:val="000000"/>
                <w:sz w:val="16"/>
                <w:szCs w:val="16"/>
              </w:rPr>
            </w:pPr>
          </w:p>
        </w:tc>
        <w:tc>
          <w:tcPr>
            <w:tcW w:w="18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 xml:space="preserve"> Outside</w:t>
            </w:r>
            <w:r w:rsidR="00EB4CC2">
              <w:rPr>
                <w:rFonts w:ascii="Arial" w:eastAsia="Times New Roman" w:hAnsi="Arial" w:cs="Arial"/>
                <w:color w:val="000000"/>
                <w:sz w:val="16"/>
                <w:szCs w:val="16"/>
              </w:rPr>
              <w:t xml:space="preserve"> LA Basin</w:t>
            </w:r>
          </w:p>
        </w:tc>
        <w:tc>
          <w:tcPr>
            <w:tcW w:w="9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4</w:t>
            </w:r>
          </w:p>
        </w:tc>
        <w:tc>
          <w:tcPr>
            <w:tcW w:w="109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150.1</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34.5</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23.0%</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0.6</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0.1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96.0</w:t>
            </w:r>
          </w:p>
        </w:tc>
      </w:tr>
      <w:tr w:rsidR="00A06330" w:rsidRPr="00A06330" w:rsidTr="00A06330">
        <w:trPr>
          <w:trHeight w:val="396"/>
        </w:trPr>
        <w:tc>
          <w:tcPr>
            <w:tcW w:w="746" w:type="dxa"/>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CBP-DO</w:t>
            </w:r>
          </w:p>
        </w:tc>
        <w:tc>
          <w:tcPr>
            <w:tcW w:w="18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8D04F7" w:rsidP="00A06330">
            <w:pPr>
              <w:spacing w:after="0" w:line="240" w:lineRule="auto"/>
              <w:jc w:val="center"/>
              <w:rPr>
                <w:rFonts w:ascii="Arial" w:eastAsia="Times New Roman" w:hAnsi="Arial" w:cs="Arial"/>
                <w:b/>
                <w:color w:val="000000"/>
                <w:sz w:val="16"/>
                <w:szCs w:val="16"/>
              </w:rPr>
            </w:pPr>
            <w:r w:rsidRPr="008D04F7">
              <w:rPr>
                <w:rFonts w:ascii="Arial" w:eastAsia="Times New Roman" w:hAnsi="Arial" w:cs="Arial"/>
                <w:b/>
                <w:color w:val="000000"/>
                <w:sz w:val="16"/>
                <w:szCs w:val="16"/>
              </w:rPr>
              <w:t>All Customers</w:t>
            </w:r>
          </w:p>
        </w:tc>
        <w:tc>
          <w:tcPr>
            <w:tcW w:w="9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8D04F7" w:rsidP="00A06330">
            <w:pPr>
              <w:spacing w:after="0" w:line="240" w:lineRule="auto"/>
              <w:jc w:val="center"/>
              <w:rPr>
                <w:rFonts w:ascii="Arial" w:eastAsia="Times New Roman" w:hAnsi="Arial" w:cs="Arial"/>
                <w:b/>
                <w:color w:val="000000"/>
                <w:sz w:val="16"/>
                <w:szCs w:val="16"/>
              </w:rPr>
            </w:pPr>
            <w:r w:rsidRPr="008D04F7">
              <w:rPr>
                <w:rFonts w:ascii="Arial" w:eastAsia="Times New Roman" w:hAnsi="Arial" w:cs="Arial"/>
                <w:b/>
                <w:color w:val="000000"/>
                <w:sz w:val="16"/>
                <w:szCs w:val="16"/>
              </w:rPr>
              <w:t>412</w:t>
            </w:r>
          </w:p>
        </w:tc>
        <w:tc>
          <w:tcPr>
            <w:tcW w:w="109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8D04F7" w:rsidP="00A06330">
            <w:pPr>
              <w:spacing w:after="0" w:line="240" w:lineRule="auto"/>
              <w:jc w:val="center"/>
              <w:rPr>
                <w:rFonts w:ascii="Arial" w:eastAsia="Times New Roman" w:hAnsi="Arial" w:cs="Arial"/>
                <w:b/>
                <w:color w:val="000000"/>
                <w:sz w:val="16"/>
                <w:szCs w:val="16"/>
              </w:rPr>
            </w:pPr>
            <w:r w:rsidRPr="008D04F7">
              <w:rPr>
                <w:rFonts w:ascii="Arial" w:eastAsia="Times New Roman" w:hAnsi="Arial" w:cs="Arial"/>
                <w:b/>
                <w:color w:val="000000"/>
                <w:sz w:val="16"/>
                <w:szCs w:val="16"/>
              </w:rPr>
              <w:t>240.9</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8D04F7" w:rsidP="00A06330">
            <w:pPr>
              <w:spacing w:after="0" w:line="240" w:lineRule="auto"/>
              <w:jc w:val="center"/>
              <w:rPr>
                <w:rFonts w:ascii="Arial" w:eastAsia="Times New Roman" w:hAnsi="Arial" w:cs="Arial"/>
                <w:b/>
                <w:color w:val="000000"/>
                <w:sz w:val="16"/>
                <w:szCs w:val="16"/>
              </w:rPr>
            </w:pPr>
            <w:r w:rsidRPr="008D04F7">
              <w:rPr>
                <w:rFonts w:ascii="Arial" w:eastAsia="Times New Roman" w:hAnsi="Arial" w:cs="Arial"/>
                <w:b/>
                <w:color w:val="000000"/>
                <w:sz w:val="16"/>
                <w:szCs w:val="16"/>
              </w:rPr>
              <w:t>46.5</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8D04F7" w:rsidP="00A06330">
            <w:pPr>
              <w:spacing w:after="0" w:line="240" w:lineRule="auto"/>
              <w:jc w:val="center"/>
              <w:rPr>
                <w:rFonts w:ascii="Arial" w:eastAsia="Times New Roman" w:hAnsi="Arial" w:cs="Arial"/>
                <w:b/>
                <w:color w:val="000000"/>
                <w:sz w:val="16"/>
                <w:szCs w:val="16"/>
              </w:rPr>
            </w:pPr>
            <w:r w:rsidRPr="008D04F7">
              <w:rPr>
                <w:rFonts w:ascii="Arial" w:eastAsia="Times New Roman" w:hAnsi="Arial" w:cs="Arial"/>
                <w:b/>
                <w:color w:val="000000"/>
                <w:sz w:val="16"/>
                <w:szCs w:val="16"/>
              </w:rPr>
              <w:t>19.3%</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8D04F7" w:rsidP="00A06330">
            <w:pPr>
              <w:spacing w:after="0" w:line="240" w:lineRule="auto"/>
              <w:jc w:val="center"/>
              <w:rPr>
                <w:rFonts w:ascii="Arial" w:eastAsia="Times New Roman" w:hAnsi="Arial" w:cs="Arial"/>
                <w:b/>
                <w:color w:val="000000"/>
                <w:sz w:val="16"/>
                <w:szCs w:val="16"/>
              </w:rPr>
            </w:pPr>
            <w:r w:rsidRPr="008D04F7">
              <w:rPr>
                <w:rFonts w:ascii="Arial" w:eastAsia="Times New Roman" w:hAnsi="Arial" w:cs="Arial"/>
                <w:b/>
                <w:color w:val="000000"/>
                <w:sz w:val="16"/>
                <w:szCs w:val="16"/>
              </w:rPr>
              <w:t>99.3</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8D04F7" w:rsidP="00A06330">
            <w:pPr>
              <w:spacing w:after="0" w:line="240" w:lineRule="auto"/>
              <w:jc w:val="center"/>
              <w:rPr>
                <w:rFonts w:ascii="Arial" w:eastAsia="Times New Roman" w:hAnsi="Arial" w:cs="Arial"/>
                <w:b/>
                <w:color w:val="000000"/>
                <w:sz w:val="16"/>
                <w:szCs w:val="16"/>
              </w:rPr>
            </w:pPr>
            <w:r w:rsidRPr="008D04F7">
              <w:rPr>
                <w:rFonts w:ascii="Arial" w:eastAsia="Times New Roman" w:hAnsi="Arial" w:cs="Arial"/>
                <w:b/>
                <w:color w:val="000000"/>
                <w:sz w:val="16"/>
                <w:szCs w:val="16"/>
              </w:rPr>
              <w:t>19.2</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8D04F7" w:rsidP="00A06330">
            <w:pPr>
              <w:spacing w:after="0" w:line="240" w:lineRule="auto"/>
              <w:jc w:val="center"/>
              <w:rPr>
                <w:rFonts w:ascii="Arial" w:eastAsia="Times New Roman" w:hAnsi="Arial" w:cs="Arial"/>
                <w:b/>
                <w:color w:val="000000"/>
                <w:sz w:val="16"/>
                <w:szCs w:val="16"/>
              </w:rPr>
            </w:pPr>
            <w:r w:rsidRPr="008D04F7">
              <w:rPr>
                <w:rFonts w:ascii="Arial" w:eastAsia="Times New Roman" w:hAnsi="Arial" w:cs="Arial"/>
                <w:b/>
                <w:color w:val="000000"/>
                <w:sz w:val="16"/>
                <w:szCs w:val="16"/>
              </w:rPr>
              <w:t>90.1</w:t>
            </w:r>
          </w:p>
        </w:tc>
      </w:tr>
      <w:tr w:rsidR="00A06330" w:rsidRPr="00A06330" w:rsidTr="00A06330">
        <w:trPr>
          <w:trHeight w:val="396"/>
        </w:trPr>
        <w:tc>
          <w:tcPr>
            <w:tcW w:w="746"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A06330" w:rsidRPr="00A06330" w:rsidRDefault="00A06330" w:rsidP="00A06330">
            <w:pPr>
              <w:spacing w:after="0" w:line="240" w:lineRule="auto"/>
              <w:rPr>
                <w:rFonts w:ascii="Arial" w:eastAsia="Times New Roman" w:hAnsi="Arial" w:cs="Arial"/>
                <w:color w:val="000000"/>
                <w:sz w:val="16"/>
                <w:szCs w:val="16"/>
              </w:rPr>
            </w:pPr>
          </w:p>
        </w:tc>
        <w:tc>
          <w:tcPr>
            <w:tcW w:w="18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4959BC" w:rsidP="00A06330">
            <w:pPr>
              <w:spacing w:after="0" w:line="240" w:lineRule="auto"/>
              <w:jc w:val="center"/>
              <w:rPr>
                <w:rFonts w:ascii="Arial" w:eastAsia="Times New Roman" w:hAnsi="Arial" w:cs="Arial"/>
                <w:bCs/>
                <w:color w:val="000000"/>
                <w:sz w:val="16"/>
                <w:szCs w:val="16"/>
              </w:rPr>
            </w:pPr>
            <w:r w:rsidRPr="004959BC">
              <w:rPr>
                <w:rFonts w:ascii="Arial" w:eastAsia="Times New Roman" w:hAnsi="Arial" w:cs="Arial"/>
                <w:bCs/>
                <w:color w:val="000000"/>
                <w:sz w:val="16"/>
                <w:szCs w:val="16"/>
              </w:rPr>
              <w:t xml:space="preserve"> LA Basin</w:t>
            </w:r>
          </w:p>
        </w:tc>
        <w:tc>
          <w:tcPr>
            <w:tcW w:w="9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4959BC" w:rsidP="00A06330">
            <w:pPr>
              <w:spacing w:after="0" w:line="240" w:lineRule="auto"/>
              <w:jc w:val="center"/>
              <w:rPr>
                <w:rFonts w:ascii="Arial" w:eastAsia="Times New Roman" w:hAnsi="Arial" w:cs="Arial"/>
                <w:bCs/>
                <w:color w:val="000000"/>
                <w:sz w:val="16"/>
                <w:szCs w:val="16"/>
              </w:rPr>
            </w:pPr>
            <w:r w:rsidRPr="004959BC">
              <w:rPr>
                <w:rFonts w:ascii="Arial" w:eastAsia="Times New Roman" w:hAnsi="Arial" w:cs="Arial"/>
                <w:bCs/>
                <w:color w:val="000000"/>
                <w:sz w:val="16"/>
                <w:szCs w:val="16"/>
              </w:rPr>
              <w:t>310</w:t>
            </w:r>
          </w:p>
        </w:tc>
        <w:tc>
          <w:tcPr>
            <w:tcW w:w="109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4959BC" w:rsidP="00A06330">
            <w:pPr>
              <w:spacing w:after="0" w:line="240" w:lineRule="auto"/>
              <w:jc w:val="center"/>
              <w:rPr>
                <w:rFonts w:ascii="Arial" w:eastAsia="Times New Roman" w:hAnsi="Arial" w:cs="Arial"/>
                <w:bCs/>
                <w:color w:val="000000"/>
                <w:sz w:val="16"/>
                <w:szCs w:val="16"/>
              </w:rPr>
            </w:pPr>
            <w:r w:rsidRPr="004959BC">
              <w:rPr>
                <w:rFonts w:ascii="Arial" w:eastAsia="Times New Roman" w:hAnsi="Arial" w:cs="Arial"/>
                <w:bCs/>
                <w:color w:val="000000"/>
                <w:sz w:val="16"/>
                <w:szCs w:val="16"/>
              </w:rPr>
              <w:t>236.4</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4959BC" w:rsidP="00A06330">
            <w:pPr>
              <w:spacing w:after="0" w:line="240" w:lineRule="auto"/>
              <w:jc w:val="center"/>
              <w:rPr>
                <w:rFonts w:ascii="Arial" w:eastAsia="Times New Roman" w:hAnsi="Arial" w:cs="Arial"/>
                <w:bCs/>
                <w:color w:val="000000"/>
                <w:sz w:val="16"/>
                <w:szCs w:val="16"/>
              </w:rPr>
            </w:pPr>
            <w:r w:rsidRPr="004959BC">
              <w:rPr>
                <w:rFonts w:ascii="Arial" w:eastAsia="Times New Roman" w:hAnsi="Arial" w:cs="Arial"/>
                <w:bCs/>
                <w:color w:val="000000"/>
                <w:sz w:val="16"/>
                <w:szCs w:val="16"/>
              </w:rPr>
              <w:t>46.1</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4959BC" w:rsidP="00A06330">
            <w:pPr>
              <w:spacing w:after="0" w:line="240" w:lineRule="auto"/>
              <w:jc w:val="center"/>
              <w:rPr>
                <w:rFonts w:ascii="Arial" w:eastAsia="Times New Roman" w:hAnsi="Arial" w:cs="Arial"/>
                <w:bCs/>
                <w:color w:val="000000"/>
                <w:sz w:val="16"/>
                <w:szCs w:val="16"/>
              </w:rPr>
            </w:pPr>
            <w:r w:rsidRPr="004959BC">
              <w:rPr>
                <w:rFonts w:ascii="Arial" w:eastAsia="Times New Roman" w:hAnsi="Arial" w:cs="Arial"/>
                <w:bCs/>
                <w:color w:val="000000"/>
                <w:sz w:val="16"/>
                <w:szCs w:val="16"/>
              </w:rPr>
              <w:t>19.5%</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4959BC" w:rsidP="00A06330">
            <w:pPr>
              <w:spacing w:after="0" w:line="240" w:lineRule="auto"/>
              <w:jc w:val="center"/>
              <w:rPr>
                <w:rFonts w:ascii="Arial" w:eastAsia="Times New Roman" w:hAnsi="Arial" w:cs="Arial"/>
                <w:bCs/>
                <w:color w:val="000000"/>
                <w:sz w:val="16"/>
                <w:szCs w:val="16"/>
              </w:rPr>
            </w:pPr>
            <w:r w:rsidRPr="004959BC">
              <w:rPr>
                <w:rFonts w:ascii="Arial" w:eastAsia="Times New Roman" w:hAnsi="Arial" w:cs="Arial"/>
                <w:bCs/>
                <w:color w:val="000000"/>
                <w:sz w:val="16"/>
                <w:szCs w:val="16"/>
              </w:rPr>
              <w:t>73.3</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4959BC" w:rsidP="00A06330">
            <w:pPr>
              <w:spacing w:after="0" w:line="240" w:lineRule="auto"/>
              <w:jc w:val="center"/>
              <w:rPr>
                <w:rFonts w:ascii="Arial" w:eastAsia="Times New Roman" w:hAnsi="Arial" w:cs="Arial"/>
                <w:bCs/>
                <w:color w:val="000000"/>
                <w:sz w:val="16"/>
                <w:szCs w:val="16"/>
              </w:rPr>
            </w:pPr>
            <w:r w:rsidRPr="004959BC">
              <w:rPr>
                <w:rFonts w:ascii="Arial" w:eastAsia="Times New Roman" w:hAnsi="Arial" w:cs="Arial"/>
                <w:bCs/>
                <w:color w:val="000000"/>
                <w:sz w:val="16"/>
                <w:szCs w:val="16"/>
              </w:rPr>
              <w:t>14.3</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4959BC" w:rsidP="00A06330">
            <w:pPr>
              <w:spacing w:after="0" w:line="240" w:lineRule="auto"/>
              <w:jc w:val="center"/>
              <w:rPr>
                <w:rFonts w:ascii="Arial" w:eastAsia="Times New Roman" w:hAnsi="Arial" w:cs="Arial"/>
                <w:bCs/>
                <w:color w:val="000000"/>
                <w:sz w:val="16"/>
                <w:szCs w:val="16"/>
              </w:rPr>
            </w:pPr>
            <w:r w:rsidRPr="004959BC">
              <w:rPr>
                <w:rFonts w:ascii="Arial" w:eastAsia="Times New Roman" w:hAnsi="Arial" w:cs="Arial"/>
                <w:bCs/>
                <w:color w:val="000000"/>
                <w:sz w:val="16"/>
                <w:szCs w:val="16"/>
              </w:rPr>
              <w:t>90.1</w:t>
            </w:r>
          </w:p>
        </w:tc>
      </w:tr>
      <w:tr w:rsidR="00A06330" w:rsidRPr="00A06330" w:rsidTr="00A06330">
        <w:trPr>
          <w:trHeight w:val="396"/>
        </w:trPr>
        <w:tc>
          <w:tcPr>
            <w:tcW w:w="746"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A06330" w:rsidRPr="00A06330" w:rsidRDefault="00A06330" w:rsidP="00A06330">
            <w:pPr>
              <w:spacing w:after="0" w:line="240" w:lineRule="auto"/>
              <w:rPr>
                <w:rFonts w:ascii="Arial" w:eastAsia="Times New Roman" w:hAnsi="Arial" w:cs="Arial"/>
                <w:color w:val="000000"/>
                <w:sz w:val="16"/>
                <w:szCs w:val="16"/>
              </w:rPr>
            </w:pPr>
          </w:p>
        </w:tc>
        <w:tc>
          <w:tcPr>
            <w:tcW w:w="18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 xml:space="preserve"> Ventura</w:t>
            </w:r>
            <w:r w:rsidR="00EB4CC2">
              <w:rPr>
                <w:rFonts w:ascii="Arial" w:eastAsia="Times New Roman" w:hAnsi="Arial" w:cs="Arial"/>
                <w:color w:val="000000"/>
                <w:sz w:val="16"/>
                <w:szCs w:val="16"/>
              </w:rPr>
              <w:t>/Big Creek</w:t>
            </w:r>
          </w:p>
        </w:tc>
        <w:tc>
          <w:tcPr>
            <w:tcW w:w="9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71</w:t>
            </w:r>
          </w:p>
        </w:tc>
        <w:tc>
          <w:tcPr>
            <w:tcW w:w="109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252.3</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47.5</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18.8%</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17.9</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3.4</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87.2</w:t>
            </w:r>
          </w:p>
        </w:tc>
      </w:tr>
      <w:tr w:rsidR="00A06330" w:rsidRPr="00A06330" w:rsidTr="00A06330">
        <w:trPr>
          <w:trHeight w:val="396"/>
        </w:trPr>
        <w:tc>
          <w:tcPr>
            <w:tcW w:w="746"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A06330" w:rsidRPr="00A06330" w:rsidRDefault="00A06330" w:rsidP="00A06330">
            <w:pPr>
              <w:spacing w:after="0" w:line="240" w:lineRule="auto"/>
              <w:rPr>
                <w:rFonts w:ascii="Arial" w:eastAsia="Times New Roman" w:hAnsi="Arial" w:cs="Arial"/>
                <w:color w:val="000000"/>
                <w:sz w:val="16"/>
                <w:szCs w:val="16"/>
              </w:rPr>
            </w:pPr>
          </w:p>
        </w:tc>
        <w:tc>
          <w:tcPr>
            <w:tcW w:w="189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 xml:space="preserve"> Outside</w:t>
            </w:r>
            <w:r w:rsidR="00EB4CC2">
              <w:rPr>
                <w:rFonts w:ascii="Arial" w:eastAsia="Times New Roman" w:hAnsi="Arial" w:cs="Arial"/>
                <w:color w:val="000000"/>
                <w:sz w:val="16"/>
                <w:szCs w:val="16"/>
              </w:rPr>
              <w:t xml:space="preserve"> LA Basin</w:t>
            </w:r>
          </w:p>
        </w:tc>
        <w:tc>
          <w:tcPr>
            <w:tcW w:w="98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30</w:t>
            </w:r>
          </w:p>
        </w:tc>
        <w:tc>
          <w:tcPr>
            <w:tcW w:w="1092"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260.0</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48.4</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18.6%</w:t>
            </w:r>
          </w:p>
        </w:tc>
        <w:tc>
          <w:tcPr>
            <w:tcW w:w="91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7.8</w:t>
            </w:r>
          </w:p>
        </w:tc>
        <w:tc>
          <w:tcPr>
            <w:tcW w:w="1001"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1.5</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A06330" w:rsidRPr="00A06330" w:rsidRDefault="00A06330" w:rsidP="00A06330">
            <w:pPr>
              <w:spacing w:after="0" w:line="240" w:lineRule="auto"/>
              <w:jc w:val="center"/>
              <w:rPr>
                <w:rFonts w:ascii="Arial" w:eastAsia="Times New Roman" w:hAnsi="Arial" w:cs="Arial"/>
                <w:color w:val="000000"/>
                <w:sz w:val="16"/>
                <w:szCs w:val="16"/>
              </w:rPr>
            </w:pPr>
            <w:r w:rsidRPr="00A06330">
              <w:rPr>
                <w:rFonts w:ascii="Arial" w:eastAsia="Times New Roman" w:hAnsi="Arial" w:cs="Arial"/>
                <w:color w:val="000000"/>
                <w:sz w:val="16"/>
                <w:szCs w:val="16"/>
              </w:rPr>
              <w:t>97.1</w:t>
            </w:r>
          </w:p>
        </w:tc>
      </w:tr>
    </w:tbl>
    <w:p w:rsidR="005310C6" w:rsidRDefault="00E41E27">
      <w:pPr>
        <w:pStyle w:val="Heading3"/>
        <w:spacing w:before="360"/>
      </w:pPr>
      <w:bookmarkStart w:id="293" w:name="_Toc318806227"/>
      <w:bookmarkStart w:id="294" w:name="_Toc318806237"/>
      <w:bookmarkStart w:id="295" w:name="_Toc318806247"/>
      <w:bookmarkStart w:id="296" w:name="_Toc318806257"/>
      <w:bookmarkStart w:id="297" w:name="_Toc318806267"/>
      <w:bookmarkStart w:id="298" w:name="_Toc318806287"/>
      <w:bookmarkStart w:id="299" w:name="_Toc318806297"/>
      <w:bookmarkStart w:id="300" w:name="_Toc318806307"/>
      <w:bookmarkStart w:id="301" w:name="_Toc318806317"/>
      <w:bookmarkStart w:id="302" w:name="_Toc318806327"/>
      <w:bookmarkStart w:id="303" w:name="_Toc318806337"/>
      <w:bookmarkStart w:id="304" w:name="_Toc318806347"/>
      <w:bookmarkStart w:id="305" w:name="_Toc318806361"/>
      <w:bookmarkStart w:id="306" w:name="_Toc326074029"/>
      <w:bookmarkEnd w:id="293"/>
      <w:bookmarkEnd w:id="294"/>
      <w:bookmarkEnd w:id="295"/>
      <w:bookmarkEnd w:id="296"/>
      <w:bookmarkEnd w:id="297"/>
      <w:bookmarkEnd w:id="298"/>
      <w:bookmarkEnd w:id="299"/>
      <w:bookmarkEnd w:id="300"/>
      <w:bookmarkEnd w:id="301"/>
      <w:bookmarkEnd w:id="302"/>
      <w:bookmarkEnd w:id="303"/>
      <w:bookmarkEnd w:id="304"/>
      <w:bookmarkEnd w:id="305"/>
      <w:r>
        <w:t xml:space="preserve">CBP </w:t>
      </w:r>
      <w:r w:rsidR="000D47CD" w:rsidRPr="00050374">
        <w:t>Demand Reductions by Customer Size</w:t>
      </w:r>
      <w:bookmarkEnd w:id="306"/>
    </w:p>
    <w:p w:rsidR="000D47CD" w:rsidRPr="00050374" w:rsidRDefault="00EE5239" w:rsidP="000D47CD">
      <w:pPr>
        <w:pStyle w:val="BodyParagraph"/>
      </w:pPr>
      <w:r>
        <w:t xml:space="preserve">Figure </w:t>
      </w:r>
      <w:r w:rsidR="00A52143">
        <w:t>5</w:t>
      </w:r>
      <w:r>
        <w:t>-4</w:t>
      </w:r>
      <w:r w:rsidR="000D47CD" w:rsidRPr="00050374">
        <w:t xml:space="preserve"> shows </w:t>
      </w:r>
      <w:r w:rsidR="005D2665">
        <w:t xml:space="preserve">the concentration of program load and </w:t>
      </w:r>
      <w:r w:rsidR="000D47CD" w:rsidRPr="00050374">
        <w:t xml:space="preserve">load impacts.  </w:t>
      </w:r>
      <w:r w:rsidR="00E41E27">
        <w:t>T</w:t>
      </w:r>
      <w:r w:rsidR="000D47CD" w:rsidRPr="00050374">
        <w:t xml:space="preserve">he average demand during weekday, summer peak hours (1 PM to 6 PM) </w:t>
      </w:r>
      <w:r w:rsidR="00E41E27">
        <w:t xml:space="preserve">was calculated </w:t>
      </w:r>
      <w:r w:rsidR="000D47CD" w:rsidRPr="00050374">
        <w:t xml:space="preserve">for each customer and then divided </w:t>
      </w:r>
      <w:r w:rsidR="00E41E27">
        <w:t>into q</w:t>
      </w:r>
      <w:r w:rsidR="000D47CD" w:rsidRPr="00050374">
        <w:t xml:space="preserve">uintiles.  The largest fifth of day-ahead customers accounted for </w:t>
      </w:r>
      <w:r>
        <w:t>57</w:t>
      </w:r>
      <w:r w:rsidR="000D47CD" w:rsidRPr="00050374">
        <w:t>% of t</w:t>
      </w:r>
      <w:r w:rsidR="001D7FD4">
        <w:t>he program reference load and 49</w:t>
      </w:r>
      <w:r w:rsidR="000D47CD" w:rsidRPr="00050374">
        <w:t xml:space="preserve">% of the load impacts.  For day-of resources, the impacts </w:t>
      </w:r>
      <w:r>
        <w:t>were</w:t>
      </w:r>
      <w:r w:rsidR="005D2665">
        <w:t xml:space="preserve"> less concentrated</w:t>
      </w:r>
      <w:r w:rsidR="000D47CD" w:rsidRPr="00050374">
        <w:t>, as the lar</w:t>
      </w:r>
      <w:r>
        <w:t>gest fifth of customers accounted</w:t>
      </w:r>
      <w:r w:rsidR="000D47CD" w:rsidRPr="00050374">
        <w:t xml:space="preserve"> for only </w:t>
      </w:r>
      <w:r w:rsidR="001D7FD4">
        <w:t>36</w:t>
      </w:r>
      <w:r w:rsidR="000D47CD" w:rsidRPr="00050374">
        <w:t xml:space="preserve">% of the reference load and </w:t>
      </w:r>
      <w:r w:rsidR="001D7FD4">
        <w:t>31</w:t>
      </w:r>
      <w:r w:rsidR="000D47CD" w:rsidRPr="00050374">
        <w:t xml:space="preserve">% the load impacts.  </w:t>
      </w:r>
      <w:r w:rsidR="00E41E27">
        <w:t>D</w:t>
      </w:r>
      <w:r w:rsidR="000D47CD" w:rsidRPr="00050374">
        <w:t>ay</w:t>
      </w:r>
      <w:r w:rsidR="00E41E27">
        <w:t>-of</w:t>
      </w:r>
      <w:r w:rsidR="000D47CD" w:rsidRPr="00050374">
        <w:t xml:space="preserve"> </w:t>
      </w:r>
      <w:r w:rsidR="001D7FD4">
        <w:t>notification customers,</w:t>
      </w:r>
      <w:r w:rsidR="000D47CD" w:rsidRPr="00050374">
        <w:t xml:space="preserve"> most of whom are retail stores, are fairly h</w:t>
      </w:r>
      <w:r>
        <w:t xml:space="preserve">omogeneous in size and behavior; therefore, the difference in size between fourth quintile and top quintile customers is not </w:t>
      </w:r>
      <w:r w:rsidR="00E41E27">
        <w:t>as</w:t>
      </w:r>
      <w:r w:rsidR="00AA39FA">
        <w:t> </w:t>
      </w:r>
      <w:r w:rsidR="00574DE2">
        <w:t>pronounced</w:t>
      </w:r>
      <w:r>
        <w:t>.</w:t>
      </w:r>
    </w:p>
    <w:p w:rsidR="000D47CD" w:rsidRPr="00050374" w:rsidRDefault="00EE5239" w:rsidP="00BA25E2">
      <w:pPr>
        <w:pStyle w:val="TableFigureCaption"/>
      </w:pPr>
      <w:r>
        <w:rPr>
          <w:rStyle w:val="Strong"/>
          <w:b/>
        </w:rPr>
        <w:lastRenderedPageBreak/>
        <w:t xml:space="preserve">Figure </w:t>
      </w:r>
      <w:r w:rsidR="00A52143">
        <w:rPr>
          <w:rStyle w:val="Strong"/>
          <w:b/>
        </w:rPr>
        <w:t>5</w:t>
      </w:r>
      <w:r>
        <w:rPr>
          <w:rStyle w:val="Strong"/>
          <w:b/>
        </w:rPr>
        <w:t>-4</w:t>
      </w:r>
      <w:r w:rsidR="000D47CD" w:rsidRPr="00050374">
        <w:rPr>
          <w:rStyle w:val="Strong"/>
          <w:b/>
        </w:rPr>
        <w:t>:</w:t>
      </w:r>
      <w:r w:rsidR="00877CA8">
        <w:rPr>
          <w:rStyle w:val="Strong"/>
          <w:b/>
        </w:rPr>
        <w:t xml:space="preserve"> </w:t>
      </w:r>
      <w:r w:rsidR="00994A5C">
        <w:rPr>
          <w:rStyle w:val="Strong"/>
          <w:b/>
        </w:rPr>
        <w:t xml:space="preserve">Estimated Ex </w:t>
      </w:r>
      <w:r w:rsidR="000D47CD" w:rsidRPr="00050374">
        <w:rPr>
          <w:rStyle w:val="Strong"/>
          <w:b/>
        </w:rPr>
        <w:t>Post Load Impacts by Customer Size</w:t>
      </w:r>
      <w:r w:rsidR="000D47CD" w:rsidRPr="00050374">
        <w:rPr>
          <w:rStyle w:val="Strong"/>
          <w:b/>
        </w:rPr>
        <w:br/>
        <w:t>Average 2011 S</w:t>
      </w:r>
      <w:r>
        <w:rPr>
          <w:rStyle w:val="Strong"/>
          <w:b/>
        </w:rPr>
        <w:t>CE</w:t>
      </w:r>
      <w:r w:rsidR="000D47CD" w:rsidRPr="00050374">
        <w:rPr>
          <w:rStyle w:val="Strong"/>
          <w:b/>
        </w:rPr>
        <w:t xml:space="preserve"> CBP Event</w:t>
      </w:r>
    </w:p>
    <w:p w:rsidR="00D649A8" w:rsidRPr="00050374" w:rsidRDefault="005310C6" w:rsidP="000D47CD">
      <w:r>
        <w:rPr>
          <w:noProof/>
        </w:rPr>
        <w:drawing>
          <wp:inline distT="0" distB="0" distL="0" distR="0">
            <wp:extent cx="2724150" cy="1971675"/>
            <wp:effectExtent l="1905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2724150" cy="1971675"/>
                    </a:xfrm>
                    <a:prstGeom prst="rect">
                      <a:avLst/>
                    </a:prstGeom>
                    <a:noFill/>
                    <a:ln w="9525">
                      <a:noFill/>
                      <a:miter lim="800000"/>
                      <a:headEnd/>
                      <a:tailEnd/>
                    </a:ln>
                  </pic:spPr>
                </pic:pic>
              </a:graphicData>
            </a:graphic>
          </wp:inline>
        </w:drawing>
      </w:r>
      <w:r w:rsidR="001D7FD4">
        <w:rPr>
          <w:noProof/>
        </w:rPr>
        <w:drawing>
          <wp:inline distT="0" distB="0" distL="0" distR="0">
            <wp:extent cx="2742274" cy="1975104"/>
            <wp:effectExtent l="19050" t="0" r="926"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2742274" cy="1975104"/>
                    </a:xfrm>
                    <a:prstGeom prst="rect">
                      <a:avLst/>
                    </a:prstGeom>
                    <a:noFill/>
                  </pic:spPr>
                </pic:pic>
              </a:graphicData>
            </a:graphic>
          </wp:inline>
        </w:drawing>
      </w:r>
    </w:p>
    <w:p w:rsidR="001D7FD4" w:rsidRDefault="001D7FD4" w:rsidP="001D7FD4">
      <w:pPr>
        <w:pStyle w:val="Heading2"/>
        <w:numPr>
          <w:ilvl w:val="0"/>
          <w:numId w:val="0"/>
        </w:numPr>
        <w:ind w:left="540" w:hanging="540"/>
      </w:pPr>
    </w:p>
    <w:p w:rsidR="00EF33FF" w:rsidRDefault="001D7FD4" w:rsidP="00EF33FF">
      <w:pPr>
        <w:pStyle w:val="Heading2"/>
      </w:pPr>
      <w:bookmarkStart w:id="307" w:name="_Toc326074030"/>
      <w:r>
        <w:t>Technical I</w:t>
      </w:r>
      <w:r w:rsidR="00EF33FF" w:rsidRPr="00126D2A">
        <w:t xml:space="preserve">ncentive and </w:t>
      </w:r>
      <w:proofErr w:type="spellStart"/>
      <w:r w:rsidR="00EF33FF" w:rsidRPr="00126D2A">
        <w:t>AutoDR</w:t>
      </w:r>
      <w:proofErr w:type="spellEnd"/>
      <w:r w:rsidR="00EF33FF" w:rsidRPr="00126D2A">
        <w:t xml:space="preserve"> Realization Rates</w:t>
      </w:r>
      <w:bookmarkEnd w:id="307"/>
    </w:p>
    <w:p w:rsidR="00124047" w:rsidRDefault="00124047" w:rsidP="00124047">
      <w:pPr>
        <w:pStyle w:val="BodyParagraph"/>
      </w:pPr>
      <w:r>
        <w:t xml:space="preserve">To date, most TI and </w:t>
      </w:r>
      <w:proofErr w:type="spellStart"/>
      <w:r>
        <w:t>AutoDR</w:t>
      </w:r>
      <w:proofErr w:type="spellEnd"/>
      <w:r>
        <w:t xml:space="preserve"> applications have occurred in conjunction with voluntary enrollment in DR programs.</w:t>
      </w:r>
      <w:r>
        <w:rPr>
          <w:rStyle w:val="FootnoteReference"/>
        </w:rPr>
        <w:footnoteReference w:id="12"/>
      </w:r>
      <w:r>
        <w:t xml:space="preserve">  Only a subset of customers enrolled in DR programs partakes in TI or </w:t>
      </w:r>
      <w:proofErr w:type="spellStart"/>
      <w:r>
        <w:t>AutoDR</w:t>
      </w:r>
      <w:proofErr w:type="spellEnd"/>
      <w:r>
        <w:t xml:space="preserve">, and they do so voluntarily.  As a result, participants in TI or </w:t>
      </w:r>
      <w:proofErr w:type="spellStart"/>
      <w:r>
        <w:t>AutoDR</w:t>
      </w:r>
      <w:proofErr w:type="spellEnd"/>
      <w:r>
        <w:t xml:space="preserve"> are likely different from other customers in DR programs.  Success of TI and </w:t>
      </w:r>
      <w:proofErr w:type="spellStart"/>
      <w:r>
        <w:t>AutoDR</w:t>
      </w:r>
      <w:proofErr w:type="spellEnd"/>
      <w:r>
        <w:t xml:space="preserve"> programs should not be measured by whether participants provide smaller or larger reduction than the average customer in DR programs, precisely because participants in TI and </w:t>
      </w:r>
      <w:proofErr w:type="spellStart"/>
      <w:r>
        <w:t>AutoDR</w:t>
      </w:r>
      <w:proofErr w:type="spellEnd"/>
      <w:r>
        <w:t xml:space="preserve"> are likely to differ systematically from DR customers that do not participate.  Similarly, TI participants are likely to differ systematically from </w:t>
      </w:r>
      <w:proofErr w:type="spellStart"/>
      <w:r>
        <w:t>AutoDR</w:t>
      </w:r>
      <w:proofErr w:type="spellEnd"/>
      <w:r>
        <w:t xml:space="preserve"> participants.  TI and </w:t>
      </w:r>
      <w:proofErr w:type="spellStart"/>
      <w:r>
        <w:t>AutoDR</w:t>
      </w:r>
      <w:proofErr w:type="spellEnd"/>
      <w:r>
        <w:t xml:space="preserve"> participants may not represent the mix of industry segments participating in DR programs generally.  Finally, it has rarely been possible to observe customer load reductions both before and after installing enabling technology, precluding the ability to analyze and compare reductions before and after automation.</w:t>
      </w:r>
      <w:r w:rsidR="00C61D83">
        <w:fldChar w:fldCharType="begin"/>
      </w:r>
      <w:r>
        <w:instrText xml:space="preserve"> REF _Ref320620899 </w:instrText>
      </w:r>
      <w:r w:rsidR="00C61D83">
        <w:fldChar w:fldCharType="separate"/>
      </w:r>
      <w:r w:rsidR="00F66D5E">
        <w:br w:type="column"/>
      </w:r>
      <w:r w:rsidR="00F66D5E">
        <w:lastRenderedPageBreak/>
        <w:t>Table 5-8</w:t>
      </w:r>
      <w:r w:rsidR="00C61D83">
        <w:fldChar w:fldCharType="end"/>
      </w:r>
      <w:r>
        <w:t xml:space="preserve"> shows the number of SCE accounts with TI, </w:t>
      </w:r>
      <w:proofErr w:type="spellStart"/>
      <w:r>
        <w:t>AutoDR</w:t>
      </w:r>
      <w:proofErr w:type="spellEnd"/>
      <w:r>
        <w:t xml:space="preserve"> and no automation for each DR program and notification method.  For TI and </w:t>
      </w:r>
      <w:proofErr w:type="spellStart"/>
      <w:r>
        <w:t>AutoDR</w:t>
      </w:r>
      <w:proofErr w:type="spellEnd"/>
      <w:r>
        <w:t xml:space="preserve">, we also include the approved load shed upon which payment was based and the realization rate.  The realization rate indicates the share of the approved load shed that is delivered on event days.  The realization rate implicitly assumes that observed load reductions are due entirely to TI and </w:t>
      </w:r>
      <w:proofErr w:type="spellStart"/>
      <w:r>
        <w:t>AutoDR</w:t>
      </w:r>
      <w:proofErr w:type="spellEnd"/>
      <w:r>
        <w:t xml:space="preserve"> mechanisms.  It is possible that customers may take actions other than those instigated by TI and </w:t>
      </w:r>
      <w:proofErr w:type="spellStart"/>
      <w:r>
        <w:t>AutoDR</w:t>
      </w:r>
      <w:proofErr w:type="spellEnd"/>
      <w:r>
        <w:t>.</w:t>
      </w:r>
    </w:p>
    <w:p w:rsidR="00124047" w:rsidRDefault="00DD0D5C" w:rsidP="00124047">
      <w:pPr>
        <w:pStyle w:val="TableFigureCaption"/>
      </w:pPr>
      <w:bookmarkStart w:id="308" w:name="_Ref320620899"/>
      <w:r>
        <w:br w:type="column"/>
      </w:r>
      <w:r w:rsidR="00124047">
        <w:lastRenderedPageBreak/>
        <w:t>Table 5-8</w:t>
      </w:r>
      <w:bookmarkEnd w:id="308"/>
      <w:r w:rsidR="00124047">
        <w:t>:</w:t>
      </w:r>
    </w:p>
    <w:p w:rsidR="00124047" w:rsidRDefault="00124047" w:rsidP="00124047">
      <w:pPr>
        <w:pStyle w:val="TableFigureCaption"/>
      </w:pPr>
      <w:r>
        <w:t xml:space="preserve">SCE TI and </w:t>
      </w:r>
      <w:proofErr w:type="spellStart"/>
      <w:r>
        <w:t>AutoDR</w:t>
      </w:r>
      <w:proofErr w:type="spellEnd"/>
      <w:r>
        <w:t xml:space="preserve"> Program Results by Average Event Hour in 2011</w:t>
      </w:r>
    </w:p>
    <w:tbl>
      <w:tblPr>
        <w:tblW w:w="10135" w:type="dxa"/>
        <w:tblInd w:w="96" w:type="dxa"/>
        <w:tblLook w:val="04A0"/>
      </w:tblPr>
      <w:tblGrid>
        <w:gridCol w:w="1105"/>
        <w:gridCol w:w="1079"/>
        <w:gridCol w:w="960"/>
        <w:gridCol w:w="1008"/>
        <w:gridCol w:w="1040"/>
        <w:gridCol w:w="999"/>
        <w:gridCol w:w="963"/>
        <w:gridCol w:w="1061"/>
        <w:gridCol w:w="960"/>
        <w:gridCol w:w="960"/>
      </w:tblGrid>
      <w:tr w:rsidR="00124047" w:rsidRPr="00A6172D" w:rsidTr="00124047">
        <w:trPr>
          <w:cantSplit/>
          <w:trHeight w:val="300"/>
        </w:trPr>
        <w:tc>
          <w:tcPr>
            <w:tcW w:w="1105" w:type="dxa"/>
            <w:vMerge w:val="restart"/>
            <w:tcBorders>
              <w:top w:val="single" w:sz="8" w:space="0" w:color="000000"/>
              <w:left w:val="single" w:sz="8" w:space="0" w:color="000000"/>
              <w:bottom w:val="nil"/>
              <w:right w:val="single" w:sz="8" w:space="0" w:color="FFFFFF"/>
            </w:tcBorders>
            <w:shd w:val="clear" w:color="000000" w:fill="376091"/>
            <w:vAlign w:val="bottom"/>
            <w:hideMark/>
          </w:tcPr>
          <w:p w:rsidR="00124047" w:rsidRPr="00A6172D" w:rsidRDefault="00124047" w:rsidP="00124047">
            <w:pPr>
              <w:spacing w:after="0" w:line="240" w:lineRule="auto"/>
              <w:jc w:val="center"/>
              <w:rPr>
                <w:rFonts w:ascii="Arial" w:eastAsia="Times New Roman" w:hAnsi="Arial" w:cs="Arial"/>
                <w:b/>
                <w:bCs/>
                <w:color w:val="FFFFFF"/>
                <w:sz w:val="16"/>
                <w:szCs w:val="16"/>
              </w:rPr>
            </w:pPr>
            <w:r w:rsidRPr="00A6172D">
              <w:rPr>
                <w:rFonts w:ascii="Arial" w:eastAsia="Times New Roman" w:hAnsi="Arial" w:cs="Arial"/>
                <w:b/>
                <w:bCs/>
                <w:color w:val="FFFFFF"/>
                <w:sz w:val="16"/>
                <w:szCs w:val="16"/>
              </w:rPr>
              <w:t>Automation Type</w:t>
            </w:r>
          </w:p>
        </w:tc>
        <w:tc>
          <w:tcPr>
            <w:tcW w:w="1079" w:type="dxa"/>
            <w:vMerge w:val="restart"/>
            <w:tcBorders>
              <w:top w:val="single" w:sz="8" w:space="0" w:color="000000"/>
              <w:left w:val="single" w:sz="8" w:space="0" w:color="FFFFFF"/>
              <w:bottom w:val="nil"/>
              <w:right w:val="single" w:sz="8" w:space="0" w:color="FFFFFF"/>
            </w:tcBorders>
            <w:shd w:val="clear" w:color="000000" w:fill="376091"/>
            <w:vAlign w:val="bottom"/>
            <w:hideMark/>
          </w:tcPr>
          <w:p w:rsidR="00124047" w:rsidRPr="00A6172D" w:rsidRDefault="00124047" w:rsidP="00124047">
            <w:pPr>
              <w:spacing w:after="0" w:line="240" w:lineRule="auto"/>
              <w:jc w:val="center"/>
              <w:rPr>
                <w:rFonts w:ascii="Arial" w:eastAsia="Times New Roman" w:hAnsi="Arial" w:cs="Arial"/>
                <w:b/>
                <w:bCs/>
                <w:color w:val="FFFFFF"/>
                <w:sz w:val="16"/>
                <w:szCs w:val="16"/>
              </w:rPr>
            </w:pPr>
            <w:r w:rsidRPr="00A6172D">
              <w:rPr>
                <w:rFonts w:ascii="Arial" w:eastAsia="Times New Roman" w:hAnsi="Arial" w:cs="Arial"/>
                <w:b/>
                <w:bCs/>
                <w:color w:val="FFFFFF"/>
                <w:sz w:val="16"/>
                <w:szCs w:val="16"/>
              </w:rPr>
              <w:t>Aggregator Program</w:t>
            </w:r>
          </w:p>
        </w:tc>
        <w:tc>
          <w:tcPr>
            <w:tcW w:w="960" w:type="dxa"/>
            <w:vMerge w:val="restart"/>
            <w:tcBorders>
              <w:top w:val="single" w:sz="8" w:space="0" w:color="000000"/>
              <w:left w:val="single" w:sz="8" w:space="0" w:color="FFFFFF"/>
              <w:bottom w:val="nil"/>
              <w:right w:val="single" w:sz="8" w:space="0" w:color="FFFFFF"/>
            </w:tcBorders>
            <w:shd w:val="clear" w:color="000000" w:fill="376091"/>
            <w:vAlign w:val="bottom"/>
            <w:hideMark/>
          </w:tcPr>
          <w:p w:rsidR="00124047" w:rsidRPr="00A6172D" w:rsidRDefault="00124047" w:rsidP="00124047">
            <w:pPr>
              <w:spacing w:after="0" w:line="240" w:lineRule="auto"/>
              <w:jc w:val="center"/>
              <w:rPr>
                <w:rFonts w:ascii="Arial" w:eastAsia="Times New Roman" w:hAnsi="Arial" w:cs="Arial"/>
                <w:b/>
                <w:bCs/>
                <w:color w:val="FFFFFF"/>
                <w:sz w:val="16"/>
                <w:szCs w:val="16"/>
              </w:rPr>
            </w:pPr>
            <w:r w:rsidRPr="00A6172D">
              <w:rPr>
                <w:rFonts w:ascii="Arial" w:eastAsia="Times New Roman" w:hAnsi="Arial" w:cs="Arial"/>
                <w:b/>
                <w:bCs/>
                <w:color w:val="FFFFFF"/>
                <w:sz w:val="16"/>
                <w:szCs w:val="16"/>
              </w:rPr>
              <w:t>Accts</w:t>
            </w:r>
          </w:p>
        </w:tc>
        <w:tc>
          <w:tcPr>
            <w:tcW w:w="1008" w:type="dxa"/>
            <w:vMerge w:val="restart"/>
            <w:tcBorders>
              <w:top w:val="single" w:sz="8" w:space="0" w:color="000000"/>
              <w:left w:val="single" w:sz="8" w:space="0" w:color="FFFFFF"/>
              <w:bottom w:val="nil"/>
              <w:right w:val="single" w:sz="8" w:space="0" w:color="FFFFFF"/>
            </w:tcBorders>
            <w:shd w:val="clear" w:color="000000" w:fill="376091"/>
            <w:vAlign w:val="bottom"/>
            <w:hideMark/>
          </w:tcPr>
          <w:p w:rsidR="00124047" w:rsidRPr="00A6172D" w:rsidRDefault="00124047" w:rsidP="00124047">
            <w:pPr>
              <w:spacing w:after="0" w:line="240" w:lineRule="auto"/>
              <w:jc w:val="center"/>
              <w:rPr>
                <w:rFonts w:ascii="Arial" w:eastAsia="Times New Roman" w:hAnsi="Arial" w:cs="Arial"/>
                <w:b/>
                <w:bCs/>
                <w:color w:val="FFFFFF"/>
                <w:sz w:val="16"/>
                <w:szCs w:val="16"/>
              </w:rPr>
            </w:pPr>
            <w:r w:rsidRPr="00A6172D">
              <w:rPr>
                <w:rFonts w:ascii="Arial" w:eastAsia="Times New Roman" w:hAnsi="Arial" w:cs="Arial"/>
                <w:b/>
                <w:bCs/>
                <w:color w:val="FFFFFF"/>
                <w:sz w:val="16"/>
                <w:szCs w:val="16"/>
              </w:rPr>
              <w:t>Aggregate Reference Load (MW)</w:t>
            </w:r>
          </w:p>
        </w:tc>
        <w:tc>
          <w:tcPr>
            <w:tcW w:w="1040" w:type="dxa"/>
            <w:vMerge w:val="restart"/>
            <w:tcBorders>
              <w:top w:val="single" w:sz="8" w:space="0" w:color="000000"/>
              <w:left w:val="single" w:sz="8" w:space="0" w:color="FFFFFF"/>
              <w:bottom w:val="nil"/>
              <w:right w:val="single" w:sz="8" w:space="0" w:color="FFFFFF"/>
            </w:tcBorders>
            <w:shd w:val="clear" w:color="000000" w:fill="376091"/>
            <w:vAlign w:val="bottom"/>
            <w:hideMark/>
          </w:tcPr>
          <w:p w:rsidR="00124047" w:rsidRPr="00A6172D" w:rsidRDefault="00124047" w:rsidP="00124047">
            <w:pPr>
              <w:spacing w:after="0" w:line="240" w:lineRule="auto"/>
              <w:jc w:val="center"/>
              <w:rPr>
                <w:rFonts w:ascii="Arial" w:eastAsia="Times New Roman" w:hAnsi="Arial" w:cs="Arial"/>
                <w:b/>
                <w:bCs/>
                <w:color w:val="FFFFFF"/>
                <w:sz w:val="16"/>
                <w:szCs w:val="16"/>
              </w:rPr>
            </w:pPr>
            <w:r w:rsidRPr="00A6172D">
              <w:rPr>
                <w:rFonts w:ascii="Arial" w:eastAsia="Times New Roman" w:hAnsi="Arial" w:cs="Arial"/>
                <w:b/>
                <w:bCs/>
                <w:color w:val="FFFFFF"/>
                <w:sz w:val="16"/>
                <w:szCs w:val="16"/>
              </w:rPr>
              <w:t>Aggregate Load Impact (MW)</w:t>
            </w:r>
          </w:p>
        </w:tc>
        <w:tc>
          <w:tcPr>
            <w:tcW w:w="999" w:type="dxa"/>
            <w:vMerge w:val="restart"/>
            <w:tcBorders>
              <w:top w:val="single" w:sz="8" w:space="0" w:color="000000"/>
              <w:left w:val="single" w:sz="8" w:space="0" w:color="FFFFFF"/>
              <w:bottom w:val="nil"/>
              <w:right w:val="single" w:sz="8" w:space="0" w:color="FFFFFF"/>
            </w:tcBorders>
            <w:shd w:val="clear" w:color="000000" w:fill="376091"/>
            <w:vAlign w:val="bottom"/>
            <w:hideMark/>
          </w:tcPr>
          <w:p w:rsidR="00124047" w:rsidRPr="00A6172D" w:rsidRDefault="00124047" w:rsidP="00124047">
            <w:pPr>
              <w:spacing w:after="0" w:line="240" w:lineRule="auto"/>
              <w:jc w:val="center"/>
              <w:rPr>
                <w:rFonts w:ascii="Arial" w:eastAsia="Times New Roman" w:hAnsi="Arial" w:cs="Arial"/>
                <w:b/>
                <w:bCs/>
                <w:color w:val="FFFFFF"/>
                <w:sz w:val="16"/>
                <w:szCs w:val="16"/>
              </w:rPr>
            </w:pPr>
            <w:r w:rsidRPr="00A6172D">
              <w:rPr>
                <w:rFonts w:ascii="Arial" w:eastAsia="Times New Roman" w:hAnsi="Arial" w:cs="Arial"/>
                <w:b/>
                <w:bCs/>
                <w:color w:val="FFFFFF"/>
                <w:sz w:val="16"/>
                <w:szCs w:val="16"/>
              </w:rPr>
              <w:t>% Load Reduction</w:t>
            </w:r>
          </w:p>
        </w:tc>
        <w:tc>
          <w:tcPr>
            <w:tcW w:w="963" w:type="dxa"/>
            <w:vMerge w:val="restart"/>
            <w:tcBorders>
              <w:top w:val="single" w:sz="8" w:space="0" w:color="000000"/>
              <w:left w:val="single" w:sz="8" w:space="0" w:color="FFFFFF"/>
              <w:bottom w:val="nil"/>
              <w:right w:val="single" w:sz="8" w:space="0" w:color="FFFFFF"/>
            </w:tcBorders>
            <w:shd w:val="clear" w:color="000000" w:fill="376091"/>
            <w:vAlign w:val="bottom"/>
            <w:hideMark/>
          </w:tcPr>
          <w:p w:rsidR="00124047" w:rsidRPr="00A6172D" w:rsidRDefault="00124047" w:rsidP="00124047">
            <w:pPr>
              <w:spacing w:after="0" w:line="240" w:lineRule="auto"/>
              <w:jc w:val="center"/>
              <w:rPr>
                <w:rFonts w:ascii="Arial" w:eastAsia="Times New Roman" w:hAnsi="Arial" w:cs="Arial"/>
                <w:b/>
                <w:bCs/>
                <w:color w:val="FFFFFF"/>
                <w:sz w:val="16"/>
                <w:szCs w:val="16"/>
              </w:rPr>
            </w:pPr>
            <w:r w:rsidRPr="00A6172D">
              <w:rPr>
                <w:rFonts w:ascii="Arial" w:eastAsia="Times New Roman" w:hAnsi="Arial" w:cs="Arial"/>
                <w:b/>
                <w:bCs/>
                <w:color w:val="FFFFFF"/>
                <w:sz w:val="16"/>
                <w:szCs w:val="16"/>
              </w:rPr>
              <w:t>Approved Load Shed (MW)</w:t>
            </w:r>
          </w:p>
        </w:tc>
        <w:tc>
          <w:tcPr>
            <w:tcW w:w="1061" w:type="dxa"/>
            <w:vMerge w:val="restart"/>
            <w:tcBorders>
              <w:top w:val="single" w:sz="8" w:space="0" w:color="000000"/>
              <w:left w:val="single" w:sz="8" w:space="0" w:color="FFFFFF"/>
              <w:bottom w:val="nil"/>
              <w:right w:val="single" w:sz="8" w:space="0" w:color="FFFFFF"/>
            </w:tcBorders>
            <w:shd w:val="clear" w:color="000000" w:fill="376091"/>
            <w:vAlign w:val="bottom"/>
            <w:hideMark/>
          </w:tcPr>
          <w:p w:rsidR="00124047" w:rsidRPr="00A6172D" w:rsidRDefault="00124047" w:rsidP="00124047">
            <w:pPr>
              <w:spacing w:after="0" w:line="240" w:lineRule="auto"/>
              <w:jc w:val="center"/>
              <w:rPr>
                <w:rFonts w:ascii="Arial" w:eastAsia="Times New Roman" w:hAnsi="Arial" w:cs="Arial"/>
                <w:b/>
                <w:bCs/>
                <w:color w:val="FFFFFF"/>
                <w:sz w:val="16"/>
                <w:szCs w:val="16"/>
              </w:rPr>
            </w:pPr>
            <w:r w:rsidRPr="00A6172D">
              <w:rPr>
                <w:rFonts w:ascii="Arial" w:eastAsia="Times New Roman" w:hAnsi="Arial" w:cs="Arial"/>
                <w:b/>
                <w:bCs/>
                <w:color w:val="FFFFFF"/>
                <w:sz w:val="16"/>
                <w:szCs w:val="16"/>
              </w:rPr>
              <w:t>Realization %</w:t>
            </w:r>
          </w:p>
        </w:tc>
        <w:tc>
          <w:tcPr>
            <w:tcW w:w="1920" w:type="dxa"/>
            <w:gridSpan w:val="2"/>
            <w:tcBorders>
              <w:top w:val="single" w:sz="8" w:space="0" w:color="000000"/>
              <w:left w:val="nil"/>
              <w:bottom w:val="single" w:sz="8" w:space="0" w:color="FFFFFF"/>
              <w:right w:val="single" w:sz="8" w:space="0" w:color="000000"/>
            </w:tcBorders>
            <w:shd w:val="clear" w:color="000000" w:fill="376091"/>
            <w:noWrap/>
            <w:vAlign w:val="bottom"/>
            <w:hideMark/>
          </w:tcPr>
          <w:p w:rsidR="00124047" w:rsidRPr="00A6172D" w:rsidRDefault="00124047" w:rsidP="00124047">
            <w:pPr>
              <w:spacing w:after="0" w:line="240" w:lineRule="auto"/>
              <w:jc w:val="center"/>
              <w:rPr>
                <w:rFonts w:ascii="Arial" w:eastAsia="Times New Roman" w:hAnsi="Arial" w:cs="Arial"/>
                <w:b/>
                <w:bCs/>
                <w:color w:val="FFFFFF"/>
                <w:sz w:val="16"/>
                <w:szCs w:val="16"/>
              </w:rPr>
            </w:pPr>
            <w:r w:rsidRPr="00A6172D">
              <w:rPr>
                <w:rFonts w:ascii="Arial" w:eastAsia="Times New Roman" w:hAnsi="Arial" w:cs="Arial"/>
                <w:b/>
                <w:bCs/>
                <w:color w:val="FFFFFF"/>
                <w:sz w:val="16"/>
                <w:szCs w:val="16"/>
              </w:rPr>
              <w:t>90% confidence band</w:t>
            </w:r>
          </w:p>
        </w:tc>
      </w:tr>
      <w:tr w:rsidR="00124047" w:rsidRPr="00A6172D" w:rsidTr="00124047">
        <w:trPr>
          <w:cantSplit/>
          <w:trHeight w:val="432"/>
        </w:trPr>
        <w:tc>
          <w:tcPr>
            <w:tcW w:w="1105" w:type="dxa"/>
            <w:vMerge/>
            <w:tcBorders>
              <w:top w:val="single" w:sz="8" w:space="0" w:color="000000"/>
              <w:left w:val="single" w:sz="8" w:space="0" w:color="000000"/>
              <w:bottom w:val="nil"/>
              <w:right w:val="single" w:sz="8" w:space="0" w:color="FFFFFF"/>
            </w:tcBorders>
            <w:vAlign w:val="center"/>
            <w:hideMark/>
          </w:tcPr>
          <w:p w:rsidR="00124047" w:rsidRPr="00A6172D" w:rsidRDefault="00124047" w:rsidP="00124047">
            <w:pPr>
              <w:spacing w:after="0" w:line="240" w:lineRule="auto"/>
              <w:rPr>
                <w:rFonts w:ascii="Arial" w:eastAsia="Times New Roman" w:hAnsi="Arial" w:cs="Arial"/>
                <w:b/>
                <w:bCs/>
                <w:color w:val="FFFFFF"/>
                <w:sz w:val="16"/>
                <w:szCs w:val="16"/>
              </w:rPr>
            </w:pPr>
          </w:p>
        </w:tc>
        <w:tc>
          <w:tcPr>
            <w:tcW w:w="1079" w:type="dxa"/>
            <w:vMerge/>
            <w:tcBorders>
              <w:top w:val="single" w:sz="8" w:space="0" w:color="000000"/>
              <w:left w:val="single" w:sz="8" w:space="0" w:color="FFFFFF"/>
              <w:bottom w:val="nil"/>
              <w:right w:val="single" w:sz="8" w:space="0" w:color="FFFFFF"/>
            </w:tcBorders>
            <w:vAlign w:val="center"/>
            <w:hideMark/>
          </w:tcPr>
          <w:p w:rsidR="00124047" w:rsidRPr="00A6172D" w:rsidRDefault="00124047" w:rsidP="00124047">
            <w:pPr>
              <w:spacing w:after="0" w:line="240" w:lineRule="auto"/>
              <w:rPr>
                <w:rFonts w:ascii="Arial" w:eastAsia="Times New Roman" w:hAnsi="Arial" w:cs="Arial"/>
                <w:b/>
                <w:bCs/>
                <w:color w:val="FFFFFF"/>
                <w:sz w:val="16"/>
                <w:szCs w:val="16"/>
              </w:rPr>
            </w:pPr>
          </w:p>
        </w:tc>
        <w:tc>
          <w:tcPr>
            <w:tcW w:w="960" w:type="dxa"/>
            <w:vMerge/>
            <w:tcBorders>
              <w:top w:val="single" w:sz="8" w:space="0" w:color="000000"/>
              <w:left w:val="single" w:sz="8" w:space="0" w:color="FFFFFF"/>
              <w:bottom w:val="nil"/>
              <w:right w:val="single" w:sz="8" w:space="0" w:color="FFFFFF"/>
            </w:tcBorders>
            <w:vAlign w:val="center"/>
            <w:hideMark/>
          </w:tcPr>
          <w:p w:rsidR="00124047" w:rsidRPr="00A6172D" w:rsidRDefault="00124047" w:rsidP="00124047">
            <w:pPr>
              <w:spacing w:after="0" w:line="240" w:lineRule="auto"/>
              <w:rPr>
                <w:rFonts w:ascii="Arial" w:eastAsia="Times New Roman" w:hAnsi="Arial" w:cs="Arial"/>
                <w:b/>
                <w:bCs/>
                <w:color w:val="FFFFFF"/>
                <w:sz w:val="16"/>
                <w:szCs w:val="16"/>
              </w:rPr>
            </w:pPr>
          </w:p>
        </w:tc>
        <w:tc>
          <w:tcPr>
            <w:tcW w:w="1008" w:type="dxa"/>
            <w:vMerge/>
            <w:tcBorders>
              <w:top w:val="single" w:sz="8" w:space="0" w:color="000000"/>
              <w:left w:val="single" w:sz="8" w:space="0" w:color="FFFFFF"/>
              <w:bottom w:val="nil"/>
              <w:right w:val="single" w:sz="8" w:space="0" w:color="FFFFFF"/>
            </w:tcBorders>
            <w:vAlign w:val="center"/>
            <w:hideMark/>
          </w:tcPr>
          <w:p w:rsidR="00124047" w:rsidRPr="00A6172D" w:rsidRDefault="00124047" w:rsidP="00124047">
            <w:pPr>
              <w:spacing w:after="0" w:line="240" w:lineRule="auto"/>
              <w:rPr>
                <w:rFonts w:ascii="Arial" w:eastAsia="Times New Roman" w:hAnsi="Arial" w:cs="Arial"/>
                <w:b/>
                <w:bCs/>
                <w:color w:val="FFFFFF"/>
                <w:sz w:val="16"/>
                <w:szCs w:val="16"/>
              </w:rPr>
            </w:pPr>
          </w:p>
        </w:tc>
        <w:tc>
          <w:tcPr>
            <w:tcW w:w="1040" w:type="dxa"/>
            <w:vMerge/>
            <w:tcBorders>
              <w:top w:val="single" w:sz="8" w:space="0" w:color="000000"/>
              <w:left w:val="single" w:sz="8" w:space="0" w:color="FFFFFF"/>
              <w:bottom w:val="nil"/>
              <w:right w:val="single" w:sz="8" w:space="0" w:color="FFFFFF"/>
            </w:tcBorders>
            <w:vAlign w:val="center"/>
            <w:hideMark/>
          </w:tcPr>
          <w:p w:rsidR="00124047" w:rsidRPr="00A6172D" w:rsidRDefault="00124047" w:rsidP="00124047">
            <w:pPr>
              <w:spacing w:after="0" w:line="240" w:lineRule="auto"/>
              <w:rPr>
                <w:rFonts w:ascii="Arial" w:eastAsia="Times New Roman" w:hAnsi="Arial" w:cs="Arial"/>
                <w:b/>
                <w:bCs/>
                <w:color w:val="FFFFFF"/>
                <w:sz w:val="16"/>
                <w:szCs w:val="16"/>
              </w:rPr>
            </w:pPr>
          </w:p>
        </w:tc>
        <w:tc>
          <w:tcPr>
            <w:tcW w:w="999" w:type="dxa"/>
            <w:vMerge/>
            <w:tcBorders>
              <w:top w:val="single" w:sz="8" w:space="0" w:color="000000"/>
              <w:left w:val="single" w:sz="8" w:space="0" w:color="FFFFFF"/>
              <w:bottom w:val="nil"/>
              <w:right w:val="single" w:sz="8" w:space="0" w:color="FFFFFF"/>
            </w:tcBorders>
            <w:vAlign w:val="center"/>
            <w:hideMark/>
          </w:tcPr>
          <w:p w:rsidR="00124047" w:rsidRPr="00A6172D" w:rsidRDefault="00124047" w:rsidP="00124047">
            <w:pPr>
              <w:spacing w:after="0" w:line="240" w:lineRule="auto"/>
              <w:rPr>
                <w:rFonts w:ascii="Arial" w:eastAsia="Times New Roman" w:hAnsi="Arial" w:cs="Arial"/>
                <w:b/>
                <w:bCs/>
                <w:color w:val="FFFFFF"/>
                <w:sz w:val="16"/>
                <w:szCs w:val="16"/>
              </w:rPr>
            </w:pPr>
          </w:p>
        </w:tc>
        <w:tc>
          <w:tcPr>
            <w:tcW w:w="963" w:type="dxa"/>
            <w:vMerge/>
            <w:tcBorders>
              <w:top w:val="single" w:sz="8" w:space="0" w:color="000000"/>
              <w:left w:val="single" w:sz="8" w:space="0" w:color="FFFFFF"/>
              <w:bottom w:val="nil"/>
              <w:right w:val="single" w:sz="8" w:space="0" w:color="FFFFFF"/>
            </w:tcBorders>
            <w:vAlign w:val="center"/>
            <w:hideMark/>
          </w:tcPr>
          <w:p w:rsidR="00124047" w:rsidRPr="00A6172D" w:rsidRDefault="00124047" w:rsidP="00124047">
            <w:pPr>
              <w:spacing w:after="0" w:line="240" w:lineRule="auto"/>
              <w:rPr>
                <w:rFonts w:ascii="Arial" w:eastAsia="Times New Roman" w:hAnsi="Arial" w:cs="Arial"/>
                <w:b/>
                <w:bCs/>
                <w:color w:val="FFFFFF"/>
                <w:sz w:val="16"/>
                <w:szCs w:val="16"/>
              </w:rPr>
            </w:pPr>
          </w:p>
        </w:tc>
        <w:tc>
          <w:tcPr>
            <w:tcW w:w="1061" w:type="dxa"/>
            <w:vMerge/>
            <w:tcBorders>
              <w:top w:val="single" w:sz="8" w:space="0" w:color="000000"/>
              <w:left w:val="single" w:sz="8" w:space="0" w:color="FFFFFF"/>
              <w:bottom w:val="nil"/>
              <w:right w:val="single" w:sz="8" w:space="0" w:color="FFFFFF"/>
            </w:tcBorders>
            <w:vAlign w:val="center"/>
            <w:hideMark/>
          </w:tcPr>
          <w:p w:rsidR="00124047" w:rsidRPr="00A6172D" w:rsidRDefault="00124047" w:rsidP="00124047">
            <w:pPr>
              <w:spacing w:after="0" w:line="240" w:lineRule="auto"/>
              <w:rPr>
                <w:rFonts w:ascii="Arial" w:eastAsia="Times New Roman" w:hAnsi="Arial" w:cs="Arial"/>
                <w:b/>
                <w:bCs/>
                <w:color w:val="FFFFFF"/>
                <w:sz w:val="16"/>
                <w:szCs w:val="16"/>
              </w:rPr>
            </w:pPr>
          </w:p>
        </w:tc>
        <w:tc>
          <w:tcPr>
            <w:tcW w:w="960" w:type="dxa"/>
            <w:tcBorders>
              <w:top w:val="nil"/>
              <w:left w:val="nil"/>
              <w:bottom w:val="nil"/>
              <w:right w:val="single" w:sz="8" w:space="0" w:color="FFFFFF"/>
            </w:tcBorders>
            <w:shd w:val="clear" w:color="000000" w:fill="376091"/>
            <w:vAlign w:val="bottom"/>
            <w:hideMark/>
          </w:tcPr>
          <w:p w:rsidR="00124047" w:rsidRPr="00A6172D" w:rsidRDefault="00124047" w:rsidP="00124047">
            <w:pPr>
              <w:spacing w:after="0" w:line="240" w:lineRule="auto"/>
              <w:jc w:val="center"/>
              <w:rPr>
                <w:rFonts w:ascii="Arial" w:eastAsia="Times New Roman" w:hAnsi="Arial" w:cs="Arial"/>
                <w:b/>
                <w:bCs/>
                <w:color w:val="FFFFFF"/>
                <w:sz w:val="16"/>
                <w:szCs w:val="16"/>
              </w:rPr>
            </w:pPr>
            <w:r w:rsidRPr="00A6172D">
              <w:rPr>
                <w:rFonts w:ascii="Arial" w:eastAsia="Times New Roman" w:hAnsi="Arial" w:cs="Arial"/>
                <w:b/>
                <w:bCs/>
                <w:color w:val="FFFFFF"/>
                <w:sz w:val="16"/>
                <w:szCs w:val="16"/>
              </w:rPr>
              <w:t>Lower Bound</w:t>
            </w:r>
          </w:p>
        </w:tc>
        <w:tc>
          <w:tcPr>
            <w:tcW w:w="960" w:type="dxa"/>
            <w:tcBorders>
              <w:top w:val="nil"/>
              <w:left w:val="nil"/>
              <w:bottom w:val="nil"/>
              <w:right w:val="single" w:sz="8" w:space="0" w:color="000000"/>
            </w:tcBorders>
            <w:shd w:val="clear" w:color="000000" w:fill="376091"/>
            <w:vAlign w:val="bottom"/>
            <w:hideMark/>
          </w:tcPr>
          <w:p w:rsidR="00124047" w:rsidRPr="00A6172D" w:rsidRDefault="00124047" w:rsidP="00124047">
            <w:pPr>
              <w:spacing w:after="0" w:line="240" w:lineRule="auto"/>
              <w:jc w:val="center"/>
              <w:rPr>
                <w:rFonts w:ascii="Arial" w:eastAsia="Times New Roman" w:hAnsi="Arial" w:cs="Arial"/>
                <w:b/>
                <w:bCs/>
                <w:color w:val="FFFFFF"/>
                <w:sz w:val="16"/>
                <w:szCs w:val="16"/>
              </w:rPr>
            </w:pPr>
            <w:r w:rsidRPr="00A6172D">
              <w:rPr>
                <w:rFonts w:ascii="Arial" w:eastAsia="Times New Roman" w:hAnsi="Arial" w:cs="Arial"/>
                <w:b/>
                <w:bCs/>
                <w:color w:val="FFFFFF"/>
                <w:sz w:val="16"/>
                <w:szCs w:val="16"/>
              </w:rPr>
              <w:t>Upper Bound</w:t>
            </w:r>
          </w:p>
        </w:tc>
      </w:tr>
      <w:tr w:rsidR="00124047" w:rsidRPr="00A6172D" w:rsidTr="00124047">
        <w:trPr>
          <w:cantSplit/>
          <w:trHeight w:val="396"/>
        </w:trPr>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rsidR="00124047" w:rsidRPr="00A6172D" w:rsidRDefault="00124047" w:rsidP="00124047">
            <w:pPr>
              <w:spacing w:after="0" w:line="240" w:lineRule="auto"/>
              <w:jc w:val="center"/>
              <w:rPr>
                <w:rFonts w:ascii="Arial" w:eastAsia="Times New Roman" w:hAnsi="Arial" w:cs="Arial"/>
                <w:color w:val="000000"/>
                <w:sz w:val="16"/>
                <w:szCs w:val="16"/>
              </w:rPr>
            </w:pPr>
            <w:r w:rsidRPr="00A6172D">
              <w:rPr>
                <w:rFonts w:ascii="Arial" w:eastAsia="Times New Roman" w:hAnsi="Arial" w:cs="Arial"/>
                <w:color w:val="000000"/>
                <w:sz w:val="16"/>
                <w:szCs w:val="16"/>
              </w:rPr>
              <w:t>Technical Incentives</w:t>
            </w:r>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CBP - DO</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37</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8.5</w:t>
            </w:r>
          </w:p>
        </w:tc>
        <w:tc>
          <w:tcPr>
            <w:tcW w:w="104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1.7</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20.4%</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1.8</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94.0%</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87.2%</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100.7%</w:t>
            </w:r>
          </w:p>
        </w:tc>
      </w:tr>
      <w:tr w:rsidR="00124047" w:rsidRPr="00A6172D" w:rsidTr="00124047">
        <w:trPr>
          <w:cantSplit/>
          <w:trHeight w:val="396"/>
        </w:trPr>
        <w:tc>
          <w:tcPr>
            <w:tcW w:w="1105" w:type="dxa"/>
            <w:vMerge/>
            <w:tcBorders>
              <w:top w:val="nil"/>
              <w:left w:val="single" w:sz="4" w:space="0" w:color="auto"/>
              <w:bottom w:val="single" w:sz="4" w:space="0" w:color="auto"/>
              <w:right w:val="single" w:sz="4" w:space="0" w:color="auto"/>
            </w:tcBorders>
            <w:vAlign w:val="center"/>
            <w:hideMark/>
          </w:tcPr>
          <w:p w:rsidR="00124047" w:rsidRPr="00A6172D" w:rsidRDefault="00124047" w:rsidP="00124047">
            <w:pPr>
              <w:spacing w:after="0" w:line="240" w:lineRule="auto"/>
              <w:rPr>
                <w:rFonts w:ascii="Arial" w:eastAsia="Times New Roman" w:hAnsi="Arial" w:cs="Arial"/>
                <w:color w:val="000000"/>
                <w:sz w:val="16"/>
                <w:szCs w:val="16"/>
              </w:rPr>
            </w:pPr>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DRRC - DO</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151</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48.4</w:t>
            </w:r>
          </w:p>
        </w:tc>
        <w:tc>
          <w:tcPr>
            <w:tcW w:w="104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6.6</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13.7%</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12.2</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54.0%</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48.4%</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59.7%</w:t>
            </w:r>
          </w:p>
        </w:tc>
      </w:tr>
      <w:tr w:rsidR="00124047" w:rsidRPr="00A6172D" w:rsidTr="00124047">
        <w:trPr>
          <w:cantSplit/>
          <w:trHeight w:val="396"/>
        </w:trPr>
        <w:tc>
          <w:tcPr>
            <w:tcW w:w="1105" w:type="dxa"/>
            <w:vMerge/>
            <w:tcBorders>
              <w:top w:val="nil"/>
              <w:left w:val="single" w:sz="4" w:space="0" w:color="auto"/>
              <w:bottom w:val="single" w:sz="4" w:space="0" w:color="auto"/>
              <w:right w:val="single" w:sz="4" w:space="0" w:color="auto"/>
            </w:tcBorders>
            <w:vAlign w:val="center"/>
            <w:hideMark/>
          </w:tcPr>
          <w:p w:rsidR="00124047" w:rsidRPr="00A6172D" w:rsidRDefault="00124047" w:rsidP="00124047">
            <w:pPr>
              <w:spacing w:after="0" w:line="240" w:lineRule="auto"/>
              <w:rPr>
                <w:rFonts w:ascii="Arial" w:eastAsia="Times New Roman" w:hAnsi="Arial" w:cs="Arial"/>
                <w:color w:val="000000"/>
                <w:sz w:val="16"/>
                <w:szCs w:val="16"/>
              </w:rPr>
            </w:pPr>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188</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57</w:t>
            </w:r>
          </w:p>
        </w:tc>
        <w:tc>
          <w:tcPr>
            <w:tcW w:w="104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8.3</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14.7%</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14.1</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59.3%</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53.9%</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64.7%</w:t>
            </w:r>
          </w:p>
        </w:tc>
      </w:tr>
      <w:tr w:rsidR="00124047" w:rsidRPr="00A6172D" w:rsidTr="00124047">
        <w:trPr>
          <w:cantSplit/>
          <w:trHeight w:val="396"/>
        </w:trPr>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rsidR="00124047" w:rsidRPr="00A6172D" w:rsidRDefault="00124047" w:rsidP="00124047">
            <w:pPr>
              <w:spacing w:after="0" w:line="240" w:lineRule="auto"/>
              <w:jc w:val="center"/>
              <w:rPr>
                <w:rFonts w:ascii="Arial" w:eastAsia="Times New Roman" w:hAnsi="Arial" w:cs="Arial"/>
                <w:color w:val="000000"/>
                <w:sz w:val="16"/>
                <w:szCs w:val="16"/>
              </w:rPr>
            </w:pPr>
            <w:proofErr w:type="spellStart"/>
            <w:r w:rsidRPr="00A6172D">
              <w:rPr>
                <w:rFonts w:ascii="Arial" w:eastAsia="Times New Roman" w:hAnsi="Arial" w:cs="Arial"/>
                <w:color w:val="000000"/>
                <w:sz w:val="16"/>
                <w:szCs w:val="16"/>
              </w:rPr>
              <w:t>AutoDR</w:t>
            </w:r>
            <w:proofErr w:type="spellEnd"/>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CBP - DA</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51</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11.7</w:t>
            </w:r>
          </w:p>
        </w:tc>
        <w:tc>
          <w:tcPr>
            <w:tcW w:w="104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3.2</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27.6%</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3.7</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88.3%</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64.2%</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112.4%</w:t>
            </w:r>
          </w:p>
        </w:tc>
      </w:tr>
      <w:tr w:rsidR="00124047" w:rsidRPr="00A6172D" w:rsidTr="00124047">
        <w:trPr>
          <w:cantSplit/>
          <w:trHeight w:val="396"/>
        </w:trPr>
        <w:tc>
          <w:tcPr>
            <w:tcW w:w="1105" w:type="dxa"/>
            <w:vMerge/>
            <w:tcBorders>
              <w:top w:val="nil"/>
              <w:left w:val="single" w:sz="4" w:space="0" w:color="auto"/>
              <w:bottom w:val="single" w:sz="4" w:space="0" w:color="auto"/>
              <w:right w:val="single" w:sz="4" w:space="0" w:color="auto"/>
            </w:tcBorders>
            <w:vAlign w:val="center"/>
            <w:hideMark/>
          </w:tcPr>
          <w:p w:rsidR="00124047" w:rsidRPr="00A6172D" w:rsidRDefault="00124047" w:rsidP="00124047">
            <w:pPr>
              <w:spacing w:after="0" w:line="240" w:lineRule="auto"/>
              <w:rPr>
                <w:rFonts w:ascii="Arial" w:eastAsia="Times New Roman" w:hAnsi="Arial" w:cs="Arial"/>
                <w:color w:val="000000"/>
                <w:sz w:val="16"/>
                <w:szCs w:val="16"/>
              </w:rPr>
            </w:pPr>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CBP - DO</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137</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15.9</w:t>
            </w:r>
          </w:p>
        </w:tc>
        <w:tc>
          <w:tcPr>
            <w:tcW w:w="104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3.2</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20.2%</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4.4</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72.3%</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66.8%</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77.8%</w:t>
            </w:r>
          </w:p>
        </w:tc>
      </w:tr>
      <w:tr w:rsidR="00124047" w:rsidRPr="00A6172D" w:rsidTr="00124047">
        <w:trPr>
          <w:cantSplit/>
          <w:trHeight w:val="396"/>
        </w:trPr>
        <w:tc>
          <w:tcPr>
            <w:tcW w:w="1105" w:type="dxa"/>
            <w:vMerge/>
            <w:tcBorders>
              <w:top w:val="nil"/>
              <w:left w:val="single" w:sz="4" w:space="0" w:color="auto"/>
              <w:bottom w:val="single" w:sz="4" w:space="0" w:color="auto"/>
              <w:right w:val="single" w:sz="4" w:space="0" w:color="auto"/>
            </w:tcBorders>
            <w:vAlign w:val="center"/>
            <w:hideMark/>
          </w:tcPr>
          <w:p w:rsidR="00124047" w:rsidRPr="00A6172D" w:rsidRDefault="00124047" w:rsidP="00124047">
            <w:pPr>
              <w:spacing w:after="0" w:line="240" w:lineRule="auto"/>
              <w:rPr>
                <w:rFonts w:ascii="Arial" w:eastAsia="Times New Roman" w:hAnsi="Arial" w:cs="Arial"/>
                <w:color w:val="000000"/>
                <w:sz w:val="16"/>
                <w:szCs w:val="16"/>
              </w:rPr>
            </w:pPr>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DRRC - DA</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0.2</w:t>
            </w:r>
          </w:p>
        </w:tc>
        <w:tc>
          <w:tcPr>
            <w:tcW w:w="104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0.1</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95.5%</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0.2</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78.1%</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39.5%</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116.7%</w:t>
            </w:r>
          </w:p>
        </w:tc>
      </w:tr>
      <w:tr w:rsidR="00124047" w:rsidRPr="00A6172D" w:rsidTr="00124047">
        <w:trPr>
          <w:cantSplit/>
          <w:trHeight w:val="396"/>
        </w:trPr>
        <w:tc>
          <w:tcPr>
            <w:tcW w:w="1105" w:type="dxa"/>
            <w:vMerge/>
            <w:tcBorders>
              <w:top w:val="nil"/>
              <w:left w:val="single" w:sz="4" w:space="0" w:color="auto"/>
              <w:bottom w:val="single" w:sz="4" w:space="0" w:color="auto"/>
              <w:right w:val="single" w:sz="4" w:space="0" w:color="auto"/>
            </w:tcBorders>
            <w:vAlign w:val="center"/>
            <w:hideMark/>
          </w:tcPr>
          <w:p w:rsidR="00124047" w:rsidRPr="00A6172D" w:rsidRDefault="00124047" w:rsidP="00124047">
            <w:pPr>
              <w:spacing w:after="0" w:line="240" w:lineRule="auto"/>
              <w:rPr>
                <w:rFonts w:ascii="Arial" w:eastAsia="Times New Roman" w:hAnsi="Arial" w:cs="Arial"/>
                <w:color w:val="000000"/>
                <w:sz w:val="16"/>
                <w:szCs w:val="16"/>
              </w:rPr>
            </w:pPr>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DRRC - DO</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13</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16.9</w:t>
            </w:r>
          </w:p>
        </w:tc>
        <w:tc>
          <w:tcPr>
            <w:tcW w:w="104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4.1</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24.2%</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9.5</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43.2%</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34.1%</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sz w:val="16"/>
                <w:szCs w:val="16"/>
              </w:rPr>
            </w:pPr>
            <w:r w:rsidRPr="001377B6">
              <w:rPr>
                <w:sz w:val="16"/>
                <w:szCs w:val="16"/>
              </w:rPr>
              <w:t>52.4%</w:t>
            </w:r>
          </w:p>
        </w:tc>
      </w:tr>
      <w:tr w:rsidR="00124047" w:rsidRPr="00A6172D" w:rsidTr="00124047">
        <w:trPr>
          <w:cantSplit/>
          <w:trHeight w:val="396"/>
        </w:trPr>
        <w:tc>
          <w:tcPr>
            <w:tcW w:w="1105" w:type="dxa"/>
            <w:vMerge/>
            <w:tcBorders>
              <w:top w:val="nil"/>
              <w:left w:val="single" w:sz="4" w:space="0" w:color="auto"/>
              <w:bottom w:val="single" w:sz="4" w:space="0" w:color="auto"/>
              <w:right w:val="single" w:sz="4" w:space="0" w:color="auto"/>
            </w:tcBorders>
            <w:vAlign w:val="center"/>
            <w:hideMark/>
          </w:tcPr>
          <w:p w:rsidR="00124047" w:rsidRPr="00A6172D" w:rsidRDefault="00124047" w:rsidP="00124047">
            <w:pPr>
              <w:spacing w:after="0" w:line="240" w:lineRule="auto"/>
              <w:rPr>
                <w:rFonts w:ascii="Arial" w:eastAsia="Times New Roman" w:hAnsi="Arial" w:cs="Arial"/>
                <w:color w:val="000000"/>
                <w:sz w:val="16"/>
                <w:szCs w:val="16"/>
              </w:rPr>
            </w:pPr>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202</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45.6</w:t>
            </w:r>
          </w:p>
        </w:tc>
        <w:tc>
          <w:tcPr>
            <w:tcW w:w="104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11.8</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25.8%</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16.1</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73.2%</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56.0%</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1377B6" w:rsidRDefault="00124047" w:rsidP="00124047">
            <w:pPr>
              <w:pStyle w:val="TableText"/>
              <w:rPr>
                <w:b/>
                <w:bCs/>
                <w:sz w:val="16"/>
                <w:szCs w:val="16"/>
              </w:rPr>
            </w:pPr>
            <w:r w:rsidRPr="001377B6">
              <w:rPr>
                <w:b/>
                <w:bCs/>
                <w:sz w:val="16"/>
                <w:szCs w:val="16"/>
              </w:rPr>
              <w:t>90.5%</w:t>
            </w:r>
          </w:p>
        </w:tc>
      </w:tr>
    </w:tbl>
    <w:p w:rsidR="00EF33FF" w:rsidRDefault="00124047" w:rsidP="00EF33FF">
      <w:pPr>
        <w:pStyle w:val="BodyParaAfterTableFigure"/>
      </w:pPr>
      <w:r>
        <w:t xml:space="preserve">Overall, 59% </w:t>
      </w:r>
      <w:r>
        <w:rPr>
          <w:rFonts w:cs="Arial"/>
        </w:rPr>
        <w:t>±</w:t>
      </w:r>
      <w:r>
        <w:t xml:space="preserve">5% of the approved TI load shed is actually shed during events.  For TI, the realization rate depends on whether the equipment is typically used during event like conditions and whether the customer decides to drop load.  The realization rate for </w:t>
      </w:r>
      <w:proofErr w:type="spellStart"/>
      <w:r>
        <w:t>AutoDR</w:t>
      </w:r>
      <w:proofErr w:type="spellEnd"/>
      <w:r>
        <w:t xml:space="preserve">, at 73% </w:t>
      </w:r>
      <w:r>
        <w:rPr>
          <w:rFonts w:cs="Arial"/>
        </w:rPr>
        <w:t>±</w:t>
      </w:r>
      <w:r>
        <w:t>17%, is comparable to that of TI.</w:t>
      </w:r>
    </w:p>
    <w:p w:rsidR="005670AC" w:rsidRPr="00050374" w:rsidRDefault="005670AC" w:rsidP="002319B4">
      <w:pPr>
        <w:pStyle w:val="Heading1"/>
      </w:pPr>
      <w:bookmarkStart w:id="309" w:name="_Toc320625173"/>
      <w:bookmarkStart w:id="310" w:name="_Toc320626104"/>
      <w:bookmarkStart w:id="311" w:name="_Toc320626916"/>
      <w:bookmarkStart w:id="312" w:name="_Toc320627157"/>
      <w:bookmarkEnd w:id="309"/>
      <w:bookmarkEnd w:id="310"/>
      <w:bookmarkEnd w:id="311"/>
      <w:bookmarkEnd w:id="312"/>
      <w:r w:rsidRPr="00050374">
        <w:br w:type="column"/>
      </w:r>
      <w:bookmarkStart w:id="313" w:name="_Toc326074031"/>
      <w:r w:rsidR="00E41E27">
        <w:lastRenderedPageBreak/>
        <w:t xml:space="preserve">Load Impact Estimates for </w:t>
      </w:r>
      <w:r w:rsidRPr="00050374">
        <w:t>SDG&amp;E</w:t>
      </w:r>
      <w:r w:rsidR="00E41E27">
        <w:rPr>
          <w:rFonts w:hint="eastAsia"/>
        </w:rPr>
        <w:t>’</w:t>
      </w:r>
      <w:r w:rsidR="00E41E27">
        <w:t>s CBP Program</w:t>
      </w:r>
      <w:bookmarkEnd w:id="313"/>
    </w:p>
    <w:p w:rsidR="00A73F2B" w:rsidRDefault="006D5226">
      <w:pPr>
        <w:pStyle w:val="BodyBeforeBullet"/>
      </w:pPr>
      <w:r w:rsidRPr="00050374">
        <w:t>This section contains the ex post load impact estimates for SDG&amp;E’s C</w:t>
      </w:r>
      <w:r w:rsidR="00E41E27">
        <w:t>BP p</w:t>
      </w:r>
      <w:r w:rsidRPr="00050374">
        <w:t xml:space="preserve">rogram. </w:t>
      </w:r>
      <w:r w:rsidR="00A40CA1">
        <w:t xml:space="preserve"> </w:t>
      </w:r>
      <w:r w:rsidR="00E41E27">
        <w:t>R</w:t>
      </w:r>
      <w:r w:rsidRPr="00050374">
        <w:t xml:space="preserve">esults </w:t>
      </w:r>
      <w:r w:rsidR="00A40CA1">
        <w:t>we</w:t>
      </w:r>
      <w:r w:rsidRPr="00050374">
        <w:t>re</w:t>
      </w:r>
      <w:r w:rsidR="00A40CA1">
        <w:t xml:space="preserve"> developed </w:t>
      </w:r>
      <w:r w:rsidRPr="00050374">
        <w:t xml:space="preserve">for each hour of each event day </w:t>
      </w:r>
      <w:r w:rsidR="00E41E27">
        <w:t xml:space="preserve">in 2011 </w:t>
      </w:r>
      <w:r w:rsidRPr="00050374">
        <w:t xml:space="preserve">for the average customer and for all customers enrolled at the time of the event.  </w:t>
      </w:r>
      <w:r w:rsidR="00E41E27">
        <w:t xml:space="preserve">Estimates are also provided </w:t>
      </w:r>
      <w:r w:rsidR="005D2665">
        <w:t>by i</w:t>
      </w:r>
      <w:r w:rsidRPr="00050374">
        <w:t xml:space="preserve">ndustry </w:t>
      </w:r>
      <w:r w:rsidR="00BE45BB">
        <w:t>and</w:t>
      </w:r>
      <w:r w:rsidR="005D2665">
        <w:t xml:space="preserve"> c</w:t>
      </w:r>
      <w:r w:rsidRPr="00050374">
        <w:t>ustomer size.</w:t>
      </w:r>
      <w:r w:rsidR="00EB4CC2">
        <w:t xml:space="preserve">  </w:t>
      </w:r>
      <w:r w:rsidR="007B49B6">
        <w:t xml:space="preserve">Estimates by </w:t>
      </w:r>
      <w:r w:rsidR="00EB4CC2">
        <w:t xml:space="preserve">local capacity area </w:t>
      </w:r>
      <w:r w:rsidR="007B49B6">
        <w:t xml:space="preserve">are not applicable </w:t>
      </w:r>
      <w:r w:rsidR="00EB4CC2">
        <w:t>since all of SDG&amp;E’s territory falls within a single</w:t>
      </w:r>
      <w:r w:rsidR="00D649A8">
        <w:t xml:space="preserve"> </w:t>
      </w:r>
      <w:r w:rsidR="00EB4CC2">
        <w:t>LCA.</w:t>
      </w:r>
    </w:p>
    <w:p w:rsidR="003B3A7D" w:rsidRDefault="005D2665" w:rsidP="00BA25E2">
      <w:pPr>
        <w:pStyle w:val="Heading2"/>
      </w:pPr>
      <w:r w:rsidRPr="00050374" w:rsidDel="005D2665">
        <w:t xml:space="preserve"> </w:t>
      </w:r>
      <w:bookmarkStart w:id="314" w:name="_Toc318806364"/>
      <w:bookmarkStart w:id="315" w:name="_Toc326074032"/>
      <w:bookmarkEnd w:id="314"/>
      <w:r w:rsidR="006D5226" w:rsidRPr="00050374">
        <w:t>2011 Event Day Characteristics</w:t>
      </w:r>
      <w:bookmarkEnd w:id="315"/>
    </w:p>
    <w:p w:rsidR="006D5226" w:rsidRPr="00050374" w:rsidRDefault="006D5226" w:rsidP="006D5226">
      <w:pPr>
        <w:pStyle w:val="BodyParagraph"/>
      </w:pPr>
      <w:r w:rsidRPr="00050374">
        <w:t>CB</w:t>
      </w:r>
      <w:r w:rsidR="00A75FE3" w:rsidRPr="00050374">
        <w:t>P resources were dispatched on 6 of the 12</w:t>
      </w:r>
      <w:r w:rsidRPr="00050374">
        <w:t xml:space="preserve"> highest system load days for SDG&amp;E, including their annual system peak </w:t>
      </w:r>
      <w:r w:rsidR="007B49B6">
        <w:t xml:space="preserve">day </w:t>
      </w:r>
      <w:r w:rsidRPr="00050374">
        <w:t xml:space="preserve">(September 7).  CBP resources were also dispatched on </w:t>
      </w:r>
      <w:r w:rsidR="00EB4CC2">
        <w:t>September 8</w:t>
      </w:r>
      <w:r w:rsidR="0097157A">
        <w:t>, when</w:t>
      </w:r>
      <w:r w:rsidR="00B2076F" w:rsidRPr="00050374">
        <w:t xml:space="preserve"> a system-wide outage that day effectively </w:t>
      </w:r>
      <w:r w:rsidR="0097157A">
        <w:t>eliminated system</w:t>
      </w:r>
      <w:r w:rsidR="00B2076F" w:rsidRPr="00050374">
        <w:t xml:space="preserve"> demand</w:t>
      </w:r>
      <w:r w:rsidR="0097157A">
        <w:t xml:space="preserve"> and </w:t>
      </w:r>
      <w:r w:rsidR="007B49B6">
        <w:t xml:space="preserve">the </w:t>
      </w:r>
      <w:r w:rsidR="0097157A">
        <w:t>ability to reduce demand.  As a result, September 8 was</w:t>
      </w:r>
      <w:r w:rsidR="00B2076F" w:rsidRPr="00050374">
        <w:t xml:space="preserve"> not included in </w:t>
      </w:r>
      <w:r w:rsidR="007E52E2" w:rsidRPr="00050374">
        <w:t>the</w:t>
      </w:r>
      <w:r w:rsidR="00B2076F" w:rsidRPr="00050374">
        <w:t xml:space="preserve"> analysis.</w:t>
      </w:r>
      <w:r w:rsidR="0097157A">
        <w:t xml:space="preserve">  After the system wide outage, power was restored gradually and some customers did not have power until the early morning hours of September 9.  Despite the unusual circumstances, customers still delivered demand reductions on </w:t>
      </w:r>
      <w:r w:rsidR="00376DE4">
        <w:t>September 9</w:t>
      </w:r>
      <w:r w:rsidR="0097157A">
        <w:t xml:space="preserve">.   </w:t>
      </w:r>
    </w:p>
    <w:p w:rsidR="00A73F2B" w:rsidRDefault="006D5226">
      <w:pPr>
        <w:pStyle w:val="BodyParagraph"/>
      </w:pPr>
      <w:r w:rsidRPr="00050374">
        <w:t xml:space="preserve">Table </w:t>
      </w:r>
      <w:r w:rsidR="00A52143">
        <w:t>6</w:t>
      </w:r>
      <w:r w:rsidRPr="00050374">
        <w:t xml:space="preserve">-1 summarizes </w:t>
      </w:r>
      <w:r w:rsidR="00A75FE3" w:rsidRPr="00050374">
        <w:t>the 7</w:t>
      </w:r>
      <w:r w:rsidRPr="00050374">
        <w:t xml:space="preserve"> </w:t>
      </w:r>
      <w:r w:rsidR="00376DE4">
        <w:t xml:space="preserve">CBP event </w:t>
      </w:r>
      <w:r w:rsidRPr="00050374">
        <w:t xml:space="preserve">days called </w:t>
      </w:r>
      <w:r w:rsidR="00376DE4">
        <w:t xml:space="preserve">by SDG&amp;E </w:t>
      </w:r>
      <w:r w:rsidRPr="00050374">
        <w:t>in 2011.  All events lasted four h</w:t>
      </w:r>
      <w:r w:rsidR="00A75FE3" w:rsidRPr="00050374">
        <w:t>o</w:t>
      </w:r>
      <w:r w:rsidR="00FB6C7E">
        <w:t>urs, starting no earlier than 1</w:t>
      </w:r>
      <w:r w:rsidR="00A75FE3" w:rsidRPr="00050374">
        <w:t xml:space="preserve"> PM and ending no later than 6</w:t>
      </w:r>
      <w:r w:rsidRPr="00050374">
        <w:t xml:space="preserve"> PM.  Eve</w:t>
      </w:r>
      <w:r w:rsidR="00B2076F" w:rsidRPr="00050374">
        <w:t>nts were called for CBP day</w:t>
      </w:r>
      <w:r w:rsidR="007B49B6">
        <w:t>-of</w:t>
      </w:r>
      <w:r w:rsidRPr="00050374">
        <w:t xml:space="preserve"> notification customers alone on two days, with the remaining </w:t>
      </w:r>
      <w:r w:rsidR="00B2076F" w:rsidRPr="00050374">
        <w:t>five</w:t>
      </w:r>
      <w:r w:rsidRPr="00050374">
        <w:t xml:space="preserve"> events involving calls of both </w:t>
      </w:r>
      <w:proofErr w:type="gramStart"/>
      <w:r w:rsidRPr="00050374">
        <w:t>day</w:t>
      </w:r>
      <w:r w:rsidR="007B49B6">
        <w:t>-</w:t>
      </w:r>
      <w:proofErr w:type="gramEnd"/>
      <w:r w:rsidR="007B49B6">
        <w:t>of</w:t>
      </w:r>
      <w:r w:rsidRPr="00050374">
        <w:t xml:space="preserve"> and day-ahead</w:t>
      </w:r>
      <w:r w:rsidR="00EB4CC2">
        <w:t xml:space="preserve"> customers</w:t>
      </w:r>
      <w:r w:rsidRPr="00050374">
        <w:t>.</w:t>
      </w:r>
      <w:r w:rsidR="007B49B6">
        <w:t xml:space="preserve"> </w:t>
      </w:r>
      <w:r w:rsidR="0097157A">
        <w:t xml:space="preserve"> SDG&amp;E dispatched resources in full </w:t>
      </w:r>
      <w:r w:rsidR="002D1A0B">
        <w:t>for almost all</w:t>
      </w:r>
      <w:r w:rsidR="0097157A">
        <w:t xml:space="preserve"> events, leading to less variation across event days.</w:t>
      </w:r>
    </w:p>
    <w:p w:rsidR="006D5226" w:rsidRDefault="006D5226" w:rsidP="00BA25E2">
      <w:pPr>
        <w:pStyle w:val="TableFigureCaption"/>
      </w:pPr>
      <w:r w:rsidRPr="00050374">
        <w:t xml:space="preserve">Table </w:t>
      </w:r>
      <w:r w:rsidR="00A52143">
        <w:t>6</w:t>
      </w:r>
      <w:r w:rsidRPr="00050374">
        <w:t>-1:</w:t>
      </w:r>
      <w:r w:rsidR="00877CA8">
        <w:t xml:space="preserve"> </w:t>
      </w:r>
      <w:r w:rsidR="00A353D3">
        <w:t>Events</w:t>
      </w:r>
      <w:r w:rsidRPr="00050374">
        <w:t xml:space="preserve"> for SDG&amp;E’s CBP Programs in 2011</w:t>
      </w:r>
    </w:p>
    <w:tbl>
      <w:tblPr>
        <w:tblW w:w="9253" w:type="dxa"/>
        <w:tblInd w:w="96" w:type="dxa"/>
        <w:tblLook w:val="04A0"/>
      </w:tblPr>
      <w:tblGrid>
        <w:gridCol w:w="957"/>
        <w:gridCol w:w="967"/>
        <w:gridCol w:w="1050"/>
        <w:gridCol w:w="1367"/>
        <w:gridCol w:w="1089"/>
        <w:gridCol w:w="1287"/>
        <w:gridCol w:w="1268"/>
        <w:gridCol w:w="1268"/>
      </w:tblGrid>
      <w:tr w:rsidR="00BC2577" w:rsidRPr="0097157A" w:rsidTr="00BC2577">
        <w:trPr>
          <w:trHeight w:val="669"/>
        </w:trPr>
        <w:tc>
          <w:tcPr>
            <w:tcW w:w="957" w:type="dxa"/>
            <w:tcBorders>
              <w:top w:val="single" w:sz="4" w:space="0" w:color="auto"/>
              <w:left w:val="single" w:sz="4" w:space="0" w:color="auto"/>
              <w:bottom w:val="single" w:sz="4" w:space="0" w:color="auto"/>
              <w:right w:val="single" w:sz="4" w:space="0" w:color="FFFFFF"/>
            </w:tcBorders>
            <w:shd w:val="clear" w:color="000000" w:fill="1F497D" w:themeFill="text2"/>
            <w:vAlign w:val="center"/>
            <w:hideMark/>
          </w:tcPr>
          <w:p w:rsidR="00BC2577" w:rsidRPr="0097157A" w:rsidRDefault="00BC2577" w:rsidP="006B7BA6">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Program</w:t>
            </w:r>
          </w:p>
        </w:tc>
        <w:tc>
          <w:tcPr>
            <w:tcW w:w="967" w:type="dxa"/>
            <w:tcBorders>
              <w:top w:val="single" w:sz="4" w:space="0" w:color="auto"/>
              <w:left w:val="nil"/>
              <w:bottom w:val="single" w:sz="4" w:space="0" w:color="auto"/>
              <w:right w:val="single" w:sz="4" w:space="0" w:color="FFFFFF"/>
            </w:tcBorders>
            <w:shd w:val="clear" w:color="000000" w:fill="1F497D" w:themeFill="text2"/>
            <w:vAlign w:val="center"/>
            <w:hideMark/>
          </w:tcPr>
          <w:p w:rsidR="00BC2577" w:rsidRPr="0097157A" w:rsidRDefault="00BC2577" w:rsidP="006B7BA6">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Advance Notice</w:t>
            </w:r>
          </w:p>
        </w:tc>
        <w:tc>
          <w:tcPr>
            <w:tcW w:w="1050" w:type="dxa"/>
            <w:tcBorders>
              <w:top w:val="single" w:sz="4" w:space="0" w:color="auto"/>
              <w:left w:val="nil"/>
              <w:bottom w:val="single" w:sz="4" w:space="0" w:color="auto"/>
              <w:right w:val="single" w:sz="4" w:space="0" w:color="FFFFFF"/>
            </w:tcBorders>
            <w:shd w:val="clear" w:color="000000" w:fill="1F497D" w:themeFill="text2"/>
            <w:vAlign w:val="center"/>
            <w:hideMark/>
          </w:tcPr>
          <w:p w:rsidR="00BC2577" w:rsidRPr="0097157A" w:rsidRDefault="00BC2577" w:rsidP="006B7BA6">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Product</w:t>
            </w:r>
          </w:p>
        </w:tc>
        <w:tc>
          <w:tcPr>
            <w:tcW w:w="1367" w:type="dxa"/>
            <w:tcBorders>
              <w:top w:val="single" w:sz="4" w:space="0" w:color="auto"/>
              <w:left w:val="nil"/>
              <w:bottom w:val="single" w:sz="4" w:space="0" w:color="auto"/>
              <w:right w:val="single" w:sz="4" w:space="0" w:color="FFFFFF"/>
            </w:tcBorders>
            <w:shd w:val="clear" w:color="000000" w:fill="1F497D" w:themeFill="text2"/>
            <w:vAlign w:val="center"/>
            <w:hideMark/>
          </w:tcPr>
          <w:p w:rsidR="00BC2577" w:rsidRPr="0097157A" w:rsidRDefault="00BC2577" w:rsidP="006B7BA6">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Date</w:t>
            </w:r>
          </w:p>
        </w:tc>
        <w:tc>
          <w:tcPr>
            <w:tcW w:w="1089" w:type="dxa"/>
            <w:tcBorders>
              <w:top w:val="single" w:sz="4" w:space="0" w:color="auto"/>
              <w:left w:val="nil"/>
              <w:bottom w:val="single" w:sz="4" w:space="0" w:color="auto"/>
              <w:right w:val="single" w:sz="4" w:space="0" w:color="FFFFFF"/>
            </w:tcBorders>
            <w:shd w:val="clear" w:color="000000" w:fill="1F497D" w:themeFill="text2"/>
            <w:vAlign w:val="center"/>
            <w:hideMark/>
          </w:tcPr>
          <w:p w:rsidR="00BC2577" w:rsidRPr="0097157A" w:rsidRDefault="00BC2577" w:rsidP="006B7BA6">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Day-of Week</w:t>
            </w:r>
          </w:p>
        </w:tc>
        <w:tc>
          <w:tcPr>
            <w:tcW w:w="1287" w:type="dxa"/>
            <w:tcBorders>
              <w:top w:val="single" w:sz="4" w:space="0" w:color="auto"/>
              <w:left w:val="nil"/>
              <w:bottom w:val="single" w:sz="4" w:space="0" w:color="auto"/>
              <w:right w:val="single" w:sz="4" w:space="0" w:color="FFFFFF"/>
            </w:tcBorders>
            <w:shd w:val="clear" w:color="000000" w:fill="1F497D" w:themeFill="text2"/>
            <w:vAlign w:val="center"/>
            <w:hideMark/>
          </w:tcPr>
          <w:p w:rsidR="00BC2577" w:rsidRPr="0097157A" w:rsidRDefault="00BC2577" w:rsidP="006B7BA6">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Number of Aggregators Dispatched</w:t>
            </w:r>
          </w:p>
        </w:tc>
        <w:tc>
          <w:tcPr>
            <w:tcW w:w="1268" w:type="dxa"/>
            <w:tcBorders>
              <w:top w:val="single" w:sz="4" w:space="0" w:color="auto"/>
              <w:left w:val="nil"/>
              <w:bottom w:val="single" w:sz="4" w:space="0" w:color="auto"/>
              <w:right w:val="single" w:sz="4" w:space="0" w:color="FFFFFF"/>
            </w:tcBorders>
            <w:shd w:val="clear" w:color="000000" w:fill="1F497D" w:themeFill="text2"/>
            <w:vAlign w:val="center"/>
            <w:hideMark/>
          </w:tcPr>
          <w:p w:rsidR="00BC2577" w:rsidRPr="0097157A" w:rsidRDefault="00BC2577" w:rsidP="006B7BA6">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Hours</w:t>
            </w:r>
          </w:p>
        </w:tc>
        <w:tc>
          <w:tcPr>
            <w:tcW w:w="1268" w:type="dxa"/>
            <w:tcBorders>
              <w:top w:val="single" w:sz="4" w:space="0" w:color="auto"/>
              <w:left w:val="nil"/>
              <w:bottom w:val="single" w:sz="4" w:space="0" w:color="auto"/>
              <w:right w:val="single" w:sz="4" w:space="0" w:color="auto"/>
            </w:tcBorders>
            <w:shd w:val="clear" w:color="000000" w:fill="1F497D" w:themeFill="text2"/>
            <w:vAlign w:val="center"/>
            <w:hideMark/>
          </w:tcPr>
          <w:p w:rsidR="00BC2577" w:rsidRPr="0097157A" w:rsidRDefault="00BC2577" w:rsidP="006B7BA6">
            <w:pPr>
              <w:spacing w:after="0" w:line="240" w:lineRule="auto"/>
              <w:jc w:val="center"/>
              <w:rPr>
                <w:rFonts w:ascii="Arial" w:eastAsia="Times New Roman" w:hAnsi="Arial" w:cs="Arial"/>
                <w:b/>
                <w:bCs/>
                <w:color w:val="FFFFFF"/>
                <w:sz w:val="18"/>
                <w:szCs w:val="18"/>
              </w:rPr>
            </w:pPr>
            <w:r>
              <w:rPr>
                <w:rFonts w:ascii="Arial" w:eastAsia="Times New Roman" w:hAnsi="Arial" w:cs="Arial"/>
                <w:b/>
                <w:bCs/>
                <w:color w:val="FFFFFF"/>
                <w:sz w:val="18"/>
                <w:szCs w:val="18"/>
              </w:rPr>
              <w:t>Nominated MW</w:t>
            </w:r>
          </w:p>
        </w:tc>
      </w:tr>
      <w:tr w:rsidR="00BC2577" w:rsidRPr="0097157A" w:rsidTr="00BC2577">
        <w:trPr>
          <w:trHeight w:hRule="exact" w:val="288"/>
        </w:trPr>
        <w:tc>
          <w:tcPr>
            <w:tcW w:w="95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CBP</w:t>
            </w:r>
          </w:p>
        </w:tc>
        <w:tc>
          <w:tcPr>
            <w:tcW w:w="9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DA</w:t>
            </w:r>
          </w:p>
        </w:tc>
        <w:tc>
          <w:tcPr>
            <w:tcW w:w="10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1-4 Hour</w:t>
            </w: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7/5/2011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Tue</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2 - 4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8.0</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8/26/2011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Fri</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8.0</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9/7/2011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3 - 6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7.6</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10/12/2011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7.2</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10/13/2011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4</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7.2</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DO</w:t>
            </w:r>
          </w:p>
        </w:tc>
        <w:tc>
          <w:tcPr>
            <w:tcW w:w="10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1-4 Hour</w:t>
            </w: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7/5/2011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Tue</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3 - 6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8.9</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7/6/2011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8.9</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8/26/2011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Fri</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3 - 6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9/7/2011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3 - 6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8.3</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9/9/2011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Fri</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3 - 6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8.3</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10/12/2011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1 - 4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8.4</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10/13/2011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5</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8.4</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2-6 Hour</w:t>
            </w: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7/5/2011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Tue</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3 - 6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2.6</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7/6/2011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2.6</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8/26/2011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Fri</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3 - 6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2.6</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9/7/2011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3 - 6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2.6</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9/9/2011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Fri</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3 - 6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2.6</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10/12/2011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Wed</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1 - 4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2.6</w:t>
            </w:r>
          </w:p>
        </w:tc>
      </w:tr>
      <w:tr w:rsidR="00BC2577" w:rsidRPr="0097157A" w:rsidTr="00BC2577">
        <w:trPr>
          <w:trHeight w:hRule="exact" w:val="288"/>
        </w:trPr>
        <w:tc>
          <w:tcPr>
            <w:tcW w:w="957" w:type="dxa"/>
            <w:vMerge/>
            <w:tcBorders>
              <w:top w:val="nil"/>
              <w:left w:val="single" w:sz="4" w:space="0" w:color="auto"/>
              <w:bottom w:val="single" w:sz="4" w:space="0" w:color="auto"/>
              <w:right w:val="single" w:sz="4" w:space="0" w:color="auto"/>
            </w:tcBorders>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967"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050" w:type="dxa"/>
            <w:vMerge/>
            <w:tcBorders>
              <w:top w:val="nil"/>
              <w:left w:val="single" w:sz="4" w:space="0" w:color="auto"/>
              <w:bottom w:val="single" w:sz="4" w:space="0" w:color="auto"/>
              <w:right w:val="single" w:sz="4" w:space="0" w:color="auto"/>
            </w:tcBorders>
            <w:shd w:val="clear" w:color="auto" w:fill="auto"/>
            <w:vAlign w:val="center"/>
            <w:hideMark/>
          </w:tcPr>
          <w:p w:rsidR="00BC2577" w:rsidRPr="0097157A" w:rsidRDefault="00BC2577" w:rsidP="005D2665">
            <w:pPr>
              <w:spacing w:after="0" w:line="240" w:lineRule="auto"/>
              <w:rPr>
                <w:rFonts w:ascii="Arial" w:eastAsia="Times New Roman" w:hAnsi="Arial" w:cs="Arial"/>
                <w:color w:val="000000"/>
                <w:sz w:val="18"/>
                <w:szCs w:val="18"/>
              </w:rPr>
            </w:pPr>
          </w:p>
        </w:tc>
        <w:tc>
          <w:tcPr>
            <w:tcW w:w="136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10/13/2011</w:t>
            </w:r>
          </w:p>
        </w:tc>
        <w:tc>
          <w:tcPr>
            <w:tcW w:w="1089"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Thu</w:t>
            </w:r>
          </w:p>
        </w:tc>
        <w:tc>
          <w:tcPr>
            <w:tcW w:w="1287"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1</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2 - 5 PM</w:t>
            </w:r>
          </w:p>
        </w:tc>
        <w:tc>
          <w:tcPr>
            <w:tcW w:w="1268" w:type="dxa"/>
            <w:tcBorders>
              <w:top w:val="nil"/>
              <w:left w:val="nil"/>
              <w:bottom w:val="single" w:sz="4" w:space="0" w:color="auto"/>
              <w:right w:val="single" w:sz="4" w:space="0" w:color="auto"/>
            </w:tcBorders>
            <w:shd w:val="clear" w:color="auto" w:fill="auto"/>
            <w:noWrap/>
            <w:vAlign w:val="center"/>
            <w:hideMark/>
          </w:tcPr>
          <w:p w:rsidR="00BC2577" w:rsidRPr="0097157A" w:rsidRDefault="00BC2577" w:rsidP="005D2665">
            <w:pPr>
              <w:spacing w:after="0" w:line="240" w:lineRule="auto"/>
              <w:jc w:val="center"/>
              <w:rPr>
                <w:rFonts w:ascii="Arial" w:eastAsia="Times New Roman" w:hAnsi="Arial" w:cs="Arial"/>
                <w:color w:val="000000"/>
                <w:sz w:val="18"/>
                <w:szCs w:val="18"/>
              </w:rPr>
            </w:pPr>
            <w:r w:rsidRPr="004959BC">
              <w:rPr>
                <w:rFonts w:ascii="Arial" w:eastAsia="Times New Roman" w:hAnsi="Arial" w:cs="Arial"/>
                <w:color w:val="000000"/>
                <w:sz w:val="18"/>
                <w:szCs w:val="18"/>
              </w:rPr>
              <w:t>2.6</w:t>
            </w:r>
          </w:p>
        </w:tc>
      </w:tr>
    </w:tbl>
    <w:p w:rsidR="006D5226" w:rsidRPr="00050374" w:rsidRDefault="006D5226" w:rsidP="00BA25E2">
      <w:pPr>
        <w:pStyle w:val="Heading2"/>
      </w:pPr>
      <w:bookmarkStart w:id="316" w:name="_Toc326074033"/>
      <w:r w:rsidRPr="00050374">
        <w:lastRenderedPageBreak/>
        <w:t xml:space="preserve">Capacity Bidding Program </w:t>
      </w:r>
      <w:r w:rsidR="007B49B6">
        <w:t>Load Impacts</w:t>
      </w:r>
      <w:bookmarkEnd w:id="316"/>
    </w:p>
    <w:p w:rsidR="00AA39FA" w:rsidRDefault="006D5226" w:rsidP="006D5226">
      <w:pPr>
        <w:pStyle w:val="BodyParagraph"/>
      </w:pPr>
      <w:r w:rsidRPr="00050374">
        <w:t xml:space="preserve">Table </w:t>
      </w:r>
      <w:r w:rsidR="00A52143">
        <w:t>6</w:t>
      </w:r>
      <w:r w:rsidRPr="00050374">
        <w:t xml:space="preserve">-2 </w:t>
      </w:r>
      <w:r w:rsidR="007B49B6">
        <w:t>shows</w:t>
      </w:r>
      <w:r w:rsidRPr="00050374">
        <w:t xml:space="preserve"> the estimated </w:t>
      </w:r>
      <w:r w:rsidR="00AD683A">
        <w:t>ex post</w:t>
      </w:r>
      <w:r w:rsidRPr="00050374">
        <w:t xml:space="preserve"> load impacts for each CBP event day and </w:t>
      </w:r>
      <w:r w:rsidR="007B49B6">
        <w:t xml:space="preserve">for </w:t>
      </w:r>
      <w:r w:rsidRPr="00050374">
        <w:t>the average event in 2011.  On average, day-ahead notification customers r</w:t>
      </w:r>
      <w:r w:rsidR="00FB6C7E">
        <w:t>educed demand by 44</w:t>
      </w:r>
      <w:r w:rsidR="000E77C9" w:rsidRPr="00050374">
        <w:t>% and delivered 1</w:t>
      </w:r>
      <w:r w:rsidR="00FB6C7E">
        <w:t>1.3</w:t>
      </w:r>
      <w:r w:rsidR="00E60B98">
        <w:t> </w:t>
      </w:r>
      <w:r w:rsidRPr="00050374">
        <w:t>MW of demand reduction.  Customer</w:t>
      </w:r>
      <w:r w:rsidR="00FB6C7E">
        <w:t>s</w:t>
      </w:r>
      <w:r w:rsidRPr="00050374">
        <w:t xml:space="preserve"> with </w:t>
      </w:r>
      <w:r w:rsidR="00F95446">
        <w:t>day</w:t>
      </w:r>
      <w:r w:rsidR="007B49B6">
        <w:t>-of</w:t>
      </w:r>
      <w:r w:rsidR="00F95446">
        <w:t xml:space="preserve"> notification</w:t>
      </w:r>
      <w:r w:rsidRPr="00050374">
        <w:t xml:space="preserve"> provided smaller percent demand reduction</w:t>
      </w:r>
      <w:r w:rsidR="00376DE4">
        <w:t>s</w:t>
      </w:r>
      <w:r w:rsidR="00227071">
        <w:t>.  F</w:t>
      </w:r>
      <w:r w:rsidR="00EB406E" w:rsidRPr="00050374">
        <w:t>or the average event</w:t>
      </w:r>
      <w:r w:rsidR="00EB406E">
        <w:t xml:space="preserve">, </w:t>
      </w:r>
      <w:r w:rsidR="00705A09">
        <w:t xml:space="preserve">customers on the 1-4 Hour product reduced demand </w:t>
      </w:r>
      <w:r w:rsidR="00FB6C7E">
        <w:t>1</w:t>
      </w:r>
      <w:r w:rsidR="002D0E81">
        <w:t>7</w:t>
      </w:r>
      <w:r w:rsidRPr="00050374">
        <w:t xml:space="preserve">% and delivered </w:t>
      </w:r>
      <w:r w:rsidR="002D0E81">
        <w:t>7.2</w:t>
      </w:r>
      <w:r w:rsidRPr="00050374">
        <w:t xml:space="preserve"> MW of aggregate demand reduction</w:t>
      </w:r>
      <w:r w:rsidR="00EB406E">
        <w:t>,</w:t>
      </w:r>
      <w:r w:rsidR="00705A09">
        <w:t xml:space="preserve"> whereas customers on the 2-6 Hour product reduced demand 20% and delivered 4.1 MW of aggregate demand reduction</w:t>
      </w:r>
      <w:r w:rsidRPr="00050374">
        <w:t xml:space="preserve">.  The impact estimates </w:t>
      </w:r>
      <w:r w:rsidR="00FB6C7E">
        <w:t xml:space="preserve">are fairly consistent across events.  The CBP event of September 9 is an exception, showing </w:t>
      </w:r>
      <w:r w:rsidR="00EB4CC2">
        <w:t>somewhat</w:t>
      </w:r>
      <w:r w:rsidR="00FB6C7E">
        <w:t xml:space="preserve"> lower reductions; however, this </w:t>
      </w:r>
      <w:r w:rsidR="00376DE4">
        <w:t>may</w:t>
      </w:r>
      <w:r w:rsidR="00FB6C7E">
        <w:t xml:space="preserve"> be </w:t>
      </w:r>
      <w:r w:rsidR="00376DE4">
        <w:t xml:space="preserve">the result of </w:t>
      </w:r>
      <w:r w:rsidR="00FB6C7E">
        <w:t xml:space="preserve">interference </w:t>
      </w:r>
      <w:r w:rsidR="0073265D">
        <w:t>with</w:t>
      </w:r>
      <w:r w:rsidR="00FB6C7E">
        <w:t xml:space="preserve"> customer behavior from the system-wide outage on the previous day.</w:t>
      </w:r>
      <w:r w:rsidR="00BB6A50">
        <w:t xml:space="preserve">  </w:t>
      </w:r>
    </w:p>
    <w:p w:rsidR="006E0E84" w:rsidRDefault="006E0E84" w:rsidP="006E0E84">
      <w:pPr>
        <w:pStyle w:val="BodyParaAfterTableFigure"/>
      </w:pPr>
      <w:r w:rsidRPr="004F7792">
        <w:rPr>
          <w:rStyle w:val="Strong"/>
          <w:b w:val="0"/>
          <w:bCs w:val="0"/>
        </w:rPr>
        <w:t>F</w:t>
      </w:r>
      <w:r w:rsidRPr="000E3384">
        <w:t>i</w:t>
      </w:r>
      <w:r w:rsidRPr="00050374">
        <w:t xml:space="preserve">gure </w:t>
      </w:r>
      <w:r w:rsidR="00A52143">
        <w:t>6</w:t>
      </w:r>
      <w:r w:rsidRPr="00050374">
        <w:t xml:space="preserve">-1 shows the </w:t>
      </w:r>
      <w:r w:rsidR="007B49B6">
        <w:t xml:space="preserve">estimated </w:t>
      </w:r>
      <w:r w:rsidRPr="00050374">
        <w:t xml:space="preserve">hourly electricity patterns with and without DR on </w:t>
      </w:r>
      <w:r>
        <w:t>September 7</w:t>
      </w:r>
      <w:r w:rsidRPr="00050374">
        <w:t>,</w:t>
      </w:r>
      <w:r>
        <w:t xml:space="preserve"> when the SDG&amp;E system reached its annual peak and both</w:t>
      </w:r>
      <w:r w:rsidRPr="00050374">
        <w:t xml:space="preserve"> </w:t>
      </w:r>
      <w:r>
        <w:t xml:space="preserve">day-ahead and day-of </w:t>
      </w:r>
      <w:r w:rsidRPr="00050374">
        <w:t xml:space="preserve">resources were dispatched from </w:t>
      </w:r>
      <w:r>
        <w:t>3 PM to 6 PM, respectively</w:t>
      </w:r>
      <w:r w:rsidRPr="00050374">
        <w:t xml:space="preserve">. </w:t>
      </w:r>
      <w:r>
        <w:t xml:space="preserve"> </w:t>
      </w:r>
      <w:r w:rsidR="007B49B6">
        <w:t>P</w:t>
      </w:r>
      <w:r>
        <w:t xml:space="preserve">articipants in all program options delivered the largest reductions on the annual peak day.  In aggregate, they reduced demand by 29.6 MW.  </w:t>
      </w:r>
      <w:r w:rsidRPr="00050374">
        <w:t xml:space="preserve">The electricity load reductions of customers in the </w:t>
      </w:r>
      <w:r w:rsidR="00F95446">
        <w:t>day-ahead</w:t>
      </w:r>
      <w:r w:rsidRPr="00050374">
        <w:t xml:space="preserve"> notification option </w:t>
      </w:r>
      <w:r>
        <w:t>began two hours prior to the event</w:t>
      </w:r>
      <w:r w:rsidRPr="00050374">
        <w:t>.  For day-</w:t>
      </w:r>
      <w:r>
        <w:t>of</w:t>
      </w:r>
      <w:r w:rsidRPr="00050374">
        <w:t xml:space="preserve"> resources, load reductions </w:t>
      </w:r>
      <w:r>
        <w:t>occurred wholly within event hours</w:t>
      </w:r>
      <w:r w:rsidRPr="00050374">
        <w:t>.</w:t>
      </w:r>
      <w:r>
        <w:t xml:space="preserve">  Reference loads and load reductions were much greater for day-ahead customers than day-of customers.</w:t>
      </w:r>
    </w:p>
    <w:p w:rsidR="006E0E84" w:rsidRPr="006B7BA6" w:rsidRDefault="006E0E84" w:rsidP="00BA25E2">
      <w:pPr>
        <w:pStyle w:val="TableFigureCaption"/>
      </w:pPr>
      <w:r w:rsidRPr="006B7BA6">
        <w:t xml:space="preserve">Figure </w:t>
      </w:r>
      <w:r w:rsidR="00A52143">
        <w:t>6</w:t>
      </w:r>
      <w:r w:rsidRPr="006B7BA6">
        <w:t>-1:</w:t>
      </w:r>
      <w:r w:rsidR="00877CA8">
        <w:t xml:space="preserve"> </w:t>
      </w:r>
      <w:r w:rsidRPr="006B7BA6">
        <w:t>SDG&amp;E CBP Hourly Impacts for September 7, 2011 (Annual Peak)</w:t>
      </w:r>
    </w:p>
    <w:p w:rsidR="00D649A8" w:rsidRPr="00050374" w:rsidRDefault="005310C6" w:rsidP="006E0E84">
      <w:pPr>
        <w:pStyle w:val="BodyParagraph"/>
        <w:jc w:val="center"/>
        <w:rPr>
          <w:rStyle w:val="Strong"/>
          <w:b w:val="0"/>
          <w:bCs w:val="0"/>
        </w:rPr>
      </w:pPr>
      <w:r>
        <w:rPr>
          <w:noProof/>
        </w:rPr>
        <w:drawing>
          <wp:inline distT="0" distB="0" distL="0" distR="0">
            <wp:extent cx="2447925" cy="2286000"/>
            <wp:effectExtent l="19050" t="0" r="9525"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srcRect/>
                    <a:stretch>
                      <a:fillRect/>
                    </a:stretch>
                  </pic:blipFill>
                  <pic:spPr bwMode="auto">
                    <a:xfrm>
                      <a:off x="0" y="0"/>
                      <a:ext cx="2447925" cy="2286000"/>
                    </a:xfrm>
                    <a:prstGeom prst="rect">
                      <a:avLst/>
                    </a:prstGeom>
                    <a:noFill/>
                    <a:ln w="9525">
                      <a:noFill/>
                      <a:miter lim="800000"/>
                      <a:headEnd/>
                      <a:tailEnd/>
                    </a:ln>
                  </pic:spPr>
                </pic:pic>
              </a:graphicData>
            </a:graphic>
          </wp:inline>
        </w:drawing>
      </w:r>
      <w:r>
        <w:rPr>
          <w:noProof/>
        </w:rPr>
        <w:drawing>
          <wp:inline distT="0" distB="0" distL="0" distR="0">
            <wp:extent cx="2419350" cy="2286000"/>
            <wp:effectExtent l="19050" t="0" r="0" b="0"/>
            <wp:docPr id="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srcRect/>
                    <a:stretch>
                      <a:fillRect/>
                    </a:stretch>
                  </pic:blipFill>
                  <pic:spPr bwMode="auto">
                    <a:xfrm>
                      <a:off x="0" y="0"/>
                      <a:ext cx="2419350" cy="2286000"/>
                    </a:xfrm>
                    <a:prstGeom prst="rect">
                      <a:avLst/>
                    </a:prstGeom>
                    <a:noFill/>
                    <a:ln w="9525">
                      <a:noFill/>
                      <a:miter lim="800000"/>
                      <a:headEnd/>
                      <a:tailEnd/>
                    </a:ln>
                  </pic:spPr>
                </pic:pic>
              </a:graphicData>
            </a:graphic>
          </wp:inline>
        </w:drawing>
      </w:r>
    </w:p>
    <w:p w:rsidR="00AA39FA" w:rsidRDefault="00AA39FA">
      <w:pPr>
        <w:rPr>
          <w:rFonts w:ascii="Arial" w:hAnsi="Arial"/>
          <w:sz w:val="20"/>
        </w:rPr>
      </w:pPr>
      <w:r>
        <w:br w:type="page"/>
      </w:r>
    </w:p>
    <w:p w:rsidR="006D5226" w:rsidRDefault="006D5226" w:rsidP="00BA25E2">
      <w:pPr>
        <w:pStyle w:val="TableFigureCaption"/>
        <w:rPr>
          <w:rStyle w:val="Strong"/>
          <w:b/>
          <w:bCs w:val="0"/>
        </w:rPr>
      </w:pPr>
      <w:r w:rsidRPr="006B7BA6">
        <w:rPr>
          <w:rStyle w:val="Strong"/>
          <w:b/>
          <w:bCs w:val="0"/>
        </w:rPr>
        <w:lastRenderedPageBreak/>
        <w:t>Table</w:t>
      </w:r>
      <w:r w:rsidRPr="00050374">
        <w:rPr>
          <w:rStyle w:val="Strong"/>
          <w:b/>
          <w:bCs w:val="0"/>
        </w:rPr>
        <w:t xml:space="preserve"> </w:t>
      </w:r>
      <w:r w:rsidR="00A52143">
        <w:rPr>
          <w:rStyle w:val="Strong"/>
          <w:b/>
          <w:bCs w:val="0"/>
        </w:rPr>
        <w:t>6</w:t>
      </w:r>
      <w:r w:rsidRPr="00050374">
        <w:rPr>
          <w:rStyle w:val="Strong"/>
          <w:b/>
          <w:bCs w:val="0"/>
        </w:rPr>
        <w:t>-2:</w:t>
      </w:r>
      <w:r w:rsidR="00877CA8">
        <w:rPr>
          <w:rStyle w:val="Strong"/>
          <w:b/>
          <w:bCs w:val="0"/>
        </w:rPr>
        <w:t xml:space="preserve"> </w:t>
      </w:r>
      <w:r w:rsidRPr="00050374">
        <w:rPr>
          <w:rStyle w:val="Strong"/>
          <w:b/>
          <w:bCs w:val="0"/>
        </w:rPr>
        <w:t>Estimated Ex</w:t>
      </w:r>
      <w:r w:rsidR="00AD683A">
        <w:rPr>
          <w:rStyle w:val="Strong"/>
          <w:b/>
          <w:bCs w:val="0"/>
        </w:rPr>
        <w:t xml:space="preserve"> </w:t>
      </w:r>
      <w:r w:rsidRPr="00050374">
        <w:rPr>
          <w:rStyle w:val="Strong"/>
          <w:b/>
          <w:bCs w:val="0"/>
        </w:rPr>
        <w:t>Post Load Impacts by Event Day</w:t>
      </w:r>
      <w:r w:rsidRPr="00050374">
        <w:rPr>
          <w:rStyle w:val="Strong"/>
          <w:b/>
          <w:bCs w:val="0"/>
        </w:rPr>
        <w:br/>
        <w:t>2011 SDG&amp;E CBP Events</w:t>
      </w:r>
    </w:p>
    <w:tbl>
      <w:tblPr>
        <w:tblW w:w="0" w:type="auto"/>
        <w:tblLayout w:type="fixed"/>
        <w:tblLook w:val="04A0"/>
      </w:tblPr>
      <w:tblGrid>
        <w:gridCol w:w="775"/>
        <w:gridCol w:w="1399"/>
        <w:gridCol w:w="908"/>
        <w:gridCol w:w="908"/>
        <w:gridCol w:w="908"/>
        <w:gridCol w:w="908"/>
        <w:gridCol w:w="909"/>
        <w:gridCol w:w="909"/>
        <w:gridCol w:w="909"/>
        <w:gridCol w:w="913"/>
      </w:tblGrid>
      <w:tr w:rsidR="008F19CC" w:rsidRPr="0097157A" w:rsidTr="00E60B98">
        <w:trPr>
          <w:trHeight w:val="828"/>
        </w:trPr>
        <w:tc>
          <w:tcPr>
            <w:tcW w:w="775" w:type="dxa"/>
            <w:tcBorders>
              <w:top w:val="single" w:sz="4" w:space="0" w:color="auto"/>
              <w:left w:val="single" w:sz="4" w:space="0" w:color="auto"/>
              <w:bottom w:val="single" w:sz="4" w:space="0" w:color="auto"/>
              <w:right w:val="single" w:sz="4" w:space="0" w:color="FFFFFF"/>
            </w:tcBorders>
            <w:shd w:val="clear" w:color="000000" w:fill="1F497D" w:themeFill="text2"/>
            <w:tcMar>
              <w:left w:w="43" w:type="dxa"/>
              <w:right w:w="43" w:type="dxa"/>
            </w:tcMar>
            <w:vAlign w:val="center"/>
            <w:hideMark/>
          </w:tcPr>
          <w:p w:rsidR="0097157A" w:rsidRPr="0097157A" w:rsidRDefault="0097157A" w:rsidP="006B7BA6">
            <w:pPr>
              <w:spacing w:after="0" w:line="240" w:lineRule="auto"/>
              <w:jc w:val="center"/>
              <w:rPr>
                <w:rFonts w:ascii="Arial" w:eastAsia="Times New Roman" w:hAnsi="Arial" w:cs="Arial"/>
                <w:b/>
                <w:bCs/>
                <w:color w:val="FFFFFF"/>
                <w:sz w:val="16"/>
                <w:szCs w:val="16"/>
              </w:rPr>
            </w:pPr>
            <w:r w:rsidRPr="0097157A">
              <w:rPr>
                <w:rFonts w:ascii="Arial" w:eastAsia="Times New Roman" w:hAnsi="Arial" w:cs="Arial"/>
                <w:b/>
                <w:bCs/>
                <w:color w:val="FFFFFF"/>
                <w:sz w:val="16"/>
                <w:szCs w:val="16"/>
              </w:rPr>
              <w:t>Program</w:t>
            </w:r>
          </w:p>
        </w:tc>
        <w:tc>
          <w:tcPr>
            <w:tcW w:w="1399"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97157A" w:rsidRPr="0097157A" w:rsidRDefault="0097157A" w:rsidP="006B7BA6">
            <w:pPr>
              <w:spacing w:after="0" w:line="240" w:lineRule="auto"/>
              <w:jc w:val="center"/>
              <w:rPr>
                <w:rFonts w:ascii="Arial" w:eastAsia="Times New Roman" w:hAnsi="Arial" w:cs="Arial"/>
                <w:b/>
                <w:bCs/>
                <w:color w:val="FFFFFF"/>
                <w:sz w:val="16"/>
                <w:szCs w:val="16"/>
              </w:rPr>
            </w:pPr>
            <w:r w:rsidRPr="0097157A">
              <w:rPr>
                <w:rFonts w:ascii="Arial" w:eastAsia="Times New Roman" w:hAnsi="Arial" w:cs="Arial"/>
                <w:b/>
                <w:bCs/>
                <w:color w:val="FFFFFF"/>
                <w:sz w:val="16"/>
                <w:szCs w:val="16"/>
              </w:rPr>
              <w:t>Event Date</w:t>
            </w:r>
          </w:p>
        </w:tc>
        <w:tc>
          <w:tcPr>
            <w:tcW w:w="908"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97157A" w:rsidRPr="0097157A" w:rsidRDefault="0097157A" w:rsidP="006B7BA6">
            <w:pPr>
              <w:spacing w:after="0" w:line="240" w:lineRule="auto"/>
              <w:jc w:val="center"/>
              <w:rPr>
                <w:rFonts w:ascii="Arial" w:eastAsia="Times New Roman" w:hAnsi="Arial" w:cs="Arial"/>
                <w:b/>
                <w:bCs/>
                <w:color w:val="FFFFFF"/>
                <w:sz w:val="16"/>
                <w:szCs w:val="16"/>
              </w:rPr>
            </w:pPr>
            <w:r w:rsidRPr="0097157A">
              <w:rPr>
                <w:rFonts w:ascii="Arial" w:eastAsia="Times New Roman" w:hAnsi="Arial" w:cs="Arial"/>
                <w:b/>
                <w:bCs/>
                <w:color w:val="FFFFFF"/>
                <w:sz w:val="16"/>
                <w:szCs w:val="16"/>
              </w:rPr>
              <w:t>Acc</w:t>
            </w:r>
            <w:r w:rsidR="007B49B6">
              <w:rPr>
                <w:rFonts w:ascii="Arial" w:eastAsia="Times New Roman" w:hAnsi="Arial" w:cs="Arial"/>
                <w:b/>
                <w:bCs/>
                <w:color w:val="FFFFFF"/>
                <w:sz w:val="16"/>
                <w:szCs w:val="16"/>
              </w:rPr>
              <w:t>oun</w:t>
            </w:r>
            <w:r w:rsidRPr="0097157A">
              <w:rPr>
                <w:rFonts w:ascii="Arial" w:eastAsia="Times New Roman" w:hAnsi="Arial" w:cs="Arial"/>
                <w:b/>
                <w:bCs/>
                <w:color w:val="FFFFFF"/>
                <w:sz w:val="16"/>
                <w:szCs w:val="16"/>
              </w:rPr>
              <w:t>ts</w:t>
            </w:r>
          </w:p>
        </w:tc>
        <w:tc>
          <w:tcPr>
            <w:tcW w:w="908"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A73F2B" w:rsidRDefault="0097157A">
            <w:pPr>
              <w:spacing w:after="0" w:line="240" w:lineRule="auto"/>
              <w:jc w:val="center"/>
              <w:rPr>
                <w:rFonts w:ascii="Arial" w:eastAsia="Times New Roman" w:hAnsi="Arial" w:cs="Arial"/>
                <w:b/>
                <w:bCs/>
                <w:color w:val="FFFFFF"/>
                <w:sz w:val="16"/>
                <w:szCs w:val="16"/>
              </w:rPr>
            </w:pPr>
            <w:r w:rsidRPr="0097157A">
              <w:rPr>
                <w:rFonts w:ascii="Arial" w:eastAsia="Times New Roman" w:hAnsi="Arial" w:cs="Arial"/>
                <w:b/>
                <w:bCs/>
                <w:color w:val="FFFFFF"/>
                <w:sz w:val="16"/>
                <w:szCs w:val="16"/>
              </w:rPr>
              <w:t>Av</w:t>
            </w:r>
            <w:r w:rsidR="007B49B6">
              <w:rPr>
                <w:rFonts w:ascii="Arial" w:eastAsia="Times New Roman" w:hAnsi="Arial" w:cs="Arial"/>
                <w:b/>
                <w:bCs/>
                <w:color w:val="FFFFFF"/>
                <w:sz w:val="16"/>
                <w:szCs w:val="16"/>
              </w:rPr>
              <w:t>erage</w:t>
            </w:r>
            <w:r w:rsidRPr="0097157A">
              <w:rPr>
                <w:rFonts w:ascii="Arial" w:eastAsia="Times New Roman" w:hAnsi="Arial" w:cs="Arial"/>
                <w:b/>
                <w:bCs/>
                <w:color w:val="FFFFFF"/>
                <w:sz w:val="16"/>
                <w:szCs w:val="16"/>
              </w:rPr>
              <w:t xml:space="preserve"> Reference Load </w:t>
            </w:r>
          </w:p>
          <w:p w:rsidR="00A73F2B" w:rsidRDefault="0097157A">
            <w:pPr>
              <w:spacing w:after="0" w:line="240" w:lineRule="auto"/>
              <w:jc w:val="center"/>
              <w:rPr>
                <w:rFonts w:ascii="Arial" w:eastAsia="Times New Roman" w:hAnsi="Arial" w:cs="Arial"/>
                <w:b/>
                <w:bCs/>
                <w:color w:val="FFFFFF"/>
                <w:sz w:val="16"/>
                <w:szCs w:val="16"/>
              </w:rPr>
            </w:pPr>
            <w:r w:rsidRPr="0097157A">
              <w:rPr>
                <w:rFonts w:ascii="Arial" w:eastAsia="Times New Roman" w:hAnsi="Arial" w:cs="Arial"/>
                <w:b/>
                <w:bCs/>
                <w:color w:val="FFFFFF"/>
                <w:sz w:val="16"/>
                <w:szCs w:val="16"/>
              </w:rPr>
              <w:t>(kW)</w:t>
            </w:r>
          </w:p>
        </w:tc>
        <w:tc>
          <w:tcPr>
            <w:tcW w:w="908"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97157A" w:rsidRPr="0097157A" w:rsidRDefault="0097157A" w:rsidP="006B7BA6">
            <w:pPr>
              <w:spacing w:after="0" w:line="240" w:lineRule="auto"/>
              <w:jc w:val="center"/>
              <w:rPr>
                <w:rFonts w:ascii="Arial" w:eastAsia="Times New Roman" w:hAnsi="Arial" w:cs="Arial"/>
                <w:b/>
                <w:bCs/>
                <w:color w:val="FFFFFF"/>
                <w:sz w:val="16"/>
                <w:szCs w:val="16"/>
              </w:rPr>
            </w:pPr>
            <w:r w:rsidRPr="0097157A">
              <w:rPr>
                <w:rFonts w:ascii="Arial" w:eastAsia="Times New Roman" w:hAnsi="Arial" w:cs="Arial"/>
                <w:b/>
                <w:bCs/>
                <w:color w:val="FFFFFF"/>
                <w:sz w:val="16"/>
                <w:szCs w:val="16"/>
              </w:rPr>
              <w:t>Average Load Reduction (kW)</w:t>
            </w:r>
          </w:p>
        </w:tc>
        <w:tc>
          <w:tcPr>
            <w:tcW w:w="908"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97157A" w:rsidRPr="0097157A" w:rsidRDefault="0097157A" w:rsidP="006B7BA6">
            <w:pPr>
              <w:spacing w:after="0" w:line="240" w:lineRule="auto"/>
              <w:jc w:val="center"/>
              <w:rPr>
                <w:rFonts w:ascii="Arial" w:eastAsia="Times New Roman" w:hAnsi="Arial" w:cs="Arial"/>
                <w:b/>
                <w:bCs/>
                <w:color w:val="FFFFFF"/>
                <w:sz w:val="16"/>
                <w:szCs w:val="16"/>
              </w:rPr>
            </w:pPr>
            <w:r w:rsidRPr="0097157A">
              <w:rPr>
                <w:rFonts w:ascii="Arial" w:eastAsia="Times New Roman" w:hAnsi="Arial" w:cs="Arial"/>
                <w:b/>
                <w:bCs/>
                <w:color w:val="FFFFFF"/>
                <w:sz w:val="16"/>
                <w:szCs w:val="16"/>
              </w:rPr>
              <w:t>% Load Reduction</w:t>
            </w:r>
          </w:p>
        </w:tc>
        <w:tc>
          <w:tcPr>
            <w:tcW w:w="909"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7B49B6" w:rsidRDefault="0097157A" w:rsidP="006B7BA6">
            <w:pPr>
              <w:spacing w:after="0" w:line="240" w:lineRule="auto"/>
              <w:jc w:val="center"/>
              <w:rPr>
                <w:rFonts w:ascii="Arial" w:eastAsia="Times New Roman" w:hAnsi="Arial" w:cs="Arial"/>
                <w:b/>
                <w:bCs/>
                <w:color w:val="FFFFFF"/>
                <w:sz w:val="16"/>
                <w:szCs w:val="16"/>
              </w:rPr>
            </w:pPr>
            <w:r w:rsidRPr="0097157A">
              <w:rPr>
                <w:rFonts w:ascii="Arial" w:eastAsia="Times New Roman" w:hAnsi="Arial" w:cs="Arial"/>
                <w:b/>
                <w:bCs/>
                <w:color w:val="FFFFFF"/>
                <w:sz w:val="16"/>
                <w:szCs w:val="16"/>
              </w:rPr>
              <w:t xml:space="preserve">Aggregate Reference Load </w:t>
            </w:r>
          </w:p>
          <w:p w:rsidR="0097157A" w:rsidRPr="0097157A" w:rsidRDefault="0097157A" w:rsidP="006B7BA6">
            <w:pPr>
              <w:spacing w:after="0" w:line="240" w:lineRule="auto"/>
              <w:jc w:val="center"/>
              <w:rPr>
                <w:rFonts w:ascii="Arial" w:eastAsia="Times New Roman" w:hAnsi="Arial" w:cs="Arial"/>
                <w:b/>
                <w:bCs/>
                <w:color w:val="FFFFFF"/>
                <w:sz w:val="16"/>
                <w:szCs w:val="16"/>
              </w:rPr>
            </w:pPr>
            <w:r w:rsidRPr="0097157A">
              <w:rPr>
                <w:rFonts w:ascii="Arial" w:eastAsia="Times New Roman" w:hAnsi="Arial" w:cs="Arial"/>
                <w:b/>
                <w:bCs/>
                <w:color w:val="FFFFFF"/>
                <w:sz w:val="16"/>
                <w:szCs w:val="16"/>
              </w:rPr>
              <w:t>(MW)</w:t>
            </w:r>
          </w:p>
        </w:tc>
        <w:tc>
          <w:tcPr>
            <w:tcW w:w="909"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97157A" w:rsidRPr="0097157A" w:rsidRDefault="0097157A" w:rsidP="006B7BA6">
            <w:pPr>
              <w:spacing w:after="0" w:line="240" w:lineRule="auto"/>
              <w:jc w:val="center"/>
              <w:rPr>
                <w:rFonts w:ascii="Arial" w:eastAsia="Times New Roman" w:hAnsi="Arial" w:cs="Arial"/>
                <w:b/>
                <w:bCs/>
                <w:color w:val="FFFFFF"/>
                <w:sz w:val="16"/>
                <w:szCs w:val="16"/>
              </w:rPr>
            </w:pPr>
            <w:r w:rsidRPr="0097157A">
              <w:rPr>
                <w:rFonts w:ascii="Arial" w:eastAsia="Times New Roman" w:hAnsi="Arial" w:cs="Arial"/>
                <w:b/>
                <w:bCs/>
                <w:color w:val="FFFFFF"/>
                <w:sz w:val="16"/>
                <w:szCs w:val="16"/>
              </w:rPr>
              <w:t>Aggregate Load Impact (MW)</w:t>
            </w:r>
          </w:p>
        </w:tc>
        <w:tc>
          <w:tcPr>
            <w:tcW w:w="909" w:type="dxa"/>
            <w:tcBorders>
              <w:top w:val="single" w:sz="4" w:space="0" w:color="auto"/>
              <w:left w:val="nil"/>
              <w:bottom w:val="single" w:sz="4" w:space="0" w:color="auto"/>
              <w:right w:val="nil"/>
            </w:tcBorders>
            <w:shd w:val="clear" w:color="000000" w:fill="1F497D" w:themeFill="text2"/>
            <w:tcMar>
              <w:left w:w="43" w:type="dxa"/>
              <w:right w:w="43" w:type="dxa"/>
            </w:tcMar>
            <w:vAlign w:val="center"/>
            <w:hideMark/>
          </w:tcPr>
          <w:p w:rsidR="00A73F2B" w:rsidRDefault="0097157A">
            <w:pPr>
              <w:spacing w:after="0" w:line="240" w:lineRule="auto"/>
              <w:jc w:val="center"/>
              <w:rPr>
                <w:rFonts w:ascii="Arial" w:eastAsia="Times New Roman" w:hAnsi="Arial" w:cs="Arial"/>
                <w:b/>
                <w:bCs/>
                <w:color w:val="FFFFFF"/>
                <w:sz w:val="16"/>
                <w:szCs w:val="16"/>
              </w:rPr>
            </w:pPr>
            <w:r w:rsidRPr="0097157A">
              <w:rPr>
                <w:rFonts w:ascii="Arial" w:eastAsia="Times New Roman" w:hAnsi="Arial" w:cs="Arial"/>
                <w:b/>
                <w:bCs/>
                <w:color w:val="FFFFFF"/>
                <w:sz w:val="16"/>
                <w:szCs w:val="16"/>
              </w:rPr>
              <w:t>Av</w:t>
            </w:r>
            <w:r w:rsidR="007B49B6">
              <w:rPr>
                <w:rFonts w:ascii="Arial" w:eastAsia="Times New Roman" w:hAnsi="Arial" w:cs="Arial"/>
                <w:b/>
                <w:bCs/>
                <w:color w:val="FFFFFF"/>
                <w:sz w:val="16"/>
                <w:szCs w:val="16"/>
              </w:rPr>
              <w:t>erage</w:t>
            </w:r>
            <w:r w:rsidRPr="0097157A">
              <w:rPr>
                <w:rFonts w:ascii="Arial" w:eastAsia="Times New Roman" w:hAnsi="Arial" w:cs="Arial"/>
                <w:b/>
                <w:bCs/>
                <w:color w:val="FFFFFF"/>
                <w:sz w:val="16"/>
                <w:szCs w:val="16"/>
              </w:rPr>
              <w:t xml:space="preserve"> Temp</w:t>
            </w:r>
            <w:r w:rsidR="007B49B6">
              <w:rPr>
                <w:rFonts w:ascii="Arial" w:eastAsia="Times New Roman" w:hAnsi="Arial" w:cs="Arial"/>
                <w:b/>
                <w:bCs/>
                <w:color w:val="FFFFFF"/>
                <w:sz w:val="16"/>
                <w:szCs w:val="16"/>
              </w:rPr>
              <w:t>.</w:t>
            </w:r>
            <w:r w:rsidRPr="0097157A">
              <w:rPr>
                <w:rFonts w:ascii="Arial" w:eastAsia="Times New Roman" w:hAnsi="Arial" w:cs="Arial"/>
                <w:b/>
                <w:bCs/>
                <w:color w:val="FFFFFF"/>
                <w:sz w:val="16"/>
                <w:szCs w:val="16"/>
              </w:rPr>
              <w:t xml:space="preserve"> During Event</w:t>
            </w:r>
          </w:p>
        </w:tc>
        <w:tc>
          <w:tcPr>
            <w:tcW w:w="913" w:type="dxa"/>
            <w:tcBorders>
              <w:top w:val="nil"/>
              <w:left w:val="single" w:sz="4" w:space="0" w:color="FFFFFF"/>
              <w:bottom w:val="nil"/>
              <w:right w:val="single" w:sz="4" w:space="0" w:color="auto"/>
            </w:tcBorders>
            <w:shd w:val="clear" w:color="000000" w:fill="1F497D" w:themeFill="text2"/>
            <w:tcMar>
              <w:left w:w="43" w:type="dxa"/>
              <w:right w:w="43" w:type="dxa"/>
            </w:tcMar>
            <w:vAlign w:val="center"/>
            <w:hideMark/>
          </w:tcPr>
          <w:p w:rsidR="0097157A" w:rsidRPr="0097157A" w:rsidRDefault="0097157A" w:rsidP="006B7BA6">
            <w:pPr>
              <w:spacing w:after="0" w:line="240" w:lineRule="auto"/>
              <w:jc w:val="center"/>
              <w:rPr>
                <w:rFonts w:ascii="Arial" w:eastAsia="Times New Roman" w:hAnsi="Arial" w:cs="Arial"/>
                <w:b/>
                <w:bCs/>
                <w:color w:val="FFFFFF"/>
                <w:sz w:val="16"/>
                <w:szCs w:val="16"/>
              </w:rPr>
            </w:pPr>
            <w:r w:rsidRPr="0097157A">
              <w:rPr>
                <w:rFonts w:ascii="Arial" w:eastAsia="Times New Roman" w:hAnsi="Arial" w:cs="Arial"/>
                <w:b/>
                <w:bCs/>
                <w:color w:val="FFFFFF"/>
                <w:sz w:val="16"/>
                <w:szCs w:val="16"/>
              </w:rPr>
              <w:t>Nominated MW</w:t>
            </w:r>
          </w:p>
        </w:tc>
      </w:tr>
      <w:tr w:rsidR="002B1DFB" w:rsidRPr="0097157A" w:rsidTr="0097157A">
        <w:trPr>
          <w:trHeight w:val="396"/>
        </w:trPr>
        <w:tc>
          <w:tcPr>
            <w:tcW w:w="775" w:type="dxa"/>
            <w:vMerge w:val="restart"/>
            <w:tcBorders>
              <w:top w:val="nil"/>
              <w:left w:val="single" w:sz="4" w:space="0" w:color="auto"/>
              <w:bottom w:val="single" w:sz="4" w:space="0" w:color="000000"/>
              <w:right w:val="single" w:sz="4" w:space="0" w:color="auto"/>
            </w:tcBorders>
            <w:shd w:val="clear" w:color="auto" w:fill="auto"/>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CBP-DA 1-4 Hour</w:t>
            </w: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07/05/2011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40</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528.7</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206.3</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39.0%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21.1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8.3</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76.5</w:t>
            </w:r>
          </w:p>
        </w:tc>
        <w:tc>
          <w:tcPr>
            <w:tcW w:w="913" w:type="dxa"/>
            <w:tcBorders>
              <w:top w:val="single" w:sz="4" w:space="0" w:color="auto"/>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8.0</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08/26/2011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510.3</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197.6</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38.7%</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26.0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10.1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76.2</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8.0</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09/07/2011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50</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602.6</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280.8</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46.6%</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30.1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14.0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82.5</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7.6</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10/12/2011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50</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541.6</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266.5</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49.2%</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27.1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13.3</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83.7</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7.2</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10/13/2011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50</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503.1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223.9</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44.5%</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25.2</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11.2</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74.2</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7.2</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Average Event</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48</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537.5</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236.1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43.9%</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25.8</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11.3</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78.7</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7.6</w:t>
            </w:r>
          </w:p>
        </w:tc>
      </w:tr>
      <w:tr w:rsidR="0097157A" w:rsidRPr="0097157A" w:rsidTr="0097157A">
        <w:trPr>
          <w:trHeight w:val="396"/>
        </w:trPr>
        <w:tc>
          <w:tcPr>
            <w:tcW w:w="775" w:type="dxa"/>
            <w:vMerge w:val="restart"/>
            <w:tcBorders>
              <w:top w:val="nil"/>
              <w:left w:val="single" w:sz="4" w:space="0" w:color="auto"/>
              <w:bottom w:val="single" w:sz="4" w:space="0" w:color="000000"/>
              <w:right w:val="single" w:sz="4" w:space="0" w:color="auto"/>
            </w:tcBorders>
            <w:shd w:val="clear" w:color="auto" w:fill="auto"/>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CBP-DO 1-4 Hour</w:t>
            </w: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07/05/2011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247</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174.0</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29.6</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17.0%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43.0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7.3</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75.6</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8.9</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07/06/2011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247</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175.7</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30.9</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17.6%</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43.4</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7.6</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76.8</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8.9</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08/26/2011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236</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171.8</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30.2</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17.6%</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40.5</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75.3</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8.2</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09/07/2011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247</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192.0</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43.0</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22.4%</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47.4</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10.6</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83.0</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8.3</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09/09/2011*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247</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160.3</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23.1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14.4%</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39.6</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5.7</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64.2</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8.3</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10/12/2011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247</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174.1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26.2</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15.1%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43.0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6.5</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87.3</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8.4</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10/13/2011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247</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168.7</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23.8</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14.1%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41.7</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5.9</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74.8</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8.4</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Average Event</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245</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173.8</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29.5</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17.0%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42.6</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7.2</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76.7</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8.5</w:t>
            </w:r>
          </w:p>
        </w:tc>
      </w:tr>
      <w:tr w:rsidR="0097157A" w:rsidRPr="0097157A" w:rsidTr="0097157A">
        <w:trPr>
          <w:trHeight w:val="396"/>
        </w:trPr>
        <w:tc>
          <w:tcPr>
            <w:tcW w:w="775" w:type="dxa"/>
            <w:vMerge w:val="restart"/>
            <w:tcBorders>
              <w:top w:val="nil"/>
              <w:left w:val="single" w:sz="4" w:space="0" w:color="auto"/>
              <w:bottom w:val="single" w:sz="4" w:space="0" w:color="000000"/>
              <w:right w:val="single" w:sz="4" w:space="0" w:color="auto"/>
            </w:tcBorders>
            <w:shd w:val="clear" w:color="auto" w:fill="auto"/>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CBP-DO 2-6 Hour</w:t>
            </w: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07/05/2011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72</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292.9</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60.2</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20.5%</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21.1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4.3</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75.8</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2.6</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07/06/2011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72</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292.1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57.0</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19.5%</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21.0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76.9</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2.6</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08/26/2011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72</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293.5</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58.1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19.8%</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21.1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4.2</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75.6</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2.6</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09/07/2011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73</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309.9</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68.2</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22.0%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22.6</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83.2</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2.6</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09/09/2011*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73</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274.4</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55.2</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20.1%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20.0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64.3</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2.6</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10/12/2011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73</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286.3</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56.0</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19.6%</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20.9</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4.1</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87.6</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2.6</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10/13/2011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73</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280.4</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58.9</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21.0%</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20.5</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4.3</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75.1</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color w:val="000000"/>
                <w:sz w:val="16"/>
                <w:szCs w:val="16"/>
              </w:rPr>
            </w:pPr>
            <w:r w:rsidRPr="0097157A">
              <w:rPr>
                <w:rFonts w:ascii="Arial" w:eastAsia="Times New Roman" w:hAnsi="Arial" w:cs="Arial"/>
                <w:color w:val="000000"/>
                <w:sz w:val="16"/>
                <w:szCs w:val="16"/>
              </w:rPr>
              <w:t>2.6</w:t>
            </w:r>
          </w:p>
        </w:tc>
      </w:tr>
      <w:tr w:rsidR="0097157A" w:rsidRPr="0097157A" w:rsidTr="0097157A">
        <w:trPr>
          <w:trHeight w:val="396"/>
        </w:trPr>
        <w:tc>
          <w:tcPr>
            <w:tcW w:w="775" w:type="dxa"/>
            <w:vMerge/>
            <w:tcBorders>
              <w:top w:val="nil"/>
              <w:left w:val="single" w:sz="4" w:space="0" w:color="auto"/>
              <w:bottom w:val="single" w:sz="4" w:space="0" w:color="000000"/>
              <w:right w:val="single" w:sz="4" w:space="0" w:color="auto"/>
            </w:tcBorders>
            <w:tcMar>
              <w:left w:w="43" w:type="dxa"/>
              <w:right w:w="43" w:type="dxa"/>
            </w:tcMar>
            <w:vAlign w:val="center"/>
            <w:hideMark/>
          </w:tcPr>
          <w:p w:rsidR="0097157A" w:rsidRPr="0097157A" w:rsidRDefault="0097157A" w:rsidP="0097157A">
            <w:pPr>
              <w:spacing w:after="0" w:line="240" w:lineRule="auto"/>
              <w:rPr>
                <w:rFonts w:ascii="Arial" w:eastAsia="Times New Roman" w:hAnsi="Arial" w:cs="Arial"/>
                <w:color w:val="000000"/>
                <w:sz w:val="16"/>
                <w:szCs w:val="16"/>
              </w:rPr>
            </w:pPr>
          </w:p>
        </w:tc>
        <w:tc>
          <w:tcPr>
            <w:tcW w:w="139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Average Event</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73</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289.9</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59.1</w:t>
            </w:r>
          </w:p>
        </w:tc>
        <w:tc>
          <w:tcPr>
            <w:tcW w:w="90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20.4%</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21.2</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4.3</w:t>
            </w:r>
          </w:p>
        </w:tc>
        <w:tc>
          <w:tcPr>
            <w:tcW w:w="90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76.9</w:t>
            </w:r>
          </w:p>
        </w:tc>
        <w:tc>
          <w:tcPr>
            <w:tcW w:w="913"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97157A" w:rsidRPr="0097157A" w:rsidRDefault="0097157A" w:rsidP="0097157A">
            <w:pPr>
              <w:spacing w:after="0" w:line="240" w:lineRule="auto"/>
              <w:jc w:val="center"/>
              <w:rPr>
                <w:rFonts w:ascii="Arial" w:eastAsia="Times New Roman" w:hAnsi="Arial" w:cs="Arial"/>
                <w:b/>
                <w:bCs/>
                <w:color w:val="000000"/>
                <w:sz w:val="16"/>
                <w:szCs w:val="16"/>
              </w:rPr>
            </w:pPr>
            <w:r w:rsidRPr="0097157A">
              <w:rPr>
                <w:rFonts w:ascii="Arial" w:eastAsia="Times New Roman" w:hAnsi="Arial" w:cs="Arial"/>
                <w:b/>
                <w:bCs/>
                <w:color w:val="000000"/>
                <w:sz w:val="16"/>
                <w:szCs w:val="16"/>
              </w:rPr>
              <w:t>2.6</w:t>
            </w:r>
          </w:p>
        </w:tc>
      </w:tr>
      <w:tr w:rsidR="0097157A" w:rsidRPr="0097157A" w:rsidTr="0097157A">
        <w:trPr>
          <w:trHeight w:val="468"/>
        </w:trPr>
        <w:tc>
          <w:tcPr>
            <w:tcW w:w="9446" w:type="dxa"/>
            <w:gridSpan w:val="10"/>
            <w:tcBorders>
              <w:top w:val="single" w:sz="4" w:space="0" w:color="auto"/>
              <w:left w:val="nil"/>
              <w:bottom w:val="nil"/>
              <w:right w:val="nil"/>
            </w:tcBorders>
            <w:shd w:val="clear" w:color="auto" w:fill="auto"/>
            <w:tcMar>
              <w:left w:w="43" w:type="dxa"/>
              <w:right w:w="43" w:type="dxa"/>
            </w:tcMar>
            <w:vAlign w:val="bottom"/>
            <w:hideMark/>
          </w:tcPr>
          <w:p w:rsidR="00011137" w:rsidRDefault="0097157A">
            <w:pPr>
              <w:pStyle w:val="Footnote"/>
              <w:rPr>
                <w:rFonts w:eastAsia="Times New Roman"/>
              </w:rPr>
            </w:pPr>
            <w:r w:rsidRPr="0097157A">
              <w:rPr>
                <w:rFonts w:eastAsia="Times New Roman"/>
              </w:rPr>
              <w:t>* Due to the system outage (and thus, lack of data) on September 8, figures for September 9 were generated using the model specification without autoregressive terms (</w:t>
            </w:r>
            <w:r w:rsidR="001D5412" w:rsidRPr="001D5412">
              <w:rPr>
                <w:i/>
              </w:rPr>
              <w:t>i.e.</w:t>
            </w:r>
            <w:r w:rsidRPr="0097157A">
              <w:rPr>
                <w:rFonts w:eastAsia="Times New Roman"/>
              </w:rPr>
              <w:t xml:space="preserve">, </w:t>
            </w:r>
            <w:proofErr w:type="spellStart"/>
            <w:r w:rsidRPr="0097157A">
              <w:rPr>
                <w:rFonts w:eastAsia="Times New Roman"/>
                <w:i/>
                <w:iCs/>
              </w:rPr>
              <w:t>twoweekavg</w:t>
            </w:r>
            <w:proofErr w:type="spellEnd"/>
            <w:r w:rsidRPr="0097157A">
              <w:rPr>
                <w:rFonts w:eastAsia="Times New Roman"/>
              </w:rPr>
              <w:t xml:space="preserve"> and </w:t>
            </w:r>
            <w:proofErr w:type="spellStart"/>
            <w:r w:rsidRPr="0097157A">
              <w:rPr>
                <w:rFonts w:eastAsia="Times New Roman"/>
                <w:i/>
                <w:iCs/>
              </w:rPr>
              <w:t>morningload</w:t>
            </w:r>
            <w:proofErr w:type="spellEnd"/>
            <w:r w:rsidRPr="0097157A">
              <w:rPr>
                <w:rFonts w:eastAsia="Times New Roman"/>
              </w:rPr>
              <w:t>).</w:t>
            </w:r>
          </w:p>
        </w:tc>
      </w:tr>
    </w:tbl>
    <w:p w:rsidR="006D5226" w:rsidRPr="00050374" w:rsidRDefault="00345F96" w:rsidP="00BA25E2">
      <w:pPr>
        <w:pStyle w:val="Heading3"/>
      </w:pPr>
      <w:bookmarkStart w:id="317" w:name="_Toc318806367"/>
      <w:bookmarkStart w:id="318" w:name="_Toc318806390"/>
      <w:bookmarkStart w:id="319" w:name="_Toc318806401"/>
      <w:bookmarkStart w:id="320" w:name="_Toc318806412"/>
      <w:bookmarkStart w:id="321" w:name="_Toc318806423"/>
      <w:bookmarkStart w:id="322" w:name="_Toc318806434"/>
      <w:bookmarkStart w:id="323" w:name="_Toc318806456"/>
      <w:bookmarkStart w:id="324" w:name="_Toc318806467"/>
      <w:bookmarkStart w:id="325" w:name="_Toc318806478"/>
      <w:bookmarkStart w:id="326" w:name="_Toc318806489"/>
      <w:bookmarkStart w:id="327" w:name="_Toc318806500"/>
      <w:bookmarkStart w:id="328" w:name="_Toc318806511"/>
      <w:bookmarkStart w:id="329" w:name="_Toc318806522"/>
      <w:bookmarkStart w:id="330" w:name="_Toc318806544"/>
      <w:bookmarkStart w:id="331" w:name="_Toc318806555"/>
      <w:bookmarkStart w:id="332" w:name="_Toc318806566"/>
      <w:bookmarkStart w:id="333" w:name="_Toc318806577"/>
      <w:bookmarkStart w:id="334" w:name="_Toc318806588"/>
      <w:bookmarkStart w:id="335" w:name="_Toc318806599"/>
      <w:bookmarkStart w:id="336" w:name="_Toc318806610"/>
      <w:bookmarkStart w:id="337" w:name="_Toc318806621"/>
      <w:bookmarkStart w:id="338" w:name="_Toc318806622"/>
      <w:bookmarkStart w:id="339" w:name="_Toc318806643"/>
      <w:bookmarkStart w:id="340" w:name="_Toc318806653"/>
      <w:bookmarkStart w:id="341" w:name="_Toc318806663"/>
      <w:bookmarkStart w:id="342" w:name="_Toc318806673"/>
      <w:bookmarkStart w:id="343" w:name="_Toc318806683"/>
      <w:bookmarkStart w:id="344" w:name="_Toc318806703"/>
      <w:bookmarkStart w:id="345" w:name="_Toc318806713"/>
      <w:bookmarkStart w:id="346" w:name="_Toc318806723"/>
      <w:bookmarkStart w:id="347" w:name="_Toc318806733"/>
      <w:bookmarkStart w:id="348" w:name="_Toc318806743"/>
      <w:bookmarkStart w:id="349" w:name="_Toc318806753"/>
      <w:bookmarkStart w:id="350" w:name="_Toc318806763"/>
      <w:bookmarkStart w:id="351" w:name="_Toc326074034"/>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r w:rsidRPr="00345F96">
        <w:lastRenderedPageBreak/>
        <w:t xml:space="preserve">CBP </w:t>
      </w:r>
      <w:bookmarkStart w:id="352" w:name="_Toc318806773"/>
      <w:bookmarkStart w:id="353" w:name="_Toc318806774"/>
      <w:bookmarkStart w:id="354" w:name="_Toc318806775"/>
      <w:bookmarkStart w:id="355" w:name="_Toc318806776"/>
      <w:bookmarkStart w:id="356" w:name="_Toc318806777"/>
      <w:bookmarkEnd w:id="352"/>
      <w:bookmarkEnd w:id="353"/>
      <w:bookmarkEnd w:id="354"/>
      <w:bookmarkEnd w:id="355"/>
      <w:bookmarkEnd w:id="356"/>
      <w:r w:rsidRPr="00345F96">
        <w:t>Demand</w:t>
      </w:r>
      <w:r w:rsidR="006D5226" w:rsidRPr="00050374">
        <w:t xml:space="preserve"> Reductions by Industry</w:t>
      </w:r>
      <w:bookmarkEnd w:id="351"/>
    </w:p>
    <w:p w:rsidR="006D5226" w:rsidRPr="00050374" w:rsidRDefault="006D5226" w:rsidP="006D5226">
      <w:pPr>
        <w:pStyle w:val="BodyParagraph"/>
        <w:keepNext/>
      </w:pPr>
      <w:r w:rsidRPr="00050374">
        <w:t xml:space="preserve">Table </w:t>
      </w:r>
      <w:r w:rsidR="00A52143">
        <w:t>6</w:t>
      </w:r>
      <w:r w:rsidRPr="00050374">
        <w:t xml:space="preserve">-3 shows </w:t>
      </w:r>
      <w:r w:rsidR="007B49B6">
        <w:t xml:space="preserve">the estimated </w:t>
      </w:r>
      <w:r w:rsidRPr="00050374">
        <w:t xml:space="preserve">load impacts by industry.  Although </w:t>
      </w:r>
      <w:r w:rsidR="00F95446">
        <w:t>day-ahead</w:t>
      </w:r>
      <w:r w:rsidRPr="00050374">
        <w:t xml:space="preserve"> accounts are distributed across several segments, </w:t>
      </w:r>
      <w:r w:rsidR="007B49B6">
        <w:t xml:space="preserve">this </w:t>
      </w:r>
      <w:r w:rsidRPr="00050374">
        <w:t>resource</w:t>
      </w:r>
      <w:r w:rsidR="007B49B6">
        <w:t xml:space="preserve"> is concentrated among f</w:t>
      </w:r>
      <w:r w:rsidRPr="00050374">
        <w:t xml:space="preserve">our large Manufacturing </w:t>
      </w:r>
      <w:r w:rsidR="00EB4CC2">
        <w:t>customers who shed on average 90</w:t>
      </w:r>
      <w:r w:rsidRPr="00050374">
        <w:t>% of their l</w:t>
      </w:r>
      <w:r w:rsidR="008C2F44">
        <w:t xml:space="preserve">oads; this group accounts for </w:t>
      </w:r>
      <w:r w:rsidR="00BF409D">
        <w:t>8</w:t>
      </w:r>
      <w:r w:rsidRPr="00050374">
        <w:t>% of the custom</w:t>
      </w:r>
      <w:r w:rsidR="008C2F44">
        <w:t>ers, 4</w:t>
      </w:r>
      <w:r w:rsidR="002D0E81">
        <w:t>2</w:t>
      </w:r>
      <w:r w:rsidRPr="00050374">
        <w:t>% of the</w:t>
      </w:r>
      <w:r w:rsidR="008C2F44">
        <w:t xml:space="preserve"> event day reference load and </w:t>
      </w:r>
      <w:r w:rsidR="00BF409D">
        <w:t>84</w:t>
      </w:r>
      <w:r w:rsidRPr="00050374">
        <w:t xml:space="preserve">% of the </w:t>
      </w:r>
      <w:r w:rsidR="007B49B6">
        <w:t xml:space="preserve">load </w:t>
      </w:r>
      <w:r w:rsidRPr="00050374">
        <w:t xml:space="preserve">impacts.  In contrast, resources with </w:t>
      </w:r>
      <w:r w:rsidR="00F95446">
        <w:t>same-day notification</w:t>
      </w:r>
      <w:r w:rsidRPr="00050374">
        <w:t xml:space="preserve"> come primarily from small</w:t>
      </w:r>
      <w:r w:rsidR="008C2F44">
        <w:t>er</w:t>
      </w:r>
      <w:r w:rsidRPr="00050374">
        <w:t xml:space="preserve"> customers in the Retail stores segment, which a</w:t>
      </w:r>
      <w:r w:rsidR="008C2F44">
        <w:t>ccounts for 70% of customers, 73</w:t>
      </w:r>
      <w:r w:rsidRPr="00050374">
        <w:t>% of</w:t>
      </w:r>
      <w:r w:rsidR="00EB4CC2">
        <w:t xml:space="preserve"> event day reference load and 67</w:t>
      </w:r>
      <w:r w:rsidRPr="00050374">
        <w:t xml:space="preserve">% of impacts.  </w:t>
      </w:r>
    </w:p>
    <w:p w:rsidR="006D5226" w:rsidRDefault="006D5226" w:rsidP="00BA25E2">
      <w:pPr>
        <w:pStyle w:val="TableFigureCaption"/>
        <w:rPr>
          <w:rStyle w:val="Strong"/>
          <w:b/>
        </w:rPr>
      </w:pPr>
      <w:r w:rsidRPr="00050374">
        <w:rPr>
          <w:rStyle w:val="Strong"/>
          <w:b/>
        </w:rPr>
        <w:t xml:space="preserve">Table </w:t>
      </w:r>
      <w:r w:rsidR="00A52143">
        <w:rPr>
          <w:rStyle w:val="Strong"/>
          <w:b/>
        </w:rPr>
        <w:t>6</w:t>
      </w:r>
      <w:r w:rsidRPr="00050374">
        <w:rPr>
          <w:rStyle w:val="Strong"/>
          <w:b/>
        </w:rPr>
        <w:t>-3:</w:t>
      </w:r>
      <w:r w:rsidR="00877CA8">
        <w:rPr>
          <w:rStyle w:val="Strong"/>
          <w:b/>
        </w:rPr>
        <w:t xml:space="preserve"> </w:t>
      </w:r>
      <w:r w:rsidR="00AD683A">
        <w:rPr>
          <w:rStyle w:val="Strong"/>
          <w:b/>
        </w:rPr>
        <w:t xml:space="preserve">Estimated Ex </w:t>
      </w:r>
      <w:r w:rsidRPr="00050374">
        <w:rPr>
          <w:rStyle w:val="Strong"/>
          <w:b/>
        </w:rPr>
        <w:t>Post Load Impacts by Industry</w:t>
      </w:r>
      <w:r w:rsidRPr="00050374">
        <w:rPr>
          <w:rStyle w:val="Strong"/>
          <w:b/>
        </w:rPr>
        <w:br/>
        <w:t>Average 2011 SDG&amp;E CBP Event</w:t>
      </w:r>
    </w:p>
    <w:tbl>
      <w:tblPr>
        <w:tblW w:w="0" w:type="auto"/>
        <w:tblLayout w:type="fixed"/>
        <w:tblLook w:val="04A0"/>
      </w:tblPr>
      <w:tblGrid>
        <w:gridCol w:w="762"/>
        <w:gridCol w:w="2736"/>
        <w:gridCol w:w="816"/>
        <w:gridCol w:w="860"/>
        <w:gridCol w:w="869"/>
        <w:gridCol w:w="869"/>
        <w:gridCol w:w="878"/>
        <w:gridCol w:w="878"/>
        <w:gridCol w:w="778"/>
      </w:tblGrid>
      <w:tr w:rsidR="002B1DFB" w:rsidRPr="0072606B" w:rsidTr="006B7BA6">
        <w:trPr>
          <w:trHeight w:val="816"/>
        </w:trPr>
        <w:tc>
          <w:tcPr>
            <w:tcW w:w="762" w:type="dxa"/>
            <w:tcBorders>
              <w:top w:val="single" w:sz="4" w:space="0" w:color="auto"/>
              <w:left w:val="single" w:sz="4" w:space="0" w:color="auto"/>
              <w:bottom w:val="single" w:sz="4" w:space="0" w:color="auto"/>
              <w:right w:val="single" w:sz="4" w:space="0" w:color="FFFFFF"/>
            </w:tcBorders>
            <w:shd w:val="clear" w:color="000000" w:fill="1F497D" w:themeFill="text2"/>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FFFFFF"/>
                <w:sz w:val="16"/>
                <w:szCs w:val="16"/>
              </w:rPr>
            </w:pPr>
            <w:r w:rsidRPr="0072606B">
              <w:rPr>
                <w:rFonts w:ascii="Arial" w:eastAsia="Times New Roman" w:hAnsi="Arial" w:cs="Arial"/>
                <w:b/>
                <w:bCs/>
                <w:color w:val="FFFFFF"/>
                <w:sz w:val="16"/>
                <w:szCs w:val="16"/>
              </w:rPr>
              <w:t>Program</w:t>
            </w:r>
          </w:p>
        </w:tc>
        <w:tc>
          <w:tcPr>
            <w:tcW w:w="2736"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FFFFFF"/>
                <w:sz w:val="16"/>
                <w:szCs w:val="16"/>
              </w:rPr>
            </w:pPr>
            <w:r w:rsidRPr="0072606B">
              <w:rPr>
                <w:rFonts w:ascii="Arial" w:eastAsia="Times New Roman" w:hAnsi="Arial" w:cs="Arial"/>
                <w:b/>
                <w:bCs/>
                <w:color w:val="FFFFFF"/>
                <w:sz w:val="16"/>
                <w:szCs w:val="16"/>
              </w:rPr>
              <w:t>Industry</w:t>
            </w:r>
          </w:p>
        </w:tc>
        <w:tc>
          <w:tcPr>
            <w:tcW w:w="816"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FFFFFF"/>
                <w:sz w:val="16"/>
                <w:szCs w:val="16"/>
              </w:rPr>
            </w:pPr>
            <w:r w:rsidRPr="0072606B">
              <w:rPr>
                <w:rFonts w:ascii="Arial" w:eastAsia="Times New Roman" w:hAnsi="Arial" w:cs="Arial"/>
                <w:b/>
                <w:bCs/>
                <w:color w:val="FFFFFF"/>
                <w:sz w:val="16"/>
                <w:szCs w:val="16"/>
              </w:rPr>
              <w:t>Acc</w:t>
            </w:r>
            <w:r w:rsidR="007B49B6">
              <w:rPr>
                <w:rFonts w:ascii="Arial" w:eastAsia="Times New Roman" w:hAnsi="Arial" w:cs="Arial"/>
                <w:b/>
                <w:bCs/>
                <w:color w:val="FFFFFF"/>
                <w:sz w:val="16"/>
                <w:szCs w:val="16"/>
              </w:rPr>
              <w:t>oun</w:t>
            </w:r>
            <w:r w:rsidRPr="0072606B">
              <w:rPr>
                <w:rFonts w:ascii="Arial" w:eastAsia="Times New Roman" w:hAnsi="Arial" w:cs="Arial"/>
                <w:b/>
                <w:bCs/>
                <w:color w:val="FFFFFF"/>
                <w:sz w:val="16"/>
                <w:szCs w:val="16"/>
              </w:rPr>
              <w:t>ts</w:t>
            </w:r>
          </w:p>
        </w:tc>
        <w:tc>
          <w:tcPr>
            <w:tcW w:w="860"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A73F2B" w:rsidRDefault="0072606B">
            <w:pPr>
              <w:spacing w:after="0" w:line="240" w:lineRule="auto"/>
              <w:jc w:val="center"/>
              <w:rPr>
                <w:rFonts w:ascii="Arial" w:eastAsia="Times New Roman" w:hAnsi="Arial" w:cs="Arial"/>
                <w:b/>
                <w:bCs/>
                <w:color w:val="FFFFFF"/>
                <w:sz w:val="16"/>
                <w:szCs w:val="16"/>
              </w:rPr>
            </w:pPr>
            <w:r w:rsidRPr="0072606B">
              <w:rPr>
                <w:rFonts w:ascii="Arial" w:eastAsia="Times New Roman" w:hAnsi="Arial" w:cs="Arial"/>
                <w:b/>
                <w:bCs/>
                <w:color w:val="FFFFFF"/>
                <w:sz w:val="16"/>
                <w:szCs w:val="16"/>
              </w:rPr>
              <w:t>Av</w:t>
            </w:r>
            <w:r w:rsidR="007B49B6">
              <w:rPr>
                <w:rFonts w:ascii="Arial" w:eastAsia="Times New Roman" w:hAnsi="Arial" w:cs="Arial"/>
                <w:b/>
                <w:bCs/>
                <w:color w:val="FFFFFF"/>
                <w:sz w:val="16"/>
                <w:szCs w:val="16"/>
              </w:rPr>
              <w:t>era</w:t>
            </w:r>
            <w:r w:rsidRPr="0072606B">
              <w:rPr>
                <w:rFonts w:ascii="Arial" w:eastAsia="Times New Roman" w:hAnsi="Arial" w:cs="Arial"/>
                <w:b/>
                <w:bCs/>
                <w:color w:val="FFFFFF"/>
                <w:sz w:val="16"/>
                <w:szCs w:val="16"/>
              </w:rPr>
              <w:t>g</w:t>
            </w:r>
            <w:r w:rsidR="007B49B6">
              <w:rPr>
                <w:rFonts w:ascii="Arial" w:eastAsia="Times New Roman" w:hAnsi="Arial" w:cs="Arial"/>
                <w:b/>
                <w:bCs/>
                <w:color w:val="FFFFFF"/>
                <w:sz w:val="16"/>
                <w:szCs w:val="16"/>
              </w:rPr>
              <w:t>e</w:t>
            </w:r>
            <w:r w:rsidRPr="0072606B">
              <w:rPr>
                <w:rFonts w:ascii="Arial" w:eastAsia="Times New Roman" w:hAnsi="Arial" w:cs="Arial"/>
                <w:b/>
                <w:bCs/>
                <w:color w:val="FFFFFF"/>
                <w:sz w:val="16"/>
                <w:szCs w:val="16"/>
              </w:rPr>
              <w:t xml:space="preserve"> Reference Load </w:t>
            </w:r>
          </w:p>
          <w:p w:rsidR="00A73F2B" w:rsidRDefault="0072606B">
            <w:pPr>
              <w:spacing w:after="0" w:line="240" w:lineRule="auto"/>
              <w:jc w:val="center"/>
              <w:rPr>
                <w:rFonts w:ascii="Arial" w:eastAsia="Times New Roman" w:hAnsi="Arial" w:cs="Arial"/>
                <w:b/>
                <w:bCs/>
                <w:color w:val="FFFFFF"/>
                <w:sz w:val="16"/>
                <w:szCs w:val="16"/>
              </w:rPr>
            </w:pPr>
            <w:r w:rsidRPr="0072606B">
              <w:rPr>
                <w:rFonts w:ascii="Arial" w:eastAsia="Times New Roman" w:hAnsi="Arial" w:cs="Arial"/>
                <w:b/>
                <w:bCs/>
                <w:color w:val="FFFFFF"/>
                <w:sz w:val="16"/>
                <w:szCs w:val="16"/>
              </w:rPr>
              <w:t>(kW)</w:t>
            </w:r>
          </w:p>
        </w:tc>
        <w:tc>
          <w:tcPr>
            <w:tcW w:w="869"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FFFFFF"/>
                <w:sz w:val="16"/>
                <w:szCs w:val="16"/>
              </w:rPr>
            </w:pPr>
            <w:r w:rsidRPr="0072606B">
              <w:rPr>
                <w:rFonts w:ascii="Arial" w:eastAsia="Times New Roman" w:hAnsi="Arial" w:cs="Arial"/>
                <w:b/>
                <w:bCs/>
                <w:color w:val="FFFFFF"/>
                <w:sz w:val="16"/>
                <w:szCs w:val="16"/>
              </w:rPr>
              <w:t>Average Load Reduction (kW)</w:t>
            </w:r>
          </w:p>
        </w:tc>
        <w:tc>
          <w:tcPr>
            <w:tcW w:w="869"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FFFFFF"/>
                <w:sz w:val="16"/>
                <w:szCs w:val="16"/>
              </w:rPr>
            </w:pPr>
            <w:r w:rsidRPr="0072606B">
              <w:rPr>
                <w:rFonts w:ascii="Arial" w:eastAsia="Times New Roman" w:hAnsi="Arial" w:cs="Arial"/>
                <w:b/>
                <w:bCs/>
                <w:color w:val="FFFFFF"/>
                <w:sz w:val="16"/>
                <w:szCs w:val="16"/>
              </w:rPr>
              <w:t>% Load Reduction</w:t>
            </w:r>
          </w:p>
        </w:tc>
        <w:tc>
          <w:tcPr>
            <w:tcW w:w="878"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FFFFFF"/>
                <w:sz w:val="16"/>
                <w:szCs w:val="16"/>
              </w:rPr>
            </w:pPr>
            <w:r w:rsidRPr="0072606B">
              <w:rPr>
                <w:rFonts w:ascii="Arial" w:eastAsia="Times New Roman" w:hAnsi="Arial" w:cs="Arial"/>
                <w:b/>
                <w:bCs/>
                <w:color w:val="FFFFFF"/>
                <w:sz w:val="16"/>
                <w:szCs w:val="16"/>
              </w:rPr>
              <w:t>Aggregate Reference Load (MW)</w:t>
            </w:r>
          </w:p>
        </w:tc>
        <w:tc>
          <w:tcPr>
            <w:tcW w:w="878" w:type="dxa"/>
            <w:tcBorders>
              <w:top w:val="single" w:sz="4" w:space="0" w:color="auto"/>
              <w:left w:val="nil"/>
              <w:bottom w:val="single" w:sz="4" w:space="0" w:color="auto"/>
              <w:right w:val="single" w:sz="4" w:space="0" w:color="FFFFFF"/>
            </w:tcBorders>
            <w:shd w:val="clear" w:color="000000" w:fill="1F497D" w:themeFill="text2"/>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FFFFFF"/>
                <w:sz w:val="16"/>
                <w:szCs w:val="16"/>
              </w:rPr>
            </w:pPr>
            <w:r w:rsidRPr="0072606B">
              <w:rPr>
                <w:rFonts w:ascii="Arial" w:eastAsia="Times New Roman" w:hAnsi="Arial" w:cs="Arial"/>
                <w:b/>
                <w:bCs/>
                <w:color w:val="FFFFFF"/>
                <w:sz w:val="16"/>
                <w:szCs w:val="16"/>
              </w:rPr>
              <w:t>Aggregate Load Impact (MW)</w:t>
            </w:r>
          </w:p>
        </w:tc>
        <w:tc>
          <w:tcPr>
            <w:tcW w:w="778" w:type="dxa"/>
            <w:tcBorders>
              <w:top w:val="single" w:sz="4" w:space="0" w:color="auto"/>
              <w:left w:val="nil"/>
              <w:bottom w:val="single" w:sz="4" w:space="0" w:color="auto"/>
              <w:right w:val="single" w:sz="4" w:space="0" w:color="auto"/>
            </w:tcBorders>
            <w:shd w:val="clear" w:color="000000" w:fill="1F497D" w:themeFill="text2"/>
            <w:tcMar>
              <w:left w:w="43" w:type="dxa"/>
              <w:right w:w="43" w:type="dxa"/>
            </w:tcMar>
            <w:vAlign w:val="center"/>
            <w:hideMark/>
          </w:tcPr>
          <w:p w:rsidR="00A73F2B" w:rsidRDefault="0072606B">
            <w:pPr>
              <w:spacing w:after="0" w:line="240" w:lineRule="auto"/>
              <w:jc w:val="center"/>
              <w:rPr>
                <w:rFonts w:ascii="Arial" w:eastAsia="Times New Roman" w:hAnsi="Arial" w:cs="Arial"/>
                <w:b/>
                <w:bCs/>
                <w:color w:val="FFFFFF"/>
                <w:sz w:val="16"/>
                <w:szCs w:val="16"/>
              </w:rPr>
            </w:pPr>
            <w:r w:rsidRPr="0072606B">
              <w:rPr>
                <w:rFonts w:ascii="Arial" w:eastAsia="Times New Roman" w:hAnsi="Arial" w:cs="Arial"/>
                <w:b/>
                <w:bCs/>
                <w:color w:val="FFFFFF"/>
                <w:sz w:val="16"/>
                <w:szCs w:val="16"/>
              </w:rPr>
              <w:t>Av</w:t>
            </w:r>
            <w:r w:rsidR="007B49B6">
              <w:rPr>
                <w:rFonts w:ascii="Arial" w:eastAsia="Times New Roman" w:hAnsi="Arial" w:cs="Arial"/>
                <w:b/>
                <w:bCs/>
                <w:color w:val="FFFFFF"/>
                <w:sz w:val="16"/>
                <w:szCs w:val="16"/>
              </w:rPr>
              <w:t>era</w:t>
            </w:r>
            <w:r w:rsidRPr="0072606B">
              <w:rPr>
                <w:rFonts w:ascii="Arial" w:eastAsia="Times New Roman" w:hAnsi="Arial" w:cs="Arial"/>
                <w:b/>
                <w:bCs/>
                <w:color w:val="FFFFFF"/>
                <w:sz w:val="16"/>
                <w:szCs w:val="16"/>
              </w:rPr>
              <w:t>g</w:t>
            </w:r>
            <w:r w:rsidR="007B49B6">
              <w:rPr>
                <w:rFonts w:ascii="Arial" w:eastAsia="Times New Roman" w:hAnsi="Arial" w:cs="Arial"/>
                <w:b/>
                <w:bCs/>
                <w:color w:val="FFFFFF"/>
                <w:sz w:val="16"/>
                <w:szCs w:val="16"/>
              </w:rPr>
              <w:t>e</w:t>
            </w:r>
            <w:r w:rsidRPr="0072606B">
              <w:rPr>
                <w:rFonts w:ascii="Arial" w:eastAsia="Times New Roman" w:hAnsi="Arial" w:cs="Arial"/>
                <w:b/>
                <w:bCs/>
                <w:color w:val="FFFFFF"/>
                <w:sz w:val="16"/>
                <w:szCs w:val="16"/>
              </w:rPr>
              <w:t xml:space="preserve"> Temp</w:t>
            </w:r>
            <w:r w:rsidR="007B49B6">
              <w:rPr>
                <w:rFonts w:ascii="Arial" w:eastAsia="Times New Roman" w:hAnsi="Arial" w:cs="Arial"/>
                <w:b/>
                <w:bCs/>
                <w:color w:val="FFFFFF"/>
                <w:sz w:val="16"/>
                <w:szCs w:val="16"/>
              </w:rPr>
              <w:t>.</w:t>
            </w:r>
            <w:r w:rsidRPr="0072606B">
              <w:rPr>
                <w:rFonts w:ascii="Arial" w:eastAsia="Times New Roman" w:hAnsi="Arial" w:cs="Arial"/>
                <w:b/>
                <w:bCs/>
                <w:color w:val="FFFFFF"/>
                <w:sz w:val="16"/>
                <w:szCs w:val="16"/>
              </w:rPr>
              <w:t xml:space="preserve"> During Event</w:t>
            </w:r>
          </w:p>
        </w:tc>
      </w:tr>
      <w:tr w:rsidR="0072606B" w:rsidRPr="0072606B" w:rsidTr="006B7BA6">
        <w:trPr>
          <w:trHeight w:val="396"/>
        </w:trPr>
        <w:tc>
          <w:tcPr>
            <w:tcW w:w="762" w:type="dxa"/>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CBP-DA</w:t>
            </w: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000000"/>
                <w:sz w:val="16"/>
                <w:szCs w:val="16"/>
              </w:rPr>
            </w:pPr>
            <w:r w:rsidRPr="0072606B">
              <w:rPr>
                <w:rFonts w:ascii="Arial" w:eastAsia="Times New Roman" w:hAnsi="Arial" w:cs="Arial"/>
                <w:b/>
                <w:bCs/>
                <w:color w:val="000000"/>
                <w:sz w:val="16"/>
                <w:szCs w:val="16"/>
              </w:rPr>
              <w:t>All Customers</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000000"/>
                <w:sz w:val="16"/>
                <w:szCs w:val="16"/>
              </w:rPr>
            </w:pPr>
            <w:r w:rsidRPr="0072606B">
              <w:rPr>
                <w:rFonts w:ascii="Arial" w:eastAsia="Times New Roman" w:hAnsi="Arial" w:cs="Arial"/>
                <w:b/>
                <w:bCs/>
                <w:color w:val="000000"/>
                <w:sz w:val="16"/>
                <w:szCs w:val="16"/>
              </w:rPr>
              <w:t>48</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000000"/>
                <w:sz w:val="16"/>
                <w:szCs w:val="16"/>
              </w:rPr>
            </w:pPr>
            <w:r w:rsidRPr="0072606B">
              <w:rPr>
                <w:rFonts w:ascii="Arial" w:eastAsia="Times New Roman" w:hAnsi="Arial" w:cs="Arial"/>
                <w:b/>
                <w:bCs/>
                <w:color w:val="000000"/>
                <w:sz w:val="16"/>
                <w:szCs w:val="16"/>
              </w:rPr>
              <w:t>537.5</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000000"/>
                <w:sz w:val="16"/>
                <w:szCs w:val="16"/>
              </w:rPr>
            </w:pPr>
            <w:r w:rsidRPr="0072606B">
              <w:rPr>
                <w:rFonts w:ascii="Arial" w:eastAsia="Times New Roman" w:hAnsi="Arial" w:cs="Arial"/>
                <w:b/>
                <w:bCs/>
                <w:color w:val="000000"/>
                <w:sz w:val="16"/>
                <w:szCs w:val="16"/>
              </w:rPr>
              <w:t>236.1</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000000"/>
                <w:sz w:val="16"/>
                <w:szCs w:val="16"/>
              </w:rPr>
            </w:pPr>
            <w:r w:rsidRPr="0072606B">
              <w:rPr>
                <w:rFonts w:ascii="Arial" w:eastAsia="Times New Roman" w:hAnsi="Arial" w:cs="Arial"/>
                <w:b/>
                <w:bCs/>
                <w:color w:val="000000"/>
                <w:sz w:val="16"/>
                <w:szCs w:val="16"/>
              </w:rPr>
              <w:t>43.9%</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000000"/>
                <w:sz w:val="16"/>
                <w:szCs w:val="16"/>
              </w:rPr>
            </w:pPr>
            <w:r w:rsidRPr="0072606B">
              <w:rPr>
                <w:rFonts w:ascii="Arial" w:eastAsia="Times New Roman" w:hAnsi="Arial" w:cs="Arial"/>
                <w:b/>
                <w:bCs/>
                <w:color w:val="000000"/>
                <w:sz w:val="16"/>
                <w:szCs w:val="16"/>
              </w:rPr>
              <w:t>25.8</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000000"/>
                <w:sz w:val="16"/>
                <w:szCs w:val="16"/>
              </w:rPr>
            </w:pPr>
            <w:r w:rsidRPr="0072606B">
              <w:rPr>
                <w:rFonts w:ascii="Arial" w:eastAsia="Times New Roman" w:hAnsi="Arial" w:cs="Arial"/>
                <w:b/>
                <w:bCs/>
                <w:color w:val="000000"/>
                <w:sz w:val="16"/>
                <w:szCs w:val="16"/>
              </w:rPr>
              <w:t>11.3</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b/>
                <w:bCs/>
                <w:color w:val="000000"/>
                <w:sz w:val="16"/>
                <w:szCs w:val="16"/>
              </w:rPr>
            </w:pPr>
            <w:r w:rsidRPr="0072606B">
              <w:rPr>
                <w:rFonts w:ascii="Arial" w:eastAsia="Times New Roman" w:hAnsi="Arial" w:cs="Arial"/>
                <w:b/>
                <w:bCs/>
                <w:color w:val="000000"/>
                <w:sz w:val="16"/>
                <w:szCs w:val="16"/>
              </w:rPr>
              <w:t>78.7</w:t>
            </w:r>
          </w:p>
        </w:tc>
      </w:tr>
      <w:tr w:rsidR="0072606B"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Institutional/Government</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3</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207.4</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87.5</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42.2%</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0.6</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0.3</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81.0</w:t>
            </w:r>
          </w:p>
        </w:tc>
      </w:tr>
      <w:tr w:rsidR="0072606B"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Manufacturing</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4</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2669.3</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2389.8</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89.5%</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10.7</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9.6</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79.5</w:t>
            </w:r>
          </w:p>
        </w:tc>
      </w:tr>
      <w:tr w:rsidR="0072606B"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Offices, Finance, Services</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29</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352.5</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27.9</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7.9%</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10.2</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0.8</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77.9</w:t>
            </w:r>
          </w:p>
        </w:tc>
      </w:tr>
      <w:tr w:rsidR="0072606B"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Retail stores</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11</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379.8</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37.5</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9.9%</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4.2</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0.4</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79.6</w:t>
            </w:r>
          </w:p>
        </w:tc>
      </w:tr>
      <w:tr w:rsidR="0072606B"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Water Districts</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2</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226.5</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218.9</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96.6%</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0.5</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0.4</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72606B" w:rsidRPr="0072606B" w:rsidRDefault="0072606B"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80.2</w:t>
            </w:r>
          </w:p>
        </w:tc>
      </w:tr>
      <w:tr w:rsidR="0014415F" w:rsidRPr="0072606B" w:rsidTr="006B7BA6">
        <w:trPr>
          <w:trHeight w:val="396"/>
        </w:trPr>
        <w:tc>
          <w:tcPr>
            <w:tcW w:w="762" w:type="dxa"/>
            <w:vMerge w:val="restart"/>
            <w:tcBorders>
              <w:top w:val="nil"/>
              <w:left w:val="single" w:sz="4" w:space="0" w:color="auto"/>
              <w:bottom w:val="single" w:sz="4" w:space="0" w:color="auto"/>
              <w:right w:val="single" w:sz="4" w:space="0" w:color="auto"/>
            </w:tcBorders>
            <w:shd w:val="clear" w:color="auto" w:fill="auto"/>
            <w:tcMar>
              <w:left w:w="43" w:type="dxa"/>
              <w:right w:w="43" w:type="dxa"/>
            </w:tcMar>
            <w:vAlign w:val="center"/>
            <w:hideMark/>
          </w:tcPr>
          <w:p w:rsidR="0014415F" w:rsidRPr="0072606B" w:rsidRDefault="0014415F" w:rsidP="006B7BA6">
            <w:pPr>
              <w:spacing w:after="0" w:line="240" w:lineRule="auto"/>
              <w:jc w:val="center"/>
              <w:rPr>
                <w:rFonts w:ascii="Arial" w:eastAsia="Times New Roman" w:hAnsi="Arial" w:cs="Arial"/>
                <w:color w:val="000000"/>
                <w:sz w:val="16"/>
                <w:szCs w:val="16"/>
              </w:rPr>
            </w:pPr>
            <w:r w:rsidRPr="0072606B">
              <w:rPr>
                <w:rFonts w:ascii="Arial" w:eastAsia="Times New Roman" w:hAnsi="Arial" w:cs="Arial"/>
                <w:color w:val="000000"/>
                <w:sz w:val="16"/>
                <w:szCs w:val="16"/>
              </w:rPr>
              <w:t>CBP-DO</w:t>
            </w: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F74E7B" w:rsidRDefault="0014415F" w:rsidP="0014415F">
            <w:pPr>
              <w:pStyle w:val="TableText"/>
              <w:rPr>
                <w:b/>
                <w:sz w:val="16"/>
                <w:szCs w:val="16"/>
              </w:rPr>
            </w:pPr>
            <w:r w:rsidRPr="00F74E7B">
              <w:rPr>
                <w:b/>
                <w:sz w:val="16"/>
                <w:szCs w:val="16"/>
              </w:rPr>
              <w:t xml:space="preserve"> All Customers</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F74E7B" w:rsidRDefault="0014415F" w:rsidP="0014415F">
            <w:pPr>
              <w:pStyle w:val="TableText"/>
              <w:rPr>
                <w:b/>
                <w:sz w:val="16"/>
                <w:szCs w:val="16"/>
              </w:rPr>
            </w:pPr>
            <w:r w:rsidRPr="00F74E7B">
              <w:rPr>
                <w:b/>
                <w:sz w:val="16"/>
                <w:szCs w:val="16"/>
              </w:rPr>
              <w:t>318</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F74E7B" w:rsidRDefault="0014415F" w:rsidP="0014415F">
            <w:pPr>
              <w:pStyle w:val="TableText"/>
              <w:rPr>
                <w:b/>
                <w:sz w:val="16"/>
                <w:szCs w:val="16"/>
              </w:rPr>
            </w:pPr>
            <w:r w:rsidRPr="00F74E7B">
              <w:rPr>
                <w:b/>
                <w:sz w:val="16"/>
                <w:szCs w:val="16"/>
              </w:rPr>
              <w:t>200.3</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F74E7B" w:rsidRDefault="0014415F" w:rsidP="0014415F">
            <w:pPr>
              <w:pStyle w:val="TableText"/>
              <w:rPr>
                <w:b/>
                <w:sz w:val="16"/>
                <w:szCs w:val="16"/>
              </w:rPr>
            </w:pPr>
            <w:r w:rsidRPr="00F74E7B">
              <w:rPr>
                <w:b/>
                <w:sz w:val="16"/>
                <w:szCs w:val="16"/>
              </w:rPr>
              <w:t>36.3</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F74E7B" w:rsidRDefault="0014415F" w:rsidP="0014415F">
            <w:pPr>
              <w:pStyle w:val="TableText"/>
              <w:rPr>
                <w:b/>
                <w:sz w:val="16"/>
                <w:szCs w:val="16"/>
              </w:rPr>
            </w:pPr>
            <w:r w:rsidRPr="00F74E7B">
              <w:rPr>
                <w:b/>
                <w:sz w:val="16"/>
                <w:szCs w:val="16"/>
              </w:rPr>
              <w:t>18.1%</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F74E7B" w:rsidRDefault="0014415F" w:rsidP="0014415F">
            <w:pPr>
              <w:pStyle w:val="TableText"/>
              <w:rPr>
                <w:b/>
                <w:sz w:val="16"/>
                <w:szCs w:val="16"/>
              </w:rPr>
            </w:pPr>
            <w:r w:rsidRPr="00F74E7B">
              <w:rPr>
                <w:b/>
                <w:sz w:val="16"/>
                <w:szCs w:val="16"/>
              </w:rPr>
              <w:t>63.7</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F74E7B" w:rsidRDefault="0014415F" w:rsidP="0014415F">
            <w:pPr>
              <w:pStyle w:val="TableText"/>
              <w:rPr>
                <w:b/>
                <w:sz w:val="16"/>
                <w:szCs w:val="16"/>
              </w:rPr>
            </w:pPr>
            <w:r w:rsidRPr="00F74E7B">
              <w:rPr>
                <w:b/>
                <w:sz w:val="16"/>
                <w:szCs w:val="16"/>
              </w:rPr>
              <w:t>11.5</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F74E7B" w:rsidRDefault="0014415F" w:rsidP="0014415F">
            <w:pPr>
              <w:pStyle w:val="TableText"/>
              <w:rPr>
                <w:b/>
                <w:sz w:val="16"/>
                <w:szCs w:val="16"/>
              </w:rPr>
            </w:pPr>
            <w:r w:rsidRPr="00F74E7B">
              <w:rPr>
                <w:b/>
                <w:sz w:val="16"/>
                <w:szCs w:val="16"/>
              </w:rPr>
              <w:t>76.8</w:t>
            </w:r>
          </w:p>
        </w:tc>
      </w:tr>
      <w:tr w:rsidR="0014415F"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14415F" w:rsidRPr="0072606B" w:rsidRDefault="0014415F"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Agriculture, Mining &amp; Construction</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1210.9</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279.4</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23.1%</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1.2</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0.3</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75.9</w:t>
            </w:r>
          </w:p>
        </w:tc>
      </w:tr>
      <w:tr w:rsidR="0014415F"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14415F" w:rsidRPr="0072606B" w:rsidRDefault="0014415F"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Hotels and Apartment Buildings</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10</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285.4</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24.5</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8.6%</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2.9</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0.2</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75.9</w:t>
            </w:r>
          </w:p>
        </w:tc>
      </w:tr>
      <w:tr w:rsidR="0014415F"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14415F" w:rsidRPr="0072606B" w:rsidRDefault="0014415F"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Institutional/Government</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38</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108.3</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32.8</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30.2%</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4.1</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1.2</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76.6</w:t>
            </w:r>
          </w:p>
        </w:tc>
      </w:tr>
      <w:tr w:rsidR="0014415F"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14415F" w:rsidRPr="0072606B" w:rsidRDefault="0014415F"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Manufacturing</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8</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261.0</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41.7</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16.0%</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2.1</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0.3</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77.2</w:t>
            </w:r>
          </w:p>
        </w:tc>
      </w:tr>
      <w:tr w:rsidR="0014415F"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14415F" w:rsidRPr="0072606B" w:rsidRDefault="0014415F"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Offices, Finance, Services</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13</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170.4</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2.7</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1.6%</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2.2</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0.0</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76.5</w:t>
            </w:r>
          </w:p>
        </w:tc>
      </w:tr>
      <w:tr w:rsidR="0014415F"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14415F" w:rsidRPr="0072606B" w:rsidRDefault="0014415F"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Other or unknown</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12</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286.7</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96.2</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33.5%</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3.4</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1.2</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77.0</w:t>
            </w:r>
          </w:p>
        </w:tc>
      </w:tr>
      <w:tr w:rsidR="0014415F"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14415F" w:rsidRPr="0072606B" w:rsidRDefault="0014415F"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Retail stores</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223</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208.2</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34.7</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16.7%</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46.4</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7.7</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76.8</w:t>
            </w:r>
          </w:p>
        </w:tc>
      </w:tr>
      <w:tr w:rsidR="0014415F"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14415F" w:rsidRPr="0072606B" w:rsidRDefault="0014415F"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Water Districts</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11</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118.8</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56.7</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47.7%</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1.3</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0.6</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77.5</w:t>
            </w:r>
          </w:p>
        </w:tc>
      </w:tr>
      <w:tr w:rsidR="0014415F" w:rsidRPr="0072606B" w:rsidTr="006B7BA6">
        <w:trPr>
          <w:trHeight w:val="396"/>
        </w:trPr>
        <w:tc>
          <w:tcPr>
            <w:tcW w:w="762" w:type="dxa"/>
            <w:vMerge/>
            <w:tcBorders>
              <w:top w:val="nil"/>
              <w:left w:val="single" w:sz="4" w:space="0" w:color="auto"/>
              <w:bottom w:val="single" w:sz="4" w:space="0" w:color="auto"/>
              <w:right w:val="single" w:sz="4" w:space="0" w:color="auto"/>
            </w:tcBorders>
            <w:tcMar>
              <w:left w:w="43" w:type="dxa"/>
              <w:right w:w="43" w:type="dxa"/>
            </w:tcMar>
            <w:vAlign w:val="center"/>
            <w:hideMark/>
          </w:tcPr>
          <w:p w:rsidR="0014415F" w:rsidRPr="0072606B" w:rsidRDefault="0014415F" w:rsidP="006B7BA6">
            <w:pPr>
              <w:spacing w:after="0" w:line="240" w:lineRule="auto"/>
              <w:jc w:val="center"/>
              <w:rPr>
                <w:rFonts w:ascii="Arial" w:eastAsia="Times New Roman" w:hAnsi="Arial" w:cs="Arial"/>
                <w:color w:val="000000"/>
                <w:sz w:val="16"/>
                <w:szCs w:val="16"/>
              </w:rPr>
            </w:pPr>
          </w:p>
        </w:tc>
        <w:tc>
          <w:tcPr>
            <w:tcW w:w="273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Wholesale, Transport, other utilities</w:t>
            </w:r>
          </w:p>
        </w:tc>
        <w:tc>
          <w:tcPr>
            <w:tcW w:w="816"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3</w:t>
            </w:r>
          </w:p>
        </w:tc>
        <w:tc>
          <w:tcPr>
            <w:tcW w:w="860"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166.9</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-3.6</w:t>
            </w:r>
          </w:p>
        </w:tc>
        <w:tc>
          <w:tcPr>
            <w:tcW w:w="869"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-2.2%</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0.5</w:t>
            </w:r>
          </w:p>
        </w:tc>
        <w:tc>
          <w:tcPr>
            <w:tcW w:w="8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0.0</w:t>
            </w:r>
          </w:p>
        </w:tc>
        <w:tc>
          <w:tcPr>
            <w:tcW w:w="778" w:type="dxa"/>
            <w:tcBorders>
              <w:top w:val="nil"/>
              <w:left w:val="nil"/>
              <w:bottom w:val="single" w:sz="4" w:space="0" w:color="auto"/>
              <w:right w:val="single" w:sz="4" w:space="0" w:color="auto"/>
            </w:tcBorders>
            <w:shd w:val="clear" w:color="auto" w:fill="auto"/>
            <w:noWrap/>
            <w:tcMar>
              <w:left w:w="43" w:type="dxa"/>
              <w:right w:w="43" w:type="dxa"/>
            </w:tcMar>
            <w:vAlign w:val="center"/>
            <w:hideMark/>
          </w:tcPr>
          <w:p w:rsidR="0014415F" w:rsidRPr="0014415F" w:rsidRDefault="0014415F" w:rsidP="0014415F">
            <w:pPr>
              <w:pStyle w:val="TableText"/>
              <w:rPr>
                <w:sz w:val="16"/>
                <w:szCs w:val="16"/>
              </w:rPr>
            </w:pPr>
            <w:r w:rsidRPr="0014415F">
              <w:rPr>
                <w:sz w:val="16"/>
                <w:szCs w:val="16"/>
              </w:rPr>
              <w:t>76.1</w:t>
            </w:r>
          </w:p>
        </w:tc>
      </w:tr>
    </w:tbl>
    <w:p w:rsidR="005310C6" w:rsidRDefault="007B49B6">
      <w:pPr>
        <w:pStyle w:val="Heading3"/>
        <w:spacing w:before="360"/>
      </w:pPr>
      <w:bookmarkStart w:id="357" w:name="_Toc318806779"/>
      <w:bookmarkStart w:id="358" w:name="_Toc318806780"/>
      <w:bookmarkStart w:id="359" w:name="_Toc318806781"/>
      <w:bookmarkStart w:id="360" w:name="_Toc318806782"/>
      <w:bookmarkStart w:id="361" w:name="_Toc318806803"/>
      <w:bookmarkStart w:id="362" w:name="_Toc318806813"/>
      <w:bookmarkStart w:id="363" w:name="_Toc318806833"/>
      <w:bookmarkStart w:id="364" w:name="_Toc318806843"/>
      <w:bookmarkStart w:id="365" w:name="_Toc318806853"/>
      <w:bookmarkStart w:id="366" w:name="_Toc326074035"/>
      <w:bookmarkEnd w:id="357"/>
      <w:bookmarkEnd w:id="358"/>
      <w:bookmarkEnd w:id="359"/>
      <w:bookmarkEnd w:id="360"/>
      <w:bookmarkEnd w:id="361"/>
      <w:bookmarkEnd w:id="362"/>
      <w:bookmarkEnd w:id="363"/>
      <w:bookmarkEnd w:id="364"/>
      <w:bookmarkEnd w:id="365"/>
      <w:r>
        <w:t xml:space="preserve">CBP </w:t>
      </w:r>
      <w:r w:rsidR="006D5226" w:rsidRPr="00050374">
        <w:t>Demand Reductions by Customer Size</w:t>
      </w:r>
      <w:bookmarkEnd w:id="366"/>
    </w:p>
    <w:p w:rsidR="006D5226" w:rsidRPr="00050374" w:rsidRDefault="006D5226" w:rsidP="006D5226">
      <w:pPr>
        <w:pStyle w:val="BodyParagraph"/>
      </w:pPr>
      <w:r w:rsidRPr="00050374">
        <w:t xml:space="preserve">Figure </w:t>
      </w:r>
      <w:r w:rsidR="00A52143">
        <w:t>6</w:t>
      </w:r>
      <w:r w:rsidRPr="00050374">
        <w:t>-</w:t>
      </w:r>
      <w:r w:rsidR="008F3B29">
        <w:t>2</w:t>
      </w:r>
      <w:r w:rsidRPr="00050374">
        <w:t xml:space="preserve"> shows </w:t>
      </w:r>
      <w:r w:rsidR="00BF409D">
        <w:t>the concentration of demand reductions</w:t>
      </w:r>
      <w:r w:rsidRPr="00050374">
        <w:t xml:space="preserve">.  </w:t>
      </w:r>
      <w:r w:rsidR="002078F6">
        <w:t>T</w:t>
      </w:r>
      <w:r w:rsidR="002078F6" w:rsidRPr="00050374">
        <w:t xml:space="preserve">he average demand during weekday, summer peak hours (1 PM to 6 PM) </w:t>
      </w:r>
      <w:r w:rsidR="002078F6">
        <w:t xml:space="preserve">was calculated </w:t>
      </w:r>
      <w:r w:rsidR="002078F6" w:rsidRPr="00050374">
        <w:t>for each customer and then divided into quintiles</w:t>
      </w:r>
      <w:r w:rsidR="007B49B6">
        <w:t xml:space="preserve">.  </w:t>
      </w:r>
      <w:r w:rsidRPr="00050374">
        <w:t xml:space="preserve"> The largest fifth of day-</w:t>
      </w:r>
      <w:r w:rsidR="0014415F">
        <w:t>ahead customers accounted for 67</w:t>
      </w:r>
      <w:r w:rsidRPr="00050374">
        <w:t>% of the program reference l</w:t>
      </w:r>
      <w:r w:rsidR="00514599">
        <w:t>oad and 89</w:t>
      </w:r>
      <w:r w:rsidRPr="00050374">
        <w:t xml:space="preserve">% of the load impacts. </w:t>
      </w:r>
      <w:r w:rsidR="00BF409D">
        <w:t xml:space="preserve"> The program option is not highly diversified, </w:t>
      </w:r>
      <w:r w:rsidR="007B49B6">
        <w:t>al</w:t>
      </w:r>
      <w:r w:rsidR="00BF409D">
        <w:t xml:space="preserve">though the participants provide large percent demand reductions. </w:t>
      </w:r>
      <w:r w:rsidRPr="00050374">
        <w:t xml:space="preserve"> For day-of resources, the impacts are more widely distributed, as the largest fifth o</w:t>
      </w:r>
      <w:r w:rsidR="00514599">
        <w:t>f customers account</w:t>
      </w:r>
      <w:r w:rsidR="007B49B6">
        <w:t>ed</w:t>
      </w:r>
      <w:r w:rsidR="0014415F">
        <w:t xml:space="preserve"> for only 43</w:t>
      </w:r>
      <w:r w:rsidR="00514599">
        <w:t>% of the reference load an</w:t>
      </w:r>
      <w:r w:rsidR="0014415F">
        <w:t>d 43</w:t>
      </w:r>
      <w:r w:rsidRPr="00050374">
        <w:t xml:space="preserve">% the load impacts.  </w:t>
      </w:r>
      <w:r w:rsidRPr="00050374">
        <w:lastRenderedPageBreak/>
        <w:t>Same-day notification customers, most of whom are retail stores, are fairly homogeneous in size and behavior compared to day-ahead customers.</w:t>
      </w:r>
    </w:p>
    <w:p w:rsidR="006D5226" w:rsidRPr="006B7BA6" w:rsidRDefault="006D5226" w:rsidP="00BA25E2">
      <w:pPr>
        <w:pStyle w:val="TableFigureCaption"/>
        <w:rPr>
          <w:rStyle w:val="Strong"/>
          <w:b/>
          <w:bCs w:val="0"/>
        </w:rPr>
      </w:pPr>
      <w:r w:rsidRPr="006B7BA6">
        <w:rPr>
          <w:rStyle w:val="Strong"/>
          <w:b/>
          <w:bCs w:val="0"/>
        </w:rPr>
        <w:t xml:space="preserve">Figure </w:t>
      </w:r>
      <w:r w:rsidR="00A52143">
        <w:rPr>
          <w:rStyle w:val="Strong"/>
          <w:b/>
          <w:bCs w:val="0"/>
        </w:rPr>
        <w:t>6</w:t>
      </w:r>
      <w:r w:rsidRPr="006B7BA6">
        <w:rPr>
          <w:rStyle w:val="Strong"/>
          <w:b/>
          <w:bCs w:val="0"/>
        </w:rPr>
        <w:t>-2:</w:t>
      </w:r>
      <w:r w:rsidR="00877CA8">
        <w:rPr>
          <w:rStyle w:val="Strong"/>
          <w:b/>
          <w:bCs w:val="0"/>
        </w:rPr>
        <w:t xml:space="preserve"> </w:t>
      </w:r>
      <w:r w:rsidR="00AD683A" w:rsidRPr="006B7BA6">
        <w:rPr>
          <w:rStyle w:val="Strong"/>
          <w:b/>
          <w:bCs w:val="0"/>
        </w:rPr>
        <w:t xml:space="preserve">Estimated Ex </w:t>
      </w:r>
      <w:r w:rsidRPr="006B7BA6">
        <w:rPr>
          <w:rStyle w:val="Strong"/>
          <w:b/>
          <w:bCs w:val="0"/>
        </w:rPr>
        <w:t xml:space="preserve">Post Load Impacts </w:t>
      </w:r>
      <w:r w:rsidR="001D439F" w:rsidRPr="006B7BA6">
        <w:rPr>
          <w:rStyle w:val="Strong"/>
          <w:b/>
          <w:bCs w:val="0"/>
        </w:rPr>
        <w:t>by Customer Size</w:t>
      </w:r>
      <w:r w:rsidR="001D439F" w:rsidRPr="006B7BA6">
        <w:rPr>
          <w:rStyle w:val="Strong"/>
          <w:b/>
          <w:bCs w:val="0"/>
        </w:rPr>
        <w:br/>
        <w:t>Average 2011 SDG</w:t>
      </w:r>
      <w:r w:rsidRPr="006B7BA6">
        <w:rPr>
          <w:rStyle w:val="Strong"/>
          <w:b/>
          <w:bCs w:val="0"/>
        </w:rPr>
        <w:t>&amp;E CBP Event</w:t>
      </w:r>
    </w:p>
    <w:p w:rsidR="00D649A8" w:rsidRDefault="005310C6">
      <w:pPr>
        <w:pStyle w:val="BodyParagraph"/>
        <w:jc w:val="center"/>
        <w:rPr>
          <w:b/>
        </w:rPr>
      </w:pPr>
      <w:r>
        <w:rPr>
          <w:noProof/>
        </w:rPr>
        <w:drawing>
          <wp:inline distT="0" distB="0" distL="0" distR="0">
            <wp:extent cx="5819775" cy="2390775"/>
            <wp:effectExtent l="19050" t="0" r="9525"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5819775" cy="2390775"/>
                    </a:xfrm>
                    <a:prstGeom prst="rect">
                      <a:avLst/>
                    </a:prstGeom>
                    <a:noFill/>
                    <a:ln w="9525">
                      <a:noFill/>
                      <a:miter lim="800000"/>
                      <a:headEnd/>
                      <a:tailEnd/>
                    </a:ln>
                  </pic:spPr>
                </pic:pic>
              </a:graphicData>
            </a:graphic>
          </wp:inline>
        </w:drawing>
      </w:r>
    </w:p>
    <w:p w:rsidR="00EF33FF" w:rsidRPr="00126D2A" w:rsidRDefault="001D7FD4" w:rsidP="00EF33FF">
      <w:pPr>
        <w:pStyle w:val="Heading2"/>
      </w:pPr>
      <w:bookmarkStart w:id="367" w:name="_Toc326074036"/>
      <w:r>
        <w:t>Technical I</w:t>
      </w:r>
      <w:r w:rsidR="00EF33FF" w:rsidRPr="00126D2A">
        <w:t xml:space="preserve">ncentive and </w:t>
      </w:r>
      <w:proofErr w:type="spellStart"/>
      <w:r w:rsidR="00EF33FF" w:rsidRPr="00126D2A">
        <w:t>AutoDR</w:t>
      </w:r>
      <w:proofErr w:type="spellEnd"/>
      <w:r w:rsidR="00EF33FF" w:rsidRPr="00126D2A">
        <w:t xml:space="preserve"> Realization Rates</w:t>
      </w:r>
      <w:bookmarkEnd w:id="367"/>
    </w:p>
    <w:p w:rsidR="008F3B29" w:rsidRDefault="00124047" w:rsidP="00124047">
      <w:pPr>
        <w:pStyle w:val="BodyParagraph"/>
      </w:pPr>
      <w:r>
        <w:t xml:space="preserve">To date, most TI and </w:t>
      </w:r>
      <w:proofErr w:type="spellStart"/>
      <w:r>
        <w:t>AutoDR</w:t>
      </w:r>
      <w:proofErr w:type="spellEnd"/>
      <w:r>
        <w:t xml:space="preserve"> applications have occurred in conjunction with voluntary enrollment in DR programs.</w:t>
      </w:r>
      <w:r>
        <w:rPr>
          <w:rStyle w:val="FootnoteReference"/>
        </w:rPr>
        <w:footnoteReference w:id="13"/>
      </w:r>
      <w:r>
        <w:t xml:space="preserve">  Only a subset of customers enrolled in DR programs partakes in TI or </w:t>
      </w:r>
      <w:proofErr w:type="spellStart"/>
      <w:r>
        <w:t>AutoDR</w:t>
      </w:r>
      <w:proofErr w:type="spellEnd"/>
      <w:r>
        <w:t xml:space="preserve">, and they do so voluntarily.  As a result, participants in TI or </w:t>
      </w:r>
      <w:proofErr w:type="spellStart"/>
      <w:r>
        <w:t>AutoDR</w:t>
      </w:r>
      <w:proofErr w:type="spellEnd"/>
      <w:r>
        <w:t xml:space="preserve"> are likely different from other customers in DR programs.  Success of TI and </w:t>
      </w:r>
      <w:proofErr w:type="spellStart"/>
      <w:r>
        <w:t>AutoDR</w:t>
      </w:r>
      <w:proofErr w:type="spellEnd"/>
      <w:r>
        <w:t xml:space="preserve"> programs should not be measured by whether participants provide smaller or larger reduction than the average customer in DR programs, precisely because participants in TI and </w:t>
      </w:r>
      <w:proofErr w:type="spellStart"/>
      <w:r>
        <w:t>AutoDR</w:t>
      </w:r>
      <w:proofErr w:type="spellEnd"/>
      <w:r>
        <w:t xml:space="preserve"> are likely to differ systematically from DR customer</w:t>
      </w:r>
      <w:r w:rsidR="00A14074">
        <w:t>s</w:t>
      </w:r>
      <w:r>
        <w:t xml:space="preserve"> that do not participate.  Similarly, TI participants are likely to differ systematically from </w:t>
      </w:r>
      <w:proofErr w:type="spellStart"/>
      <w:r>
        <w:t>AutoDR</w:t>
      </w:r>
      <w:proofErr w:type="spellEnd"/>
      <w:r>
        <w:t xml:space="preserve"> participants.  TI and </w:t>
      </w:r>
      <w:proofErr w:type="spellStart"/>
      <w:r>
        <w:t>AutoDR</w:t>
      </w:r>
      <w:proofErr w:type="spellEnd"/>
      <w:r>
        <w:t xml:space="preserve"> participants may not represent the mix of industry segments participating in DR programs generally.  Finally, it has rarely been possible to observe customer load reductions both before and after installing enabling technology</w:t>
      </w:r>
      <w:r w:rsidR="008F3B29">
        <w:t>.</w:t>
      </w:r>
    </w:p>
    <w:p w:rsidR="008F3B29" w:rsidRDefault="008F3B29" w:rsidP="00124047">
      <w:pPr>
        <w:pStyle w:val="BodyParagraph"/>
      </w:pPr>
      <w:r>
        <w:t>Table 6-4</w:t>
      </w:r>
      <w:r w:rsidR="00124047">
        <w:t xml:space="preserve"> shows the number of SDG&amp;E accounts with TI, </w:t>
      </w:r>
      <w:proofErr w:type="spellStart"/>
      <w:r w:rsidR="00124047">
        <w:t>AutoDR</w:t>
      </w:r>
      <w:proofErr w:type="spellEnd"/>
      <w:r w:rsidR="00124047">
        <w:t xml:space="preserve"> and no automation for each DR program and notification method.  For TI and </w:t>
      </w:r>
      <w:proofErr w:type="spellStart"/>
      <w:r w:rsidR="00124047">
        <w:t>AutoDR</w:t>
      </w:r>
      <w:proofErr w:type="spellEnd"/>
      <w:r w:rsidR="00124047">
        <w:t xml:space="preserve">, we also include the approved load shed upon which payment was based and the realization rate.  The realization rate indicates the share of the approved load shed that is delivered on event days.  The realization rate implicitly assumes that observed load reductions are due entirely to TI and </w:t>
      </w:r>
      <w:proofErr w:type="spellStart"/>
      <w:r w:rsidR="00124047">
        <w:t>AutoDR</w:t>
      </w:r>
      <w:proofErr w:type="spellEnd"/>
      <w:r w:rsidR="00124047">
        <w:t xml:space="preserve"> mechanisms.  </w:t>
      </w:r>
      <w:proofErr w:type="gramStart"/>
      <w:r w:rsidR="00124047">
        <w:t>It  is</w:t>
      </w:r>
      <w:proofErr w:type="gramEnd"/>
      <w:r w:rsidR="00124047">
        <w:t xml:space="preserve"> possible that customers may take actions other than those instigated by TI and </w:t>
      </w:r>
      <w:proofErr w:type="spellStart"/>
      <w:r w:rsidR="00124047">
        <w:t>AutoDR</w:t>
      </w:r>
      <w:proofErr w:type="spellEnd"/>
      <w:r w:rsidR="00124047">
        <w:t xml:space="preserve"> during events.</w:t>
      </w:r>
    </w:p>
    <w:p w:rsidR="008F3B29" w:rsidRDefault="008F3B29">
      <w:pPr>
        <w:rPr>
          <w:rFonts w:ascii="Verdana" w:hAnsi="Verdana"/>
          <w:sz w:val="18"/>
        </w:rPr>
      </w:pPr>
      <w:r>
        <w:br w:type="page"/>
      </w:r>
    </w:p>
    <w:p w:rsidR="00124047" w:rsidRPr="008F3B29" w:rsidRDefault="00124047" w:rsidP="008F3B29">
      <w:pPr>
        <w:pStyle w:val="TableFigureCaption"/>
      </w:pPr>
      <w:bookmarkStart w:id="368" w:name="_Ref320622142"/>
      <w:r w:rsidRPr="008F3B29">
        <w:lastRenderedPageBreak/>
        <w:t>Table 6</w:t>
      </w:r>
      <w:r w:rsidRPr="008F3B29">
        <w:noBreakHyphen/>
      </w:r>
      <w:bookmarkEnd w:id="368"/>
      <w:r w:rsidRPr="008F3B29">
        <w:t>4:</w:t>
      </w:r>
    </w:p>
    <w:p w:rsidR="00124047" w:rsidRPr="008F3B29" w:rsidRDefault="00124047" w:rsidP="008F3B29">
      <w:pPr>
        <w:pStyle w:val="TableFigureCaption"/>
      </w:pPr>
      <w:r w:rsidRPr="008F3B29">
        <w:t xml:space="preserve">SDG&amp;E TI and </w:t>
      </w:r>
      <w:proofErr w:type="spellStart"/>
      <w:r w:rsidRPr="008F3B29">
        <w:t>AutoDR</w:t>
      </w:r>
      <w:proofErr w:type="spellEnd"/>
      <w:r w:rsidRPr="008F3B29">
        <w:t xml:space="preserve"> Program Results by Average Event Hour in 2011</w:t>
      </w:r>
    </w:p>
    <w:tbl>
      <w:tblPr>
        <w:tblW w:w="10103" w:type="dxa"/>
        <w:tblInd w:w="96" w:type="dxa"/>
        <w:tblLook w:val="04A0"/>
      </w:tblPr>
      <w:tblGrid>
        <w:gridCol w:w="1105"/>
        <w:gridCol w:w="1079"/>
        <w:gridCol w:w="960"/>
        <w:gridCol w:w="1008"/>
        <w:gridCol w:w="1008"/>
        <w:gridCol w:w="999"/>
        <w:gridCol w:w="963"/>
        <w:gridCol w:w="1061"/>
        <w:gridCol w:w="960"/>
        <w:gridCol w:w="960"/>
      </w:tblGrid>
      <w:tr w:rsidR="00124047" w:rsidRPr="004E652B" w:rsidTr="008F3B29">
        <w:trPr>
          <w:trHeight w:val="300"/>
        </w:trPr>
        <w:tc>
          <w:tcPr>
            <w:tcW w:w="1105" w:type="dxa"/>
            <w:vMerge w:val="restart"/>
            <w:tcBorders>
              <w:top w:val="single" w:sz="8" w:space="0" w:color="000000"/>
              <w:left w:val="single" w:sz="8" w:space="0" w:color="000000"/>
              <w:bottom w:val="nil"/>
              <w:right w:val="single" w:sz="8" w:space="0" w:color="FFFFFF"/>
            </w:tcBorders>
            <w:shd w:val="clear" w:color="000000" w:fill="376091"/>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r w:rsidRPr="004E652B">
              <w:rPr>
                <w:rFonts w:ascii="Arial" w:eastAsia="Times New Roman" w:hAnsi="Arial" w:cs="Arial"/>
                <w:b/>
                <w:bCs/>
                <w:color w:val="FFFFFF"/>
                <w:sz w:val="16"/>
                <w:szCs w:val="16"/>
              </w:rPr>
              <w:t>Automation Type</w:t>
            </w:r>
          </w:p>
        </w:tc>
        <w:tc>
          <w:tcPr>
            <w:tcW w:w="1079" w:type="dxa"/>
            <w:vMerge w:val="restart"/>
            <w:tcBorders>
              <w:top w:val="single" w:sz="8" w:space="0" w:color="000000"/>
              <w:left w:val="single" w:sz="8" w:space="0" w:color="FFFFFF"/>
              <w:bottom w:val="nil"/>
              <w:right w:val="single" w:sz="8" w:space="0" w:color="FFFFFF"/>
            </w:tcBorders>
            <w:shd w:val="clear" w:color="000000" w:fill="376091"/>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r w:rsidRPr="004E652B">
              <w:rPr>
                <w:rFonts w:ascii="Arial" w:eastAsia="Times New Roman" w:hAnsi="Arial" w:cs="Arial"/>
                <w:b/>
                <w:bCs/>
                <w:color w:val="FFFFFF"/>
                <w:sz w:val="16"/>
                <w:szCs w:val="16"/>
              </w:rPr>
              <w:t>Aggregator Program</w:t>
            </w:r>
          </w:p>
        </w:tc>
        <w:tc>
          <w:tcPr>
            <w:tcW w:w="960" w:type="dxa"/>
            <w:vMerge w:val="restart"/>
            <w:tcBorders>
              <w:top w:val="single" w:sz="8" w:space="0" w:color="000000"/>
              <w:left w:val="single" w:sz="8" w:space="0" w:color="FFFFFF"/>
              <w:bottom w:val="nil"/>
              <w:right w:val="single" w:sz="8" w:space="0" w:color="FFFFFF"/>
            </w:tcBorders>
            <w:shd w:val="clear" w:color="000000" w:fill="376091"/>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r w:rsidRPr="004E652B">
              <w:rPr>
                <w:rFonts w:ascii="Arial" w:eastAsia="Times New Roman" w:hAnsi="Arial" w:cs="Arial"/>
                <w:b/>
                <w:bCs/>
                <w:color w:val="FFFFFF"/>
                <w:sz w:val="16"/>
                <w:szCs w:val="16"/>
              </w:rPr>
              <w:t>Accts</w:t>
            </w:r>
          </w:p>
        </w:tc>
        <w:tc>
          <w:tcPr>
            <w:tcW w:w="1008" w:type="dxa"/>
            <w:vMerge w:val="restart"/>
            <w:tcBorders>
              <w:top w:val="single" w:sz="8" w:space="0" w:color="000000"/>
              <w:left w:val="single" w:sz="8" w:space="0" w:color="FFFFFF"/>
              <w:bottom w:val="nil"/>
              <w:right w:val="single" w:sz="8" w:space="0" w:color="FFFFFF"/>
            </w:tcBorders>
            <w:shd w:val="clear" w:color="000000" w:fill="376091"/>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r w:rsidRPr="004E652B">
              <w:rPr>
                <w:rFonts w:ascii="Arial" w:eastAsia="Times New Roman" w:hAnsi="Arial" w:cs="Arial"/>
                <w:b/>
                <w:bCs/>
                <w:color w:val="FFFFFF"/>
                <w:sz w:val="16"/>
                <w:szCs w:val="16"/>
              </w:rPr>
              <w:t>Aggregate Reference Load (MW)</w:t>
            </w:r>
          </w:p>
        </w:tc>
        <w:tc>
          <w:tcPr>
            <w:tcW w:w="1008" w:type="dxa"/>
            <w:vMerge w:val="restart"/>
            <w:tcBorders>
              <w:top w:val="single" w:sz="8" w:space="0" w:color="000000"/>
              <w:left w:val="single" w:sz="8" w:space="0" w:color="FFFFFF"/>
              <w:bottom w:val="nil"/>
              <w:right w:val="single" w:sz="8" w:space="0" w:color="FFFFFF"/>
            </w:tcBorders>
            <w:shd w:val="clear" w:color="000000" w:fill="376091"/>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r w:rsidRPr="004E652B">
              <w:rPr>
                <w:rFonts w:ascii="Arial" w:eastAsia="Times New Roman" w:hAnsi="Arial" w:cs="Arial"/>
                <w:b/>
                <w:bCs/>
                <w:color w:val="FFFFFF"/>
                <w:sz w:val="16"/>
                <w:szCs w:val="16"/>
              </w:rPr>
              <w:t>Aggregate Load Impact (MW)</w:t>
            </w:r>
          </w:p>
        </w:tc>
        <w:tc>
          <w:tcPr>
            <w:tcW w:w="999" w:type="dxa"/>
            <w:vMerge w:val="restart"/>
            <w:tcBorders>
              <w:top w:val="single" w:sz="8" w:space="0" w:color="000000"/>
              <w:left w:val="single" w:sz="8" w:space="0" w:color="FFFFFF"/>
              <w:bottom w:val="nil"/>
              <w:right w:val="single" w:sz="8" w:space="0" w:color="FFFFFF"/>
            </w:tcBorders>
            <w:shd w:val="clear" w:color="000000" w:fill="376091"/>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r w:rsidRPr="004E652B">
              <w:rPr>
                <w:rFonts w:ascii="Arial" w:eastAsia="Times New Roman" w:hAnsi="Arial" w:cs="Arial"/>
                <w:b/>
                <w:bCs/>
                <w:color w:val="FFFFFF"/>
                <w:sz w:val="16"/>
                <w:szCs w:val="16"/>
              </w:rPr>
              <w:t>% Load Reduction</w:t>
            </w:r>
          </w:p>
        </w:tc>
        <w:tc>
          <w:tcPr>
            <w:tcW w:w="963" w:type="dxa"/>
            <w:vMerge w:val="restart"/>
            <w:tcBorders>
              <w:top w:val="single" w:sz="8" w:space="0" w:color="000000"/>
              <w:left w:val="single" w:sz="8" w:space="0" w:color="FFFFFF"/>
              <w:bottom w:val="nil"/>
              <w:right w:val="single" w:sz="8" w:space="0" w:color="FFFFFF"/>
            </w:tcBorders>
            <w:shd w:val="clear" w:color="000000" w:fill="376091"/>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r w:rsidRPr="004E652B">
              <w:rPr>
                <w:rFonts w:ascii="Arial" w:eastAsia="Times New Roman" w:hAnsi="Arial" w:cs="Arial"/>
                <w:b/>
                <w:bCs/>
                <w:color w:val="FFFFFF"/>
                <w:sz w:val="16"/>
                <w:szCs w:val="16"/>
              </w:rPr>
              <w:t>Approved Load Shed (MW)</w:t>
            </w:r>
          </w:p>
        </w:tc>
        <w:tc>
          <w:tcPr>
            <w:tcW w:w="1061" w:type="dxa"/>
            <w:vMerge w:val="restart"/>
            <w:tcBorders>
              <w:top w:val="single" w:sz="8" w:space="0" w:color="000000"/>
              <w:left w:val="single" w:sz="8" w:space="0" w:color="FFFFFF"/>
              <w:bottom w:val="nil"/>
              <w:right w:val="single" w:sz="8" w:space="0" w:color="FFFFFF"/>
            </w:tcBorders>
            <w:shd w:val="clear" w:color="000000" w:fill="376091"/>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r w:rsidRPr="004E652B">
              <w:rPr>
                <w:rFonts w:ascii="Arial" w:eastAsia="Times New Roman" w:hAnsi="Arial" w:cs="Arial"/>
                <w:b/>
                <w:bCs/>
                <w:color w:val="FFFFFF"/>
                <w:sz w:val="16"/>
                <w:szCs w:val="16"/>
              </w:rPr>
              <w:t>Realization %</w:t>
            </w:r>
          </w:p>
        </w:tc>
        <w:tc>
          <w:tcPr>
            <w:tcW w:w="1920" w:type="dxa"/>
            <w:gridSpan w:val="2"/>
            <w:tcBorders>
              <w:top w:val="single" w:sz="8" w:space="0" w:color="000000"/>
              <w:left w:val="nil"/>
              <w:bottom w:val="single" w:sz="8" w:space="0" w:color="FFFFFF"/>
              <w:right w:val="single" w:sz="8" w:space="0" w:color="000000"/>
            </w:tcBorders>
            <w:shd w:val="clear" w:color="000000" w:fill="376091"/>
            <w:noWrap/>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r w:rsidRPr="004E652B">
              <w:rPr>
                <w:rFonts w:ascii="Arial" w:eastAsia="Times New Roman" w:hAnsi="Arial" w:cs="Arial"/>
                <w:b/>
                <w:bCs/>
                <w:color w:val="FFFFFF"/>
                <w:sz w:val="16"/>
                <w:szCs w:val="16"/>
              </w:rPr>
              <w:t>90% confidence band</w:t>
            </w:r>
          </w:p>
        </w:tc>
      </w:tr>
      <w:tr w:rsidR="00124047" w:rsidRPr="004E652B" w:rsidTr="008F3B29">
        <w:trPr>
          <w:trHeight w:val="432"/>
        </w:trPr>
        <w:tc>
          <w:tcPr>
            <w:tcW w:w="1105" w:type="dxa"/>
            <w:vMerge/>
            <w:tcBorders>
              <w:top w:val="single" w:sz="8" w:space="0" w:color="000000"/>
              <w:left w:val="single" w:sz="8" w:space="0" w:color="000000"/>
              <w:bottom w:val="nil"/>
              <w:right w:val="single" w:sz="8" w:space="0" w:color="FFFFFF"/>
            </w:tcBorders>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p>
        </w:tc>
        <w:tc>
          <w:tcPr>
            <w:tcW w:w="1079" w:type="dxa"/>
            <w:vMerge/>
            <w:tcBorders>
              <w:top w:val="single" w:sz="8" w:space="0" w:color="000000"/>
              <w:left w:val="single" w:sz="8" w:space="0" w:color="FFFFFF"/>
              <w:bottom w:val="nil"/>
              <w:right w:val="single" w:sz="8" w:space="0" w:color="FFFFFF"/>
            </w:tcBorders>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p>
        </w:tc>
        <w:tc>
          <w:tcPr>
            <w:tcW w:w="960" w:type="dxa"/>
            <w:vMerge/>
            <w:tcBorders>
              <w:top w:val="single" w:sz="8" w:space="0" w:color="000000"/>
              <w:left w:val="single" w:sz="8" w:space="0" w:color="FFFFFF"/>
              <w:bottom w:val="nil"/>
              <w:right w:val="single" w:sz="8" w:space="0" w:color="FFFFFF"/>
            </w:tcBorders>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p>
        </w:tc>
        <w:tc>
          <w:tcPr>
            <w:tcW w:w="1008" w:type="dxa"/>
            <w:vMerge/>
            <w:tcBorders>
              <w:top w:val="single" w:sz="8" w:space="0" w:color="000000"/>
              <w:left w:val="single" w:sz="8" w:space="0" w:color="FFFFFF"/>
              <w:bottom w:val="nil"/>
              <w:right w:val="single" w:sz="8" w:space="0" w:color="FFFFFF"/>
            </w:tcBorders>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p>
        </w:tc>
        <w:tc>
          <w:tcPr>
            <w:tcW w:w="1008" w:type="dxa"/>
            <w:vMerge/>
            <w:tcBorders>
              <w:top w:val="single" w:sz="8" w:space="0" w:color="000000"/>
              <w:left w:val="single" w:sz="8" w:space="0" w:color="FFFFFF"/>
              <w:bottom w:val="nil"/>
              <w:right w:val="single" w:sz="8" w:space="0" w:color="FFFFFF"/>
            </w:tcBorders>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p>
        </w:tc>
        <w:tc>
          <w:tcPr>
            <w:tcW w:w="999" w:type="dxa"/>
            <w:vMerge/>
            <w:tcBorders>
              <w:top w:val="single" w:sz="8" w:space="0" w:color="000000"/>
              <w:left w:val="single" w:sz="8" w:space="0" w:color="FFFFFF"/>
              <w:bottom w:val="nil"/>
              <w:right w:val="single" w:sz="8" w:space="0" w:color="FFFFFF"/>
            </w:tcBorders>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p>
        </w:tc>
        <w:tc>
          <w:tcPr>
            <w:tcW w:w="963" w:type="dxa"/>
            <w:vMerge/>
            <w:tcBorders>
              <w:top w:val="single" w:sz="8" w:space="0" w:color="000000"/>
              <w:left w:val="single" w:sz="8" w:space="0" w:color="FFFFFF"/>
              <w:bottom w:val="nil"/>
              <w:right w:val="single" w:sz="8" w:space="0" w:color="FFFFFF"/>
            </w:tcBorders>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p>
        </w:tc>
        <w:tc>
          <w:tcPr>
            <w:tcW w:w="1061" w:type="dxa"/>
            <w:vMerge/>
            <w:tcBorders>
              <w:top w:val="single" w:sz="8" w:space="0" w:color="000000"/>
              <w:left w:val="single" w:sz="8" w:space="0" w:color="FFFFFF"/>
              <w:bottom w:val="nil"/>
              <w:right w:val="single" w:sz="8" w:space="0" w:color="FFFFFF"/>
            </w:tcBorders>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p>
        </w:tc>
        <w:tc>
          <w:tcPr>
            <w:tcW w:w="960" w:type="dxa"/>
            <w:tcBorders>
              <w:top w:val="nil"/>
              <w:left w:val="nil"/>
              <w:bottom w:val="nil"/>
              <w:right w:val="single" w:sz="8" w:space="0" w:color="FFFFFF"/>
            </w:tcBorders>
            <w:shd w:val="clear" w:color="000000" w:fill="376091"/>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r w:rsidRPr="004E652B">
              <w:rPr>
                <w:rFonts w:ascii="Arial" w:eastAsia="Times New Roman" w:hAnsi="Arial" w:cs="Arial"/>
                <w:b/>
                <w:bCs/>
                <w:color w:val="FFFFFF"/>
                <w:sz w:val="16"/>
                <w:szCs w:val="16"/>
              </w:rPr>
              <w:t>Lower Bound</w:t>
            </w:r>
          </w:p>
        </w:tc>
        <w:tc>
          <w:tcPr>
            <w:tcW w:w="960" w:type="dxa"/>
            <w:tcBorders>
              <w:top w:val="nil"/>
              <w:left w:val="nil"/>
              <w:bottom w:val="nil"/>
              <w:right w:val="single" w:sz="8" w:space="0" w:color="000000"/>
            </w:tcBorders>
            <w:shd w:val="clear" w:color="000000" w:fill="376091"/>
            <w:vAlign w:val="center"/>
            <w:hideMark/>
          </w:tcPr>
          <w:p w:rsidR="00124047" w:rsidRPr="004E652B" w:rsidRDefault="00124047" w:rsidP="008F3B29">
            <w:pPr>
              <w:spacing w:after="0" w:line="240" w:lineRule="auto"/>
              <w:jc w:val="center"/>
              <w:rPr>
                <w:rFonts w:ascii="Arial" w:eastAsia="Times New Roman" w:hAnsi="Arial" w:cs="Arial"/>
                <w:b/>
                <w:bCs/>
                <w:color w:val="FFFFFF"/>
                <w:sz w:val="16"/>
                <w:szCs w:val="16"/>
              </w:rPr>
            </w:pPr>
            <w:r w:rsidRPr="004E652B">
              <w:rPr>
                <w:rFonts w:ascii="Arial" w:eastAsia="Times New Roman" w:hAnsi="Arial" w:cs="Arial"/>
                <w:b/>
                <w:bCs/>
                <w:color w:val="FFFFFF"/>
                <w:sz w:val="16"/>
                <w:szCs w:val="16"/>
              </w:rPr>
              <w:t>Upper Bound</w:t>
            </w:r>
          </w:p>
        </w:tc>
      </w:tr>
      <w:tr w:rsidR="00124047" w:rsidRPr="004E652B" w:rsidTr="00124047">
        <w:trPr>
          <w:trHeight w:val="396"/>
        </w:trPr>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rsidR="00124047" w:rsidRPr="004E652B" w:rsidRDefault="00124047" w:rsidP="00124047">
            <w:pPr>
              <w:spacing w:after="0" w:line="240" w:lineRule="auto"/>
              <w:jc w:val="center"/>
              <w:rPr>
                <w:rFonts w:ascii="Arial" w:eastAsia="Times New Roman" w:hAnsi="Arial" w:cs="Arial"/>
                <w:color w:val="000000"/>
                <w:sz w:val="16"/>
                <w:szCs w:val="16"/>
              </w:rPr>
            </w:pPr>
            <w:r w:rsidRPr="004E652B">
              <w:rPr>
                <w:rFonts w:ascii="Arial" w:eastAsia="Times New Roman" w:hAnsi="Arial" w:cs="Arial"/>
                <w:color w:val="000000"/>
                <w:sz w:val="16"/>
                <w:szCs w:val="16"/>
              </w:rPr>
              <w:t>Technical Incentives</w:t>
            </w:r>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CBP - DA</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6</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4.4</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0.3</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7.4%</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0.9</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35.0%</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-14.6%</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84.7%</w:t>
            </w:r>
          </w:p>
        </w:tc>
      </w:tr>
      <w:tr w:rsidR="00124047" w:rsidRPr="004E652B" w:rsidTr="00124047">
        <w:trPr>
          <w:trHeight w:val="396"/>
        </w:trPr>
        <w:tc>
          <w:tcPr>
            <w:tcW w:w="1105" w:type="dxa"/>
            <w:vMerge/>
            <w:tcBorders>
              <w:top w:val="nil"/>
              <w:left w:val="single" w:sz="4" w:space="0" w:color="auto"/>
              <w:bottom w:val="single" w:sz="4" w:space="0" w:color="auto"/>
              <w:right w:val="single" w:sz="4" w:space="0" w:color="auto"/>
            </w:tcBorders>
            <w:vAlign w:val="center"/>
            <w:hideMark/>
          </w:tcPr>
          <w:p w:rsidR="00124047" w:rsidRPr="004E652B" w:rsidRDefault="00124047" w:rsidP="00124047">
            <w:pPr>
              <w:spacing w:after="0" w:line="240" w:lineRule="auto"/>
              <w:rPr>
                <w:rFonts w:ascii="Arial" w:eastAsia="Times New Roman" w:hAnsi="Arial" w:cs="Arial"/>
                <w:color w:val="000000"/>
                <w:sz w:val="16"/>
                <w:szCs w:val="16"/>
              </w:rPr>
            </w:pPr>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CBP - DO</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57</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15.6</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2.3</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14.8%</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3.9</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59.8%</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47.7%</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71.9%</w:t>
            </w:r>
          </w:p>
        </w:tc>
      </w:tr>
      <w:tr w:rsidR="00124047" w:rsidRPr="004E652B" w:rsidTr="00124047">
        <w:trPr>
          <w:trHeight w:val="396"/>
        </w:trPr>
        <w:tc>
          <w:tcPr>
            <w:tcW w:w="1105" w:type="dxa"/>
            <w:vMerge/>
            <w:tcBorders>
              <w:top w:val="nil"/>
              <w:left w:val="single" w:sz="4" w:space="0" w:color="auto"/>
              <w:bottom w:val="single" w:sz="4" w:space="0" w:color="auto"/>
              <w:right w:val="single" w:sz="4" w:space="0" w:color="auto"/>
            </w:tcBorders>
            <w:vAlign w:val="center"/>
            <w:hideMark/>
          </w:tcPr>
          <w:p w:rsidR="00124047" w:rsidRPr="004E652B" w:rsidRDefault="00124047" w:rsidP="00124047">
            <w:pPr>
              <w:spacing w:after="0" w:line="240" w:lineRule="auto"/>
              <w:rPr>
                <w:rFonts w:ascii="Arial" w:eastAsia="Times New Roman" w:hAnsi="Arial" w:cs="Arial"/>
                <w:color w:val="000000"/>
                <w:sz w:val="16"/>
                <w:szCs w:val="16"/>
              </w:rPr>
            </w:pPr>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63</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19.2</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2.6</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13.6%</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4.7</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56.2%</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42.0%</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70.3%</w:t>
            </w:r>
          </w:p>
        </w:tc>
      </w:tr>
      <w:tr w:rsidR="00124047" w:rsidRPr="004E652B" w:rsidTr="00124047">
        <w:trPr>
          <w:trHeight w:val="396"/>
        </w:trPr>
        <w:tc>
          <w:tcPr>
            <w:tcW w:w="1105" w:type="dxa"/>
            <w:vMerge w:val="restart"/>
            <w:tcBorders>
              <w:top w:val="nil"/>
              <w:left w:val="single" w:sz="4" w:space="0" w:color="auto"/>
              <w:bottom w:val="single" w:sz="4" w:space="0" w:color="auto"/>
              <w:right w:val="single" w:sz="4" w:space="0" w:color="auto"/>
            </w:tcBorders>
            <w:shd w:val="clear" w:color="auto" w:fill="auto"/>
            <w:vAlign w:val="center"/>
            <w:hideMark/>
          </w:tcPr>
          <w:p w:rsidR="00124047" w:rsidRPr="004E652B" w:rsidRDefault="00124047" w:rsidP="00124047">
            <w:pPr>
              <w:spacing w:after="0" w:line="240" w:lineRule="auto"/>
              <w:jc w:val="center"/>
              <w:rPr>
                <w:rFonts w:ascii="Arial" w:eastAsia="Times New Roman" w:hAnsi="Arial" w:cs="Arial"/>
                <w:color w:val="000000"/>
                <w:sz w:val="16"/>
                <w:szCs w:val="16"/>
              </w:rPr>
            </w:pPr>
            <w:proofErr w:type="spellStart"/>
            <w:r w:rsidRPr="004E652B">
              <w:rPr>
                <w:rFonts w:ascii="Arial" w:eastAsia="Times New Roman" w:hAnsi="Arial" w:cs="Arial"/>
                <w:color w:val="000000"/>
                <w:sz w:val="16"/>
                <w:szCs w:val="16"/>
              </w:rPr>
              <w:t>AutoDR</w:t>
            </w:r>
            <w:proofErr w:type="spellEnd"/>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CBP - DA</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3</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2.5</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0.2</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7.4%</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0.5</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34.1%</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-34.9%</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103.0%</w:t>
            </w:r>
          </w:p>
        </w:tc>
      </w:tr>
      <w:tr w:rsidR="00124047" w:rsidRPr="004E652B" w:rsidTr="00124047">
        <w:trPr>
          <w:trHeight w:val="396"/>
        </w:trPr>
        <w:tc>
          <w:tcPr>
            <w:tcW w:w="1105" w:type="dxa"/>
            <w:vMerge/>
            <w:tcBorders>
              <w:top w:val="nil"/>
              <w:left w:val="single" w:sz="4" w:space="0" w:color="auto"/>
              <w:bottom w:val="single" w:sz="4" w:space="0" w:color="auto"/>
              <w:right w:val="single" w:sz="4" w:space="0" w:color="auto"/>
            </w:tcBorders>
            <w:vAlign w:val="center"/>
            <w:hideMark/>
          </w:tcPr>
          <w:p w:rsidR="00124047" w:rsidRPr="004E652B" w:rsidRDefault="00124047" w:rsidP="00124047">
            <w:pPr>
              <w:spacing w:after="0" w:line="240" w:lineRule="auto"/>
              <w:rPr>
                <w:rFonts w:ascii="Arial" w:eastAsia="Times New Roman" w:hAnsi="Arial" w:cs="Arial"/>
                <w:color w:val="000000"/>
                <w:sz w:val="16"/>
                <w:szCs w:val="16"/>
              </w:rPr>
            </w:pPr>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CBP - DO</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81</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6.9</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1</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14.4%</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3.7</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26.5%</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19.1%</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sz w:val="16"/>
                <w:szCs w:val="16"/>
              </w:rPr>
            </w:pPr>
            <w:r w:rsidRPr="00FC2AAD">
              <w:rPr>
                <w:sz w:val="16"/>
                <w:szCs w:val="16"/>
              </w:rPr>
              <w:t>33.8%</w:t>
            </w:r>
          </w:p>
        </w:tc>
      </w:tr>
      <w:tr w:rsidR="00124047" w:rsidRPr="004E652B" w:rsidTr="00124047">
        <w:trPr>
          <w:trHeight w:val="396"/>
        </w:trPr>
        <w:tc>
          <w:tcPr>
            <w:tcW w:w="1105" w:type="dxa"/>
            <w:vMerge/>
            <w:tcBorders>
              <w:top w:val="nil"/>
              <w:left w:val="single" w:sz="4" w:space="0" w:color="auto"/>
              <w:bottom w:val="single" w:sz="4" w:space="0" w:color="auto"/>
              <w:right w:val="single" w:sz="4" w:space="0" w:color="auto"/>
            </w:tcBorders>
            <w:vAlign w:val="center"/>
            <w:hideMark/>
          </w:tcPr>
          <w:p w:rsidR="00124047" w:rsidRPr="004E652B" w:rsidRDefault="00124047" w:rsidP="00124047">
            <w:pPr>
              <w:spacing w:after="0" w:line="240" w:lineRule="auto"/>
              <w:rPr>
                <w:rFonts w:ascii="Arial" w:eastAsia="Times New Roman" w:hAnsi="Arial" w:cs="Arial"/>
                <w:color w:val="000000"/>
                <w:sz w:val="16"/>
                <w:szCs w:val="16"/>
              </w:rPr>
            </w:pPr>
          </w:p>
        </w:tc>
        <w:tc>
          <w:tcPr>
            <w:tcW w:w="1079"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TOTAL</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84</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8.7</w:t>
            </w:r>
          </w:p>
        </w:tc>
        <w:tc>
          <w:tcPr>
            <w:tcW w:w="1008"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1.1</w:t>
            </w:r>
          </w:p>
        </w:tc>
        <w:tc>
          <w:tcPr>
            <w:tcW w:w="999"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13.0%</w:t>
            </w:r>
          </w:p>
        </w:tc>
        <w:tc>
          <w:tcPr>
            <w:tcW w:w="963"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4.2</w:t>
            </w:r>
          </w:p>
        </w:tc>
        <w:tc>
          <w:tcPr>
            <w:tcW w:w="1061"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27.2%</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16.7%</w:t>
            </w:r>
          </w:p>
        </w:tc>
        <w:tc>
          <w:tcPr>
            <w:tcW w:w="960" w:type="dxa"/>
            <w:tcBorders>
              <w:top w:val="nil"/>
              <w:left w:val="nil"/>
              <w:bottom w:val="single" w:sz="4" w:space="0" w:color="auto"/>
              <w:right w:val="single" w:sz="4" w:space="0" w:color="auto"/>
            </w:tcBorders>
            <w:shd w:val="clear" w:color="auto" w:fill="auto"/>
            <w:noWrap/>
            <w:vAlign w:val="center"/>
            <w:hideMark/>
          </w:tcPr>
          <w:p w:rsidR="00124047" w:rsidRPr="00FC2AAD" w:rsidRDefault="00124047" w:rsidP="00124047">
            <w:pPr>
              <w:pStyle w:val="TableText"/>
              <w:rPr>
                <w:b/>
                <w:bCs/>
                <w:sz w:val="16"/>
                <w:szCs w:val="16"/>
              </w:rPr>
            </w:pPr>
            <w:r w:rsidRPr="00FC2AAD">
              <w:rPr>
                <w:b/>
                <w:bCs/>
                <w:sz w:val="16"/>
                <w:szCs w:val="16"/>
              </w:rPr>
              <w:t>37.6%</w:t>
            </w:r>
          </w:p>
        </w:tc>
      </w:tr>
    </w:tbl>
    <w:p w:rsidR="007B31BC" w:rsidRDefault="00124047" w:rsidP="00124047">
      <w:pPr>
        <w:pStyle w:val="BodyParaAfterTableFigure"/>
      </w:pPr>
      <w:r>
        <w:t xml:space="preserve">Overall, 56% </w:t>
      </w:r>
      <w:r>
        <w:rPr>
          <w:rFonts w:cs="Arial"/>
        </w:rPr>
        <w:t>±</w:t>
      </w:r>
      <w:r>
        <w:t xml:space="preserve">14% of the approved TI load shed is actually shed during events.  For TI, the realization rate depends on whether the equipment is typically used during event like conditions and whether the customer decides to drop load.  The realization rate for </w:t>
      </w:r>
      <w:proofErr w:type="spellStart"/>
      <w:r>
        <w:t>AutoDR</w:t>
      </w:r>
      <w:proofErr w:type="spellEnd"/>
      <w:r>
        <w:t xml:space="preserve">, at 27% </w:t>
      </w:r>
      <w:r>
        <w:rPr>
          <w:rFonts w:cs="Arial"/>
        </w:rPr>
        <w:t>±</w:t>
      </w:r>
      <w:r>
        <w:t>11%, is significantly less than that of TI.</w:t>
      </w:r>
    </w:p>
    <w:p w:rsidR="002070AB" w:rsidRDefault="007B31BC" w:rsidP="002070AB">
      <w:pPr>
        <w:pStyle w:val="Heading1"/>
        <w:numPr>
          <w:ilvl w:val="0"/>
          <w:numId w:val="44"/>
        </w:numPr>
      </w:pPr>
      <w:r>
        <w:br w:type="column"/>
      </w:r>
      <w:bookmarkStart w:id="369" w:name="_Toc326074037"/>
      <w:r w:rsidR="002070AB">
        <w:lastRenderedPageBreak/>
        <w:t>Ex Ante Load Impact Estimates for PG&amp;E’s AMP and CBP Programs</w:t>
      </w:r>
      <w:bookmarkEnd w:id="369"/>
    </w:p>
    <w:p w:rsidR="002070AB" w:rsidRDefault="002070AB" w:rsidP="002070AB">
      <w:pPr>
        <w:pStyle w:val="BodyParagraph"/>
      </w:pPr>
      <w:r w:rsidRPr="007954D4">
        <w:t xml:space="preserve">This section presents ex ante load impact estimates for </w:t>
      </w:r>
      <w:r>
        <w:t>PG&amp;E's</w:t>
      </w:r>
      <w:r w:rsidRPr="007954D4">
        <w:t xml:space="preserve"> </w:t>
      </w:r>
      <w:r>
        <w:t xml:space="preserve">CBP and AMP programs.  The main purpose of ex ante load impact estimates is to reflect the load reduction capability of a DR resource under a standard set of conditions that align with system planning.  These estimates are used in assessing alternatives for meeting peak demand, cost-effectiveness comparisons and long-term planning.  </w:t>
      </w:r>
    </w:p>
    <w:p w:rsidR="002070AB" w:rsidRDefault="002070AB" w:rsidP="002070AB">
      <w:pPr>
        <w:pStyle w:val="BodyParagraph"/>
      </w:pPr>
      <w:r>
        <w:t xml:space="preserve">The </w:t>
      </w:r>
      <w:r w:rsidRPr="00B73C21">
        <w:t xml:space="preserve">remainder of this section separately presents the ex ante load impact projections for </w:t>
      </w:r>
      <w:r>
        <w:t xml:space="preserve">AMP and CBP </w:t>
      </w:r>
      <w:r w:rsidRPr="00B73C21">
        <w:t xml:space="preserve">customers projected to </w:t>
      </w:r>
      <w:r>
        <w:t>be nominated for DR resources</w:t>
      </w:r>
      <w:r w:rsidRPr="00B73C21">
        <w:t xml:space="preserve">.  </w:t>
      </w:r>
      <w:r>
        <w:t>T</w:t>
      </w:r>
      <w:r w:rsidRPr="00B73C21">
        <w:t>he load reduction capability is summarized during annual system peak day condition</w:t>
      </w:r>
      <w:r>
        <w:t>s for</w:t>
      </w:r>
      <w:r w:rsidRPr="00B73C21">
        <w:t xml:space="preserve"> </w:t>
      </w:r>
      <w:r>
        <w:t xml:space="preserve">a </w:t>
      </w:r>
      <w:r w:rsidRPr="00B73C21">
        <w:t>1-in-2 and a 1</w:t>
      </w:r>
      <w:r>
        <w:t>-in-10 weather year for the 2012 to 2022</w:t>
      </w:r>
      <w:r w:rsidRPr="00B73C21">
        <w:t xml:space="preserve"> period.  In addition, this section </w:t>
      </w:r>
      <w:r>
        <w:t xml:space="preserve">illustrates </w:t>
      </w:r>
      <w:r w:rsidRPr="00B73C21">
        <w:t xml:space="preserve">how impacts </w:t>
      </w:r>
      <w:r>
        <w:t xml:space="preserve">per customer </w:t>
      </w:r>
      <w:r w:rsidRPr="00B73C21">
        <w:t>vary by geographic location</w:t>
      </w:r>
      <w:r>
        <w:t>, customer size</w:t>
      </w:r>
      <w:r w:rsidRPr="00B73C21">
        <w:t xml:space="preserve"> and month under the standardized ex ante conditions.</w:t>
      </w:r>
    </w:p>
    <w:p w:rsidR="002070AB" w:rsidRDefault="002070AB" w:rsidP="00832523">
      <w:pPr>
        <w:pStyle w:val="BodyParagraph"/>
      </w:pPr>
      <w:r>
        <w:t xml:space="preserve">Note that ex ante </w:t>
      </w:r>
      <w:r w:rsidR="00832523">
        <w:t>load impacts can</w:t>
      </w:r>
      <w:r>
        <w:t xml:space="preserve"> differ</w:t>
      </w:r>
      <w:r w:rsidR="00832523">
        <w:t xml:space="preserve"> substantially</w:t>
      </w:r>
      <w:r>
        <w:t xml:space="preserve"> from ex post load impacts.  </w:t>
      </w:r>
      <w:r w:rsidR="00832523">
        <w:t>E</w:t>
      </w:r>
      <w:r>
        <w:t>x ante estimates illustrate resources available when all nominated accounts are solicited for an event</w:t>
      </w:r>
      <w:r w:rsidR="00832523">
        <w:t xml:space="preserve"> and reflect historical performance by customers over multiple years</w:t>
      </w:r>
      <w:r>
        <w:t xml:space="preserve">. </w:t>
      </w:r>
      <w:r w:rsidR="00832523">
        <w:t xml:space="preserve"> In contrast, during individual events, utilities do not always solicit resources from every aggregator or product.  For many events, only a subset of available resources is dispatched.  Ex ante impacts also reflect expected changes in enrollment the participant mix.  For example, customers from another PG&amp;E DR program, </w:t>
      </w:r>
      <w:proofErr w:type="spellStart"/>
      <w:r w:rsidR="00832523">
        <w:t>PeakChoice</w:t>
      </w:r>
      <w:proofErr w:type="spellEnd"/>
      <w:r w:rsidR="00832523">
        <w:t xml:space="preserve">, will transition to CBP starting in 2013.  These customers tend to be smaller than current CBP participants. </w:t>
      </w:r>
    </w:p>
    <w:p w:rsidR="00FD558F" w:rsidRDefault="00FD558F" w:rsidP="00FD558F">
      <w:pPr>
        <w:pStyle w:val="Heading2"/>
      </w:pPr>
      <w:bookmarkStart w:id="370" w:name="_Toc326074038"/>
      <w:r>
        <w:t>Ex Ante Load Impact Estimates for the Aggregator Managed Portfolio Program</w:t>
      </w:r>
      <w:bookmarkEnd w:id="370"/>
    </w:p>
    <w:p w:rsidR="002070AB" w:rsidRDefault="00C61D83" w:rsidP="002070AB">
      <w:pPr>
        <w:pStyle w:val="BodyParagraph"/>
      </w:pPr>
      <w:fldSimple w:instr=" REF _Ref324253547 ">
        <w:r w:rsidR="00F66D5E" w:rsidRPr="00AF1031">
          <w:t xml:space="preserve">Table </w:t>
        </w:r>
        <w:r w:rsidR="00F66D5E">
          <w:t>7</w:t>
        </w:r>
        <w:r w:rsidR="00F66D5E">
          <w:noBreakHyphen/>
        </w:r>
        <w:r w:rsidR="00F66D5E">
          <w:rPr>
            <w:noProof/>
          </w:rPr>
          <w:t>7</w:t>
        </w:r>
        <w:r w:rsidR="00F66D5E">
          <w:noBreakHyphen/>
        </w:r>
        <w:r w:rsidR="00F66D5E">
          <w:rPr>
            <w:noProof/>
          </w:rPr>
          <w:t>1</w:t>
        </w:r>
      </w:fldSimple>
      <w:r w:rsidR="002070AB">
        <w:t xml:space="preserve"> presents annual enrollment and nominations forecasts for the AMP program through 2022.  </w:t>
      </w:r>
      <w:r w:rsidR="0091362B">
        <w:t>PG&amp;E assumes no program growth for AMP</w:t>
      </w:r>
      <w:r w:rsidR="002070AB">
        <w:t xml:space="preserve">.  </w:t>
      </w:r>
      <w:r w:rsidR="00765A21">
        <w:t>W</w:t>
      </w:r>
      <w:r w:rsidR="002070AB">
        <w:t>e assume that the proportion of customers nominated for a given event will match the average proportion observed during events in 2010 and 2011.</w:t>
      </w:r>
    </w:p>
    <w:p w:rsidR="002070AB" w:rsidRDefault="002070AB" w:rsidP="002070AB">
      <w:pPr>
        <w:pStyle w:val="TableFigureCaption"/>
      </w:pPr>
      <w:bookmarkStart w:id="371" w:name="_Ref324253547"/>
      <w:r w:rsidRPr="00AF1031">
        <w:t xml:space="preserve">Table </w:t>
      </w:r>
      <w:r>
        <w:t>7</w:t>
      </w:r>
      <w:r>
        <w:noBreakHyphen/>
      </w:r>
      <w:fldSimple w:instr=" STYLEREF 1 \s ">
        <w:r w:rsidR="00F66D5E">
          <w:rPr>
            <w:noProof/>
          </w:rPr>
          <w:t>7</w:t>
        </w:r>
      </w:fldSimple>
      <w:r w:rsidR="00F55000">
        <w:noBreakHyphen/>
      </w:r>
      <w:fldSimple w:instr=" SEQ Table \* ARABIC \s 1 ">
        <w:r w:rsidR="00F66D5E">
          <w:rPr>
            <w:noProof/>
          </w:rPr>
          <w:t>1</w:t>
        </w:r>
      </w:fldSimple>
      <w:bookmarkEnd w:id="371"/>
      <w:r w:rsidRPr="00AF1031">
        <w:t>:</w:t>
      </w:r>
    </w:p>
    <w:p w:rsidR="002070AB" w:rsidRPr="00AF1031" w:rsidRDefault="002070AB" w:rsidP="002070AB">
      <w:pPr>
        <w:pStyle w:val="TableFigureCaption"/>
      </w:pPr>
      <w:r w:rsidRPr="00AF1031">
        <w:t xml:space="preserve">PG&amp;E’s </w:t>
      </w:r>
      <w:r>
        <w:t xml:space="preserve">Enrollment and </w:t>
      </w:r>
      <w:r w:rsidRPr="00AF1031">
        <w:t>Nomination</w:t>
      </w:r>
      <w:r>
        <w:t>s</w:t>
      </w:r>
      <w:r w:rsidRPr="00AF1031">
        <w:t xml:space="preserve"> Projections for AMP </w:t>
      </w:r>
      <w:r>
        <w:t>by Forecast Year</w:t>
      </w:r>
    </w:p>
    <w:tbl>
      <w:tblPr>
        <w:tblW w:w="5460" w:type="dxa"/>
        <w:jc w:val="center"/>
        <w:tblInd w:w="95" w:type="dxa"/>
        <w:tblLook w:val="04A0"/>
      </w:tblPr>
      <w:tblGrid>
        <w:gridCol w:w="1620"/>
        <w:gridCol w:w="1017"/>
        <w:gridCol w:w="1250"/>
        <w:gridCol w:w="1017"/>
        <w:gridCol w:w="1250"/>
      </w:tblGrid>
      <w:tr w:rsidR="0091362B" w:rsidRPr="0091362B" w:rsidTr="0091362B">
        <w:trPr>
          <w:trHeight w:val="300"/>
          <w:jc w:val="center"/>
        </w:trPr>
        <w:tc>
          <w:tcPr>
            <w:tcW w:w="1620" w:type="dxa"/>
            <w:vMerge w:val="restart"/>
            <w:tcBorders>
              <w:top w:val="nil"/>
              <w:left w:val="nil"/>
              <w:bottom w:val="nil"/>
              <w:right w:val="single" w:sz="8" w:space="0" w:color="FFFFFF"/>
            </w:tcBorders>
            <w:shd w:val="clear" w:color="000000" w:fill="1F497D"/>
            <w:vAlign w:val="bottom"/>
            <w:hideMark/>
          </w:tcPr>
          <w:p w:rsidR="0091362B" w:rsidRPr="0091362B" w:rsidRDefault="0091362B" w:rsidP="00863F0C">
            <w:pPr>
              <w:pStyle w:val="TableHeader"/>
              <w:rPr>
                <w:rFonts w:eastAsia="Times New Roman"/>
              </w:rPr>
            </w:pPr>
            <w:r w:rsidRPr="0091362B">
              <w:rPr>
                <w:rFonts w:eastAsia="Times New Roman"/>
              </w:rPr>
              <w:t>Forecast Year</w:t>
            </w:r>
          </w:p>
        </w:tc>
        <w:tc>
          <w:tcPr>
            <w:tcW w:w="3840" w:type="dxa"/>
            <w:gridSpan w:val="4"/>
            <w:tcBorders>
              <w:top w:val="nil"/>
              <w:left w:val="nil"/>
              <w:bottom w:val="single" w:sz="8" w:space="0" w:color="FFFFFF"/>
              <w:right w:val="single" w:sz="8" w:space="0" w:color="FFFFFF"/>
            </w:tcBorders>
            <w:shd w:val="clear" w:color="000000" w:fill="1F497D"/>
            <w:vAlign w:val="bottom"/>
            <w:hideMark/>
          </w:tcPr>
          <w:p w:rsidR="0091362B" w:rsidRPr="0091362B" w:rsidRDefault="0091362B" w:rsidP="00863F0C">
            <w:pPr>
              <w:pStyle w:val="TableHeader"/>
              <w:rPr>
                <w:rFonts w:eastAsia="Times New Roman"/>
              </w:rPr>
            </w:pPr>
            <w:r w:rsidRPr="0091362B">
              <w:rPr>
                <w:rFonts w:eastAsia="Times New Roman"/>
              </w:rPr>
              <w:t>AMP</w:t>
            </w:r>
          </w:p>
        </w:tc>
      </w:tr>
      <w:tr w:rsidR="0091362B" w:rsidRPr="0091362B" w:rsidTr="0091362B">
        <w:trPr>
          <w:trHeight w:val="300"/>
          <w:jc w:val="center"/>
        </w:trPr>
        <w:tc>
          <w:tcPr>
            <w:tcW w:w="1620" w:type="dxa"/>
            <w:vMerge/>
            <w:tcBorders>
              <w:top w:val="nil"/>
              <w:left w:val="nil"/>
              <w:bottom w:val="nil"/>
              <w:right w:val="single" w:sz="8" w:space="0" w:color="FFFFFF"/>
            </w:tcBorders>
            <w:vAlign w:val="center"/>
            <w:hideMark/>
          </w:tcPr>
          <w:p w:rsidR="0091362B" w:rsidRPr="0091362B" w:rsidRDefault="0091362B" w:rsidP="00863F0C">
            <w:pPr>
              <w:pStyle w:val="TableHeader"/>
              <w:rPr>
                <w:rFonts w:eastAsia="Times New Roman"/>
              </w:rPr>
            </w:pPr>
          </w:p>
        </w:tc>
        <w:tc>
          <w:tcPr>
            <w:tcW w:w="1920" w:type="dxa"/>
            <w:gridSpan w:val="2"/>
            <w:tcBorders>
              <w:top w:val="single" w:sz="8" w:space="0" w:color="FFFFFF"/>
              <w:left w:val="nil"/>
              <w:bottom w:val="single" w:sz="8" w:space="0" w:color="FFFFFF"/>
              <w:right w:val="single" w:sz="8" w:space="0" w:color="FFFFFF"/>
            </w:tcBorders>
            <w:shd w:val="clear" w:color="000000" w:fill="1F497D"/>
            <w:noWrap/>
            <w:vAlign w:val="bottom"/>
            <w:hideMark/>
          </w:tcPr>
          <w:p w:rsidR="0091362B" w:rsidRPr="0091362B" w:rsidRDefault="0091362B" w:rsidP="00863F0C">
            <w:pPr>
              <w:pStyle w:val="TableHeader"/>
              <w:rPr>
                <w:rFonts w:eastAsia="Times New Roman"/>
              </w:rPr>
            </w:pPr>
            <w:r w:rsidRPr="0091362B">
              <w:rPr>
                <w:rFonts w:eastAsia="Times New Roman"/>
              </w:rPr>
              <w:t>DA</w:t>
            </w:r>
          </w:p>
        </w:tc>
        <w:tc>
          <w:tcPr>
            <w:tcW w:w="1920" w:type="dxa"/>
            <w:gridSpan w:val="2"/>
            <w:tcBorders>
              <w:top w:val="single" w:sz="8" w:space="0" w:color="FFFFFF"/>
              <w:left w:val="nil"/>
              <w:bottom w:val="single" w:sz="8" w:space="0" w:color="FFFFFF"/>
              <w:right w:val="single" w:sz="8" w:space="0" w:color="FFFFFF"/>
            </w:tcBorders>
            <w:shd w:val="clear" w:color="000000" w:fill="1F497D"/>
            <w:noWrap/>
            <w:vAlign w:val="bottom"/>
            <w:hideMark/>
          </w:tcPr>
          <w:p w:rsidR="0091362B" w:rsidRPr="0091362B" w:rsidRDefault="0091362B" w:rsidP="00863F0C">
            <w:pPr>
              <w:pStyle w:val="TableHeader"/>
              <w:rPr>
                <w:rFonts w:eastAsia="Times New Roman"/>
              </w:rPr>
            </w:pPr>
            <w:r w:rsidRPr="0091362B">
              <w:rPr>
                <w:rFonts w:eastAsia="Times New Roman"/>
              </w:rPr>
              <w:t>DO</w:t>
            </w:r>
          </w:p>
        </w:tc>
      </w:tr>
      <w:tr w:rsidR="0091362B" w:rsidRPr="0091362B" w:rsidTr="0091362B">
        <w:trPr>
          <w:trHeight w:val="288"/>
          <w:jc w:val="center"/>
        </w:trPr>
        <w:tc>
          <w:tcPr>
            <w:tcW w:w="1620" w:type="dxa"/>
            <w:vMerge/>
            <w:tcBorders>
              <w:top w:val="nil"/>
              <w:left w:val="nil"/>
              <w:bottom w:val="nil"/>
              <w:right w:val="single" w:sz="8" w:space="0" w:color="FFFFFF"/>
            </w:tcBorders>
            <w:vAlign w:val="center"/>
            <w:hideMark/>
          </w:tcPr>
          <w:p w:rsidR="0091362B" w:rsidRPr="0091362B" w:rsidRDefault="0091362B" w:rsidP="00863F0C">
            <w:pPr>
              <w:pStyle w:val="TableHeader"/>
              <w:rPr>
                <w:rFonts w:eastAsia="Times New Roman"/>
              </w:rPr>
            </w:pPr>
          </w:p>
        </w:tc>
        <w:tc>
          <w:tcPr>
            <w:tcW w:w="832" w:type="dxa"/>
            <w:tcBorders>
              <w:top w:val="nil"/>
              <w:left w:val="nil"/>
              <w:bottom w:val="nil"/>
              <w:right w:val="single" w:sz="8" w:space="0" w:color="FFFFFF"/>
            </w:tcBorders>
            <w:shd w:val="clear" w:color="000000" w:fill="1F497D"/>
            <w:noWrap/>
            <w:vAlign w:val="bottom"/>
            <w:hideMark/>
          </w:tcPr>
          <w:p w:rsidR="0091362B" w:rsidRPr="0091362B" w:rsidRDefault="0091362B" w:rsidP="00863F0C">
            <w:pPr>
              <w:pStyle w:val="TableHeader"/>
              <w:rPr>
                <w:rFonts w:eastAsia="Times New Roman"/>
              </w:rPr>
            </w:pPr>
            <w:r w:rsidRPr="0091362B">
              <w:rPr>
                <w:rFonts w:eastAsia="Times New Roman"/>
              </w:rPr>
              <w:t>Enrolled</w:t>
            </w:r>
          </w:p>
        </w:tc>
        <w:tc>
          <w:tcPr>
            <w:tcW w:w="1088" w:type="dxa"/>
            <w:tcBorders>
              <w:top w:val="nil"/>
              <w:left w:val="nil"/>
              <w:bottom w:val="nil"/>
              <w:right w:val="single" w:sz="8" w:space="0" w:color="FFFFFF"/>
            </w:tcBorders>
            <w:shd w:val="clear" w:color="000000" w:fill="1F497D"/>
            <w:noWrap/>
            <w:vAlign w:val="bottom"/>
            <w:hideMark/>
          </w:tcPr>
          <w:p w:rsidR="0091362B" w:rsidRPr="0091362B" w:rsidRDefault="0091362B" w:rsidP="00863F0C">
            <w:pPr>
              <w:pStyle w:val="TableHeader"/>
              <w:rPr>
                <w:rFonts w:eastAsia="Times New Roman"/>
              </w:rPr>
            </w:pPr>
            <w:r w:rsidRPr="0091362B">
              <w:rPr>
                <w:rFonts w:eastAsia="Times New Roman"/>
              </w:rPr>
              <w:t>Nominated</w:t>
            </w:r>
          </w:p>
        </w:tc>
        <w:tc>
          <w:tcPr>
            <w:tcW w:w="832" w:type="dxa"/>
            <w:tcBorders>
              <w:top w:val="nil"/>
              <w:left w:val="nil"/>
              <w:bottom w:val="nil"/>
              <w:right w:val="single" w:sz="8" w:space="0" w:color="FFFFFF"/>
            </w:tcBorders>
            <w:shd w:val="clear" w:color="000000" w:fill="1F497D"/>
            <w:noWrap/>
            <w:vAlign w:val="bottom"/>
            <w:hideMark/>
          </w:tcPr>
          <w:p w:rsidR="0091362B" w:rsidRPr="0091362B" w:rsidRDefault="0091362B" w:rsidP="00863F0C">
            <w:pPr>
              <w:pStyle w:val="TableHeader"/>
              <w:rPr>
                <w:rFonts w:eastAsia="Times New Roman"/>
              </w:rPr>
            </w:pPr>
            <w:r w:rsidRPr="0091362B">
              <w:rPr>
                <w:rFonts w:eastAsia="Times New Roman"/>
              </w:rPr>
              <w:t>Enrolled</w:t>
            </w:r>
          </w:p>
        </w:tc>
        <w:tc>
          <w:tcPr>
            <w:tcW w:w="1088" w:type="dxa"/>
            <w:tcBorders>
              <w:top w:val="nil"/>
              <w:left w:val="nil"/>
              <w:bottom w:val="nil"/>
              <w:right w:val="nil"/>
            </w:tcBorders>
            <w:shd w:val="clear" w:color="000000" w:fill="1F497D"/>
            <w:noWrap/>
            <w:vAlign w:val="bottom"/>
            <w:hideMark/>
          </w:tcPr>
          <w:p w:rsidR="0091362B" w:rsidRPr="0091362B" w:rsidRDefault="0091362B" w:rsidP="00863F0C">
            <w:pPr>
              <w:pStyle w:val="TableHeader"/>
              <w:rPr>
                <w:rFonts w:eastAsia="Times New Roman"/>
              </w:rPr>
            </w:pPr>
            <w:r w:rsidRPr="0091362B">
              <w:rPr>
                <w:rFonts w:eastAsia="Times New Roman"/>
              </w:rPr>
              <w:t>Nominated</w:t>
            </w:r>
          </w:p>
        </w:tc>
      </w:tr>
      <w:tr w:rsidR="0091362B" w:rsidRPr="0091362B" w:rsidTr="0091362B">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2012</w:t>
            </w:r>
          </w:p>
        </w:tc>
        <w:tc>
          <w:tcPr>
            <w:tcW w:w="832" w:type="dxa"/>
            <w:tcBorders>
              <w:top w:val="nil"/>
              <w:left w:val="nil"/>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249</w:t>
            </w:r>
          </w:p>
        </w:tc>
        <w:tc>
          <w:tcPr>
            <w:tcW w:w="1088" w:type="dxa"/>
            <w:tcBorders>
              <w:top w:val="nil"/>
              <w:left w:val="nil"/>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221</w:t>
            </w:r>
          </w:p>
        </w:tc>
        <w:tc>
          <w:tcPr>
            <w:tcW w:w="832" w:type="dxa"/>
            <w:tcBorders>
              <w:top w:val="nil"/>
              <w:left w:val="nil"/>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1872</w:t>
            </w:r>
          </w:p>
        </w:tc>
        <w:tc>
          <w:tcPr>
            <w:tcW w:w="1088" w:type="dxa"/>
            <w:tcBorders>
              <w:top w:val="nil"/>
              <w:left w:val="nil"/>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1370</w:t>
            </w:r>
          </w:p>
        </w:tc>
      </w:tr>
      <w:tr w:rsidR="0091362B" w:rsidRPr="0091362B" w:rsidTr="0091362B">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2013</w:t>
            </w:r>
          </w:p>
        </w:tc>
        <w:tc>
          <w:tcPr>
            <w:tcW w:w="832" w:type="dxa"/>
            <w:tcBorders>
              <w:top w:val="nil"/>
              <w:left w:val="nil"/>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249</w:t>
            </w:r>
          </w:p>
        </w:tc>
        <w:tc>
          <w:tcPr>
            <w:tcW w:w="1088" w:type="dxa"/>
            <w:tcBorders>
              <w:top w:val="nil"/>
              <w:left w:val="nil"/>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221</w:t>
            </w:r>
          </w:p>
        </w:tc>
        <w:tc>
          <w:tcPr>
            <w:tcW w:w="832" w:type="dxa"/>
            <w:tcBorders>
              <w:top w:val="nil"/>
              <w:left w:val="nil"/>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1872</w:t>
            </w:r>
          </w:p>
        </w:tc>
        <w:tc>
          <w:tcPr>
            <w:tcW w:w="1088" w:type="dxa"/>
            <w:tcBorders>
              <w:top w:val="nil"/>
              <w:left w:val="nil"/>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1370</w:t>
            </w:r>
          </w:p>
        </w:tc>
      </w:tr>
      <w:tr w:rsidR="0091362B" w:rsidRPr="0091362B" w:rsidTr="0091362B">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2014 - 2022</w:t>
            </w:r>
          </w:p>
        </w:tc>
        <w:tc>
          <w:tcPr>
            <w:tcW w:w="832" w:type="dxa"/>
            <w:tcBorders>
              <w:top w:val="nil"/>
              <w:left w:val="nil"/>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249</w:t>
            </w:r>
          </w:p>
        </w:tc>
        <w:tc>
          <w:tcPr>
            <w:tcW w:w="1088" w:type="dxa"/>
            <w:tcBorders>
              <w:top w:val="nil"/>
              <w:left w:val="nil"/>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221</w:t>
            </w:r>
          </w:p>
        </w:tc>
        <w:tc>
          <w:tcPr>
            <w:tcW w:w="832" w:type="dxa"/>
            <w:tcBorders>
              <w:top w:val="nil"/>
              <w:left w:val="nil"/>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1872</w:t>
            </w:r>
          </w:p>
        </w:tc>
        <w:tc>
          <w:tcPr>
            <w:tcW w:w="1088" w:type="dxa"/>
            <w:tcBorders>
              <w:top w:val="nil"/>
              <w:left w:val="nil"/>
              <w:bottom w:val="single" w:sz="4" w:space="0" w:color="auto"/>
              <w:right w:val="single" w:sz="4" w:space="0" w:color="auto"/>
            </w:tcBorders>
            <w:shd w:val="clear" w:color="auto" w:fill="auto"/>
            <w:noWrap/>
            <w:vAlign w:val="center"/>
            <w:hideMark/>
          </w:tcPr>
          <w:p w:rsidR="0091362B" w:rsidRPr="0091362B" w:rsidRDefault="0091362B" w:rsidP="00863F0C">
            <w:pPr>
              <w:pStyle w:val="TableText"/>
              <w:rPr>
                <w:rFonts w:eastAsia="Times New Roman"/>
              </w:rPr>
            </w:pPr>
            <w:r w:rsidRPr="0091362B">
              <w:rPr>
                <w:rFonts w:eastAsia="Times New Roman"/>
              </w:rPr>
              <w:t>1370</w:t>
            </w:r>
          </w:p>
        </w:tc>
      </w:tr>
    </w:tbl>
    <w:p w:rsidR="002070AB" w:rsidRDefault="00C61D83" w:rsidP="002070AB">
      <w:pPr>
        <w:pStyle w:val="BodyParaAfterTableFigure"/>
      </w:pPr>
      <w:fldSimple w:instr=" REF _Ref324254427  \* MERGEFORMAT ">
        <w:r w:rsidR="00F66D5E" w:rsidRPr="00AF1031">
          <w:t xml:space="preserve">Figure </w:t>
        </w:r>
        <w:r w:rsidR="00F66D5E">
          <w:t>7</w:t>
        </w:r>
        <w:r w:rsidR="00F66D5E" w:rsidRPr="00AF1031">
          <w:noBreakHyphen/>
        </w:r>
        <w:r w:rsidR="00F66D5E">
          <w:t>1</w:t>
        </w:r>
      </w:fldSimple>
      <w:r w:rsidR="002070AB">
        <w:t xml:space="preserve"> below illustrates predicted load impacts in 2012 for a typical August event day during a 1-in-2 weather year.  For both day-ahead and day-of notification, AMP customers begin reducing loads approximately an hour prior to the event window, and maintain load below normal levels for one to </w:t>
      </w:r>
      <w:r w:rsidR="002070AB">
        <w:lastRenderedPageBreak/>
        <w:t xml:space="preserve">two hours following the event window.  There is not significant load shifting either </w:t>
      </w:r>
      <w:proofErr w:type="spellStart"/>
      <w:r w:rsidR="002070AB">
        <w:t>prece</w:t>
      </w:r>
      <w:r w:rsidR="00F372BB">
        <w:t>e</w:t>
      </w:r>
      <w:r w:rsidR="002070AB">
        <w:t>ding</w:t>
      </w:r>
      <w:proofErr w:type="spellEnd"/>
      <w:r w:rsidR="002070AB">
        <w:t xml:space="preserve"> or following the event window.</w:t>
      </w:r>
    </w:p>
    <w:p w:rsidR="002070AB" w:rsidRDefault="002070AB" w:rsidP="00FD558F">
      <w:pPr>
        <w:pStyle w:val="TableFigureCaption"/>
        <w:rPr>
          <w:bCs/>
        </w:rPr>
      </w:pPr>
      <w:bookmarkStart w:id="372" w:name="_Ref324254427"/>
      <w:r w:rsidRPr="00AF1031">
        <w:t xml:space="preserve">Figure </w:t>
      </w:r>
      <w:r>
        <w:t>7</w:t>
      </w:r>
      <w:r w:rsidRPr="00AF1031">
        <w:noBreakHyphen/>
      </w:r>
      <w:fldSimple w:instr=" SEQ Figure \* ARABIC \s 1 ">
        <w:r w:rsidR="00F66D5E">
          <w:rPr>
            <w:noProof/>
          </w:rPr>
          <w:t>1</w:t>
        </w:r>
      </w:fldSimple>
      <w:bookmarkEnd w:id="372"/>
      <w:r w:rsidRPr="00AF1031">
        <w:t>:</w:t>
      </w:r>
    </w:p>
    <w:p w:rsidR="002070AB" w:rsidRDefault="002070AB" w:rsidP="00FD558F">
      <w:pPr>
        <w:pStyle w:val="TableFigureCaption"/>
        <w:rPr>
          <w:bCs/>
        </w:rPr>
      </w:pPr>
      <w:r>
        <w:t>PG&amp;E AMP Hourly Event Day Impacts for Typical Event Day</w:t>
      </w:r>
    </w:p>
    <w:p w:rsidR="002070AB" w:rsidRDefault="002070AB" w:rsidP="00FD558F">
      <w:pPr>
        <w:pStyle w:val="TableFigureCaption"/>
        <w:rPr>
          <w:bCs/>
        </w:rPr>
      </w:pPr>
      <w:r>
        <w:t>1-in-2 Weather Year for August 2012</w:t>
      </w:r>
    </w:p>
    <w:p w:rsidR="002070AB" w:rsidRPr="00AF1031" w:rsidRDefault="002070AB" w:rsidP="00FD558F">
      <w:pPr>
        <w:pStyle w:val="TableFigureCaption"/>
      </w:pPr>
      <w:r>
        <w:t>AMP-DA</w:t>
      </w:r>
      <w:r>
        <w:tab/>
      </w:r>
      <w:r>
        <w:tab/>
      </w:r>
      <w:r>
        <w:tab/>
      </w:r>
      <w:r>
        <w:tab/>
      </w:r>
      <w:r>
        <w:tab/>
        <w:t>AMP-DO</w:t>
      </w:r>
    </w:p>
    <w:p w:rsidR="002070AB" w:rsidRPr="00F66D5E" w:rsidRDefault="002070AB" w:rsidP="002070AB">
      <w:pPr>
        <w:pStyle w:val="BodyParaAfterTableFigure"/>
        <w:rPr>
          <w:rFonts w:ascii="TitilliumText22L Rg" w:hAnsi="TitilliumText22L Rg"/>
          <w:b/>
          <w:sz w:val="20"/>
        </w:rPr>
      </w:pPr>
      <w:r>
        <w:rPr>
          <w:noProof/>
        </w:rPr>
        <w:drawing>
          <wp:inline distT="0" distB="0" distL="0" distR="0">
            <wp:extent cx="2926080" cy="1973152"/>
            <wp:effectExtent l="19050" t="0" r="7620" b="0"/>
            <wp:docPr id="2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2926080" cy="1973152"/>
                    </a:xfrm>
                    <a:prstGeom prst="rect">
                      <a:avLst/>
                    </a:prstGeom>
                    <a:noFill/>
                  </pic:spPr>
                </pic:pic>
              </a:graphicData>
            </a:graphic>
          </wp:inline>
        </w:drawing>
      </w:r>
      <w:r>
        <w:rPr>
          <w:noProof/>
        </w:rPr>
        <w:drawing>
          <wp:inline distT="0" distB="0" distL="0" distR="0">
            <wp:extent cx="2926080" cy="1973152"/>
            <wp:effectExtent l="19050" t="0" r="7620" b="0"/>
            <wp:docPr id="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2926080" cy="1973152"/>
                    </a:xfrm>
                    <a:prstGeom prst="rect">
                      <a:avLst/>
                    </a:prstGeom>
                    <a:noFill/>
                  </pic:spPr>
                </pic:pic>
              </a:graphicData>
            </a:graphic>
          </wp:inline>
        </w:drawing>
      </w:r>
      <w:r>
        <w:br/>
      </w:r>
      <w:fldSimple w:instr=" REF _Ref324254486  \* MERGEFORMAT ">
        <w:r w:rsidR="00F66D5E" w:rsidRPr="0038124C">
          <w:t xml:space="preserve">Table </w:t>
        </w:r>
        <w:r w:rsidR="00F66D5E">
          <w:t>7</w:t>
        </w:r>
        <w:r w:rsidR="00F66D5E">
          <w:noBreakHyphen/>
          <w:t>2</w:t>
        </w:r>
      </w:fldSimple>
      <w:r>
        <w:t xml:space="preserve"> presents the ex ante aggregate peak day load impacts for AMP customers for years 2012 to 2022.  The historic event day period is assumed as starting at 1 PM and ending at 6 PM.  Results are presented for typical event days under 1-in-2 system peaking conditions</w:t>
      </w:r>
      <w:r w:rsidR="006E3CAB">
        <w:t xml:space="preserve"> and by degree of advance notification</w:t>
      </w:r>
      <w:r>
        <w:t xml:space="preserve">. </w:t>
      </w:r>
      <w:r w:rsidR="006E3CAB">
        <w:t xml:space="preserve"> In total, there are 44 MW of day-ahead notification resources and 154.5 MW of same-day notification resources. </w:t>
      </w:r>
      <w:r>
        <w:t xml:space="preserve"> On a given August system peak day, AMP customers can provide a 26 - 27% load reduction, providing just </w:t>
      </w:r>
      <w:proofErr w:type="gramStart"/>
      <w:r>
        <w:t>under</w:t>
      </w:r>
      <w:proofErr w:type="gramEnd"/>
      <w:r>
        <w:t xml:space="preserve"> 200 MW of DR resources.</w:t>
      </w:r>
      <w:r w:rsidR="006E3CAB">
        <w:t xml:space="preserve">  On percentage basis, the results are very similar to the reductions observed during actual historical events. </w:t>
      </w:r>
      <w:r>
        <w:t xml:space="preserve"> </w:t>
      </w:r>
      <w:r w:rsidR="00996B0A">
        <w:t xml:space="preserve">There is no variation in impact over time since program enrollment </w:t>
      </w:r>
      <w:r w:rsidR="006E3CAB">
        <w:t>is</w:t>
      </w:r>
      <w:r w:rsidR="00996B0A">
        <w:t xml:space="preserve"> not</w:t>
      </w:r>
      <w:r w:rsidR="006E3CAB">
        <w:t xml:space="preserve"> expected to</w:t>
      </w:r>
      <w:r w:rsidR="00996B0A">
        <w:t xml:space="preserve"> change going forward</w:t>
      </w:r>
      <w:r>
        <w:t>.</w:t>
      </w:r>
    </w:p>
    <w:p w:rsidR="002070AB" w:rsidRPr="006421DF" w:rsidRDefault="002070AB" w:rsidP="002070AB">
      <w:pPr>
        <w:pStyle w:val="BodyParaAfterTableFigure"/>
      </w:pPr>
      <w:r>
        <w:t xml:space="preserve">Although reference load vary with weather conditions, the expected demand reductions do not vary by month or with weather conditions for several reasons.  Since we expect aggregators to meet a contractually determined amount of demand reduction, AMP resources are not expected to vary with weather or reference loads.  Part of the role of the aggregator is to account for the volatility of customer loads and performance to ensure consistent performance.  We carefully analyzed the nomination patterns and did not observe any clear seasonal patterns in either the number of accounts nominated or in demand reductions nominated by aggregators.  Finally, the demand reduction do not vary with weather because the event history for most individual participants is limited, making it difficult to conclusively determine if variation in event performance is due to weather or simply random. </w:t>
      </w:r>
    </w:p>
    <w:p w:rsidR="0091362B" w:rsidRDefault="0091362B">
      <w:pPr>
        <w:rPr>
          <w:rFonts w:ascii="TitilliumText22L Rg" w:hAnsi="TitilliumText22L Rg"/>
          <w:b/>
          <w:sz w:val="20"/>
        </w:rPr>
      </w:pPr>
      <w:bookmarkStart w:id="373" w:name="_Ref324254486"/>
      <w:r>
        <w:br w:type="page"/>
      </w:r>
    </w:p>
    <w:p w:rsidR="002070AB" w:rsidRDefault="002070AB" w:rsidP="00FD558F">
      <w:pPr>
        <w:pStyle w:val="TableFigureCaption"/>
        <w:rPr>
          <w:bCs/>
        </w:rPr>
      </w:pPr>
      <w:r w:rsidRPr="0038124C">
        <w:lastRenderedPageBreak/>
        <w:t xml:space="preserve">Table </w:t>
      </w:r>
      <w:fldSimple w:instr=" STYLEREF 1 \s ">
        <w:r w:rsidR="00F66D5E">
          <w:rPr>
            <w:noProof/>
          </w:rPr>
          <w:t>7</w:t>
        </w:r>
      </w:fldSimple>
      <w:r w:rsidR="00F55000">
        <w:noBreakHyphen/>
      </w:r>
      <w:fldSimple w:instr=" SEQ Table \* ARABIC \s 1 ">
        <w:r w:rsidR="00F66D5E">
          <w:rPr>
            <w:noProof/>
          </w:rPr>
          <w:t>2</w:t>
        </w:r>
      </w:fldSimple>
      <w:bookmarkEnd w:id="373"/>
      <w:r w:rsidRPr="0038124C">
        <w:t>:</w:t>
      </w:r>
    </w:p>
    <w:p w:rsidR="002070AB" w:rsidRDefault="002070AB" w:rsidP="00FD558F">
      <w:pPr>
        <w:pStyle w:val="TableFigureCaption"/>
        <w:rPr>
          <w:bCs/>
        </w:rPr>
      </w:pPr>
      <w:r w:rsidRPr="0038124C">
        <w:t xml:space="preserve">Aggregate Ex Ante Annual Peak Day Load </w:t>
      </w:r>
      <w:r>
        <w:t xml:space="preserve">Impacts for PG&amp;E AMP </w:t>
      </w:r>
    </w:p>
    <w:p w:rsidR="002070AB" w:rsidRPr="0038124C" w:rsidRDefault="002070AB" w:rsidP="00FD558F">
      <w:pPr>
        <w:pStyle w:val="TableFigureCaption"/>
        <w:rPr>
          <w:bCs/>
        </w:rPr>
      </w:pPr>
      <w:r>
        <w:t>(Hourly Average Reduction Available from 1 to 6 PM)</w:t>
      </w:r>
    </w:p>
    <w:tbl>
      <w:tblPr>
        <w:tblW w:w="8833" w:type="dxa"/>
        <w:jc w:val="center"/>
        <w:tblCellMar>
          <w:left w:w="0" w:type="dxa"/>
          <w:right w:w="0" w:type="dxa"/>
        </w:tblCellMar>
        <w:tblLook w:val="04A0"/>
      </w:tblPr>
      <w:tblGrid>
        <w:gridCol w:w="963"/>
        <w:gridCol w:w="1553"/>
        <w:gridCol w:w="1060"/>
        <w:gridCol w:w="1124"/>
        <w:gridCol w:w="1069"/>
        <w:gridCol w:w="929"/>
        <w:gridCol w:w="1054"/>
        <w:gridCol w:w="1081"/>
      </w:tblGrid>
      <w:tr w:rsidR="00F1441B" w:rsidTr="00F1441B">
        <w:trPr>
          <w:trHeight w:val="936"/>
          <w:jc w:val="center"/>
        </w:trPr>
        <w:tc>
          <w:tcPr>
            <w:tcW w:w="980" w:type="dxa"/>
            <w:tcBorders>
              <w:top w:val="single" w:sz="8" w:space="0" w:color="auto"/>
              <w:left w:val="single" w:sz="8" w:space="0" w:color="auto"/>
              <w:bottom w:val="nil"/>
              <w:right w:val="single" w:sz="8" w:space="0" w:color="FFFFFF"/>
            </w:tcBorders>
            <w:shd w:val="clear" w:color="000000" w:fill="1F497D"/>
            <w:tcMar>
              <w:top w:w="13" w:type="dxa"/>
              <w:left w:w="13" w:type="dxa"/>
              <w:bottom w:w="0" w:type="dxa"/>
              <w:right w:w="13" w:type="dxa"/>
            </w:tcMar>
            <w:vAlign w:val="bottom"/>
            <w:hideMark/>
          </w:tcPr>
          <w:p w:rsidR="00F1441B" w:rsidRDefault="00F1441B" w:rsidP="00F1441B">
            <w:pPr>
              <w:pStyle w:val="TableHeader"/>
            </w:pPr>
            <w:r>
              <w:t>Weather Year</w:t>
            </w:r>
          </w:p>
        </w:tc>
        <w:tc>
          <w:tcPr>
            <w:tcW w:w="1553" w:type="dxa"/>
            <w:tcBorders>
              <w:top w:val="single" w:sz="8" w:space="0" w:color="auto"/>
              <w:left w:val="nil"/>
              <w:bottom w:val="nil"/>
              <w:right w:val="single" w:sz="8" w:space="0" w:color="FFFFFF"/>
            </w:tcBorders>
            <w:shd w:val="clear" w:color="000000" w:fill="1F497D"/>
            <w:tcMar>
              <w:top w:w="13" w:type="dxa"/>
              <w:left w:w="13" w:type="dxa"/>
              <w:bottom w:w="0" w:type="dxa"/>
              <w:right w:w="13" w:type="dxa"/>
            </w:tcMar>
            <w:vAlign w:val="bottom"/>
            <w:hideMark/>
          </w:tcPr>
          <w:p w:rsidR="00F1441B" w:rsidRDefault="00F1441B" w:rsidP="00F1441B">
            <w:pPr>
              <w:pStyle w:val="TableHeader"/>
            </w:pPr>
            <w:r>
              <w:t>Year</w:t>
            </w:r>
          </w:p>
        </w:tc>
        <w:tc>
          <w:tcPr>
            <w:tcW w:w="960" w:type="dxa"/>
            <w:tcBorders>
              <w:top w:val="single" w:sz="8" w:space="0" w:color="auto"/>
              <w:left w:val="nil"/>
              <w:bottom w:val="nil"/>
              <w:right w:val="single" w:sz="8" w:space="0" w:color="FFFFFF"/>
            </w:tcBorders>
            <w:shd w:val="clear" w:color="000000" w:fill="1F497D"/>
            <w:tcMar>
              <w:top w:w="13" w:type="dxa"/>
              <w:left w:w="13" w:type="dxa"/>
              <w:bottom w:w="0" w:type="dxa"/>
              <w:right w:w="13" w:type="dxa"/>
            </w:tcMar>
            <w:vAlign w:val="bottom"/>
            <w:hideMark/>
          </w:tcPr>
          <w:p w:rsidR="00F1441B" w:rsidRDefault="00F1441B" w:rsidP="00F1441B">
            <w:pPr>
              <w:pStyle w:val="TableHeader"/>
            </w:pPr>
            <w:r>
              <w:t>Nominated Accts (Forecast)</w:t>
            </w:r>
          </w:p>
        </w:tc>
        <w:tc>
          <w:tcPr>
            <w:tcW w:w="1140" w:type="dxa"/>
            <w:tcBorders>
              <w:top w:val="single" w:sz="8" w:space="0" w:color="auto"/>
              <w:left w:val="nil"/>
              <w:bottom w:val="nil"/>
              <w:right w:val="single" w:sz="8" w:space="0" w:color="FFFFFF"/>
            </w:tcBorders>
            <w:shd w:val="clear" w:color="000000" w:fill="1F497D"/>
            <w:tcMar>
              <w:top w:w="13" w:type="dxa"/>
              <w:left w:w="13" w:type="dxa"/>
              <w:bottom w:w="0" w:type="dxa"/>
              <w:right w:w="13" w:type="dxa"/>
            </w:tcMar>
            <w:vAlign w:val="bottom"/>
            <w:hideMark/>
          </w:tcPr>
          <w:p w:rsidR="00F1441B" w:rsidRDefault="00F1441B" w:rsidP="00F1441B">
            <w:pPr>
              <w:pStyle w:val="TableHeader"/>
            </w:pPr>
            <w:proofErr w:type="spellStart"/>
            <w:r>
              <w:t>Agg</w:t>
            </w:r>
            <w:proofErr w:type="spellEnd"/>
            <w:r>
              <w:t>. Reference Load (MW)</w:t>
            </w:r>
          </w:p>
        </w:tc>
        <w:tc>
          <w:tcPr>
            <w:tcW w:w="1080" w:type="dxa"/>
            <w:tcBorders>
              <w:top w:val="single" w:sz="8" w:space="0" w:color="auto"/>
              <w:left w:val="nil"/>
              <w:bottom w:val="nil"/>
              <w:right w:val="single" w:sz="8" w:space="0" w:color="FFFFFF"/>
            </w:tcBorders>
            <w:shd w:val="clear" w:color="000000" w:fill="1F497D"/>
            <w:tcMar>
              <w:top w:w="13" w:type="dxa"/>
              <w:left w:w="13" w:type="dxa"/>
              <w:bottom w:w="0" w:type="dxa"/>
              <w:right w:w="13" w:type="dxa"/>
            </w:tcMar>
            <w:vAlign w:val="bottom"/>
            <w:hideMark/>
          </w:tcPr>
          <w:p w:rsidR="00F1441B" w:rsidRDefault="00F1441B" w:rsidP="00F1441B">
            <w:pPr>
              <w:pStyle w:val="TableHeader"/>
            </w:pPr>
            <w:proofErr w:type="spellStart"/>
            <w:r>
              <w:t>Agg</w:t>
            </w:r>
            <w:proofErr w:type="spellEnd"/>
            <w:r>
              <w:t>. Estimated Load w DR (MW)</w:t>
            </w:r>
          </w:p>
        </w:tc>
        <w:tc>
          <w:tcPr>
            <w:tcW w:w="960" w:type="dxa"/>
            <w:tcBorders>
              <w:top w:val="single" w:sz="8" w:space="0" w:color="auto"/>
              <w:left w:val="nil"/>
              <w:bottom w:val="nil"/>
              <w:right w:val="single" w:sz="8" w:space="0" w:color="FFFFFF"/>
            </w:tcBorders>
            <w:shd w:val="clear" w:color="000000" w:fill="1F497D"/>
            <w:tcMar>
              <w:top w:w="13" w:type="dxa"/>
              <w:left w:w="13" w:type="dxa"/>
              <w:bottom w:w="0" w:type="dxa"/>
              <w:right w:w="13" w:type="dxa"/>
            </w:tcMar>
            <w:vAlign w:val="bottom"/>
            <w:hideMark/>
          </w:tcPr>
          <w:p w:rsidR="00F1441B" w:rsidRDefault="00F1441B" w:rsidP="00F1441B">
            <w:pPr>
              <w:pStyle w:val="TableHeader"/>
            </w:pPr>
            <w:proofErr w:type="spellStart"/>
            <w:r>
              <w:t>Agg</w:t>
            </w:r>
            <w:proofErr w:type="spellEnd"/>
            <w:r>
              <w:t>. Load Impact (MW)</w:t>
            </w:r>
          </w:p>
        </w:tc>
        <w:tc>
          <w:tcPr>
            <w:tcW w:w="1060" w:type="dxa"/>
            <w:tcBorders>
              <w:top w:val="single" w:sz="8" w:space="0" w:color="auto"/>
              <w:left w:val="nil"/>
              <w:bottom w:val="nil"/>
              <w:right w:val="single" w:sz="8" w:space="0" w:color="FFFFFF"/>
            </w:tcBorders>
            <w:shd w:val="clear" w:color="000000" w:fill="1F497D"/>
            <w:tcMar>
              <w:top w:w="13" w:type="dxa"/>
              <w:left w:w="13" w:type="dxa"/>
              <w:bottom w:w="0" w:type="dxa"/>
              <w:right w:w="13" w:type="dxa"/>
            </w:tcMar>
            <w:vAlign w:val="bottom"/>
            <w:hideMark/>
          </w:tcPr>
          <w:p w:rsidR="00F1441B" w:rsidRDefault="00F1441B" w:rsidP="00F1441B">
            <w:pPr>
              <w:pStyle w:val="TableHeader"/>
            </w:pPr>
            <w:r>
              <w:t>% Load Reduction</w:t>
            </w:r>
          </w:p>
        </w:tc>
        <w:tc>
          <w:tcPr>
            <w:tcW w:w="1100" w:type="dxa"/>
            <w:tcBorders>
              <w:top w:val="single" w:sz="8" w:space="0" w:color="auto"/>
              <w:left w:val="nil"/>
              <w:bottom w:val="nil"/>
              <w:right w:val="single" w:sz="8" w:space="0" w:color="auto"/>
            </w:tcBorders>
            <w:shd w:val="clear" w:color="000000" w:fill="1F497D"/>
            <w:tcMar>
              <w:top w:w="13" w:type="dxa"/>
              <w:left w:w="13" w:type="dxa"/>
              <w:bottom w:w="0" w:type="dxa"/>
              <w:right w:w="13" w:type="dxa"/>
            </w:tcMar>
            <w:vAlign w:val="bottom"/>
            <w:hideMark/>
          </w:tcPr>
          <w:p w:rsidR="00F1441B" w:rsidRDefault="00F1441B" w:rsidP="00F1441B">
            <w:pPr>
              <w:pStyle w:val="TableHeader"/>
            </w:pPr>
            <w:r>
              <w:t>Weighted Temp (F)</w:t>
            </w:r>
          </w:p>
        </w:tc>
      </w:tr>
      <w:tr w:rsidR="00F1441B" w:rsidTr="00F1441B">
        <w:trPr>
          <w:trHeight w:val="312"/>
          <w:jc w:val="center"/>
        </w:trPr>
        <w:tc>
          <w:tcPr>
            <w:tcW w:w="980" w:type="dxa"/>
            <w:vMerge w:val="restart"/>
            <w:tcBorders>
              <w:top w:val="single" w:sz="4" w:space="0" w:color="auto"/>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hideMark/>
          </w:tcPr>
          <w:p w:rsidR="00F1441B" w:rsidRDefault="00F1441B" w:rsidP="00F1441B">
            <w:pPr>
              <w:pStyle w:val="TableText"/>
            </w:pPr>
            <w:r>
              <w:t>AMP-DA</w:t>
            </w:r>
          </w:p>
        </w:tc>
        <w:tc>
          <w:tcPr>
            <w:tcW w:w="1553" w:type="dxa"/>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2012</w:t>
            </w:r>
          </w:p>
        </w:tc>
        <w:tc>
          <w:tcPr>
            <w:tcW w:w="0" w:type="auto"/>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221</w:t>
            </w:r>
          </w:p>
        </w:tc>
        <w:tc>
          <w:tcPr>
            <w:tcW w:w="0" w:type="auto"/>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120.4</w:t>
            </w:r>
          </w:p>
        </w:tc>
        <w:tc>
          <w:tcPr>
            <w:tcW w:w="0" w:type="auto"/>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76.4</w:t>
            </w:r>
          </w:p>
        </w:tc>
        <w:tc>
          <w:tcPr>
            <w:tcW w:w="0" w:type="auto"/>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44.0</w:t>
            </w:r>
          </w:p>
        </w:tc>
        <w:tc>
          <w:tcPr>
            <w:tcW w:w="0" w:type="auto"/>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36.5%</w:t>
            </w:r>
          </w:p>
        </w:tc>
        <w:tc>
          <w:tcPr>
            <w:tcW w:w="0" w:type="auto"/>
            <w:tcBorders>
              <w:top w:val="single" w:sz="4" w:space="0" w:color="auto"/>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98.3</w:t>
            </w:r>
          </w:p>
        </w:tc>
      </w:tr>
      <w:tr w:rsidR="00F1441B" w:rsidTr="00F1441B">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41B" w:rsidRDefault="00F1441B" w:rsidP="00F1441B">
            <w:pPr>
              <w:pStyle w:val="TableText"/>
            </w:pPr>
          </w:p>
        </w:tc>
        <w:tc>
          <w:tcPr>
            <w:tcW w:w="1553"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2013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221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120.4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76.4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44.0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36.5%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98.3</w:t>
            </w:r>
          </w:p>
        </w:tc>
      </w:tr>
      <w:tr w:rsidR="00F1441B" w:rsidTr="00F1441B">
        <w:trPr>
          <w:trHeight w:val="28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441B" w:rsidRDefault="00F1441B" w:rsidP="00F1441B">
            <w:pPr>
              <w:pStyle w:val="TableText"/>
            </w:pPr>
          </w:p>
        </w:tc>
        <w:tc>
          <w:tcPr>
            <w:tcW w:w="1553"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2014 - 2022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221</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120.4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76.4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44.0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36.5%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98.3</w:t>
            </w:r>
          </w:p>
        </w:tc>
      </w:tr>
      <w:tr w:rsidR="00F1441B" w:rsidTr="00F1441B">
        <w:trPr>
          <w:trHeight w:val="288"/>
          <w:jc w:val="center"/>
        </w:trPr>
        <w:tc>
          <w:tcPr>
            <w:tcW w:w="980" w:type="dxa"/>
            <w:vMerge w:val="restart"/>
            <w:tcBorders>
              <w:top w:val="nil"/>
              <w:left w:val="single" w:sz="4" w:space="0" w:color="auto"/>
              <w:bottom w:val="single" w:sz="4" w:space="0" w:color="auto"/>
              <w:right w:val="single" w:sz="4" w:space="0" w:color="auto"/>
            </w:tcBorders>
            <w:shd w:val="clear" w:color="auto" w:fill="auto"/>
            <w:tcMar>
              <w:top w:w="13" w:type="dxa"/>
              <w:left w:w="13" w:type="dxa"/>
              <w:bottom w:w="0" w:type="dxa"/>
              <w:right w:w="13" w:type="dxa"/>
            </w:tcMar>
            <w:vAlign w:val="center"/>
            <w:hideMark/>
          </w:tcPr>
          <w:p w:rsidR="00F1441B" w:rsidRDefault="00F1441B" w:rsidP="00F1441B">
            <w:pPr>
              <w:pStyle w:val="TableText"/>
            </w:pPr>
            <w:r>
              <w:t>AMP-DO</w:t>
            </w:r>
          </w:p>
        </w:tc>
        <w:tc>
          <w:tcPr>
            <w:tcW w:w="1553"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2012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1370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623.9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469.4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154.5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24.8%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96.4</w:t>
            </w:r>
          </w:p>
        </w:tc>
      </w:tr>
      <w:tr w:rsidR="00F1441B" w:rsidTr="00F1441B">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rsidR="00F1441B" w:rsidRDefault="00F1441B">
            <w:pPr>
              <w:rPr>
                <w:rFonts w:ascii="Arial" w:hAnsi="Arial" w:cs="Arial"/>
                <w:color w:val="000000"/>
                <w:sz w:val="18"/>
                <w:szCs w:val="18"/>
              </w:rPr>
            </w:pPr>
          </w:p>
        </w:tc>
        <w:tc>
          <w:tcPr>
            <w:tcW w:w="1553"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2013</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1370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623.9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469.4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154.5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24.8%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96.4</w:t>
            </w:r>
          </w:p>
        </w:tc>
      </w:tr>
      <w:tr w:rsidR="00F1441B" w:rsidTr="00F1441B">
        <w:trPr>
          <w:trHeight w:val="288"/>
          <w:jc w:val="center"/>
        </w:trPr>
        <w:tc>
          <w:tcPr>
            <w:tcW w:w="0" w:type="auto"/>
            <w:vMerge/>
            <w:tcBorders>
              <w:top w:val="nil"/>
              <w:left w:val="single" w:sz="4" w:space="0" w:color="auto"/>
              <w:bottom w:val="single" w:sz="4" w:space="0" w:color="auto"/>
              <w:right w:val="single" w:sz="4" w:space="0" w:color="auto"/>
            </w:tcBorders>
            <w:vAlign w:val="center"/>
            <w:hideMark/>
          </w:tcPr>
          <w:p w:rsidR="00F1441B" w:rsidRDefault="00F1441B">
            <w:pPr>
              <w:rPr>
                <w:rFonts w:ascii="Arial" w:hAnsi="Arial" w:cs="Arial"/>
                <w:color w:val="000000"/>
                <w:sz w:val="18"/>
                <w:szCs w:val="18"/>
              </w:rPr>
            </w:pPr>
          </w:p>
        </w:tc>
        <w:tc>
          <w:tcPr>
            <w:tcW w:w="1553" w:type="dxa"/>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2014 - 2022</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1370</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623.9</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469.4</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154.5</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24.8%</w:t>
            </w:r>
          </w:p>
        </w:tc>
        <w:tc>
          <w:tcPr>
            <w:tcW w:w="0" w:type="auto"/>
            <w:tcBorders>
              <w:top w:val="nil"/>
              <w:left w:val="nil"/>
              <w:bottom w:val="single" w:sz="4" w:space="0" w:color="auto"/>
              <w:right w:val="single" w:sz="4" w:space="0" w:color="auto"/>
            </w:tcBorders>
            <w:shd w:val="clear" w:color="auto" w:fill="auto"/>
            <w:noWrap/>
            <w:tcMar>
              <w:top w:w="13" w:type="dxa"/>
              <w:left w:w="13" w:type="dxa"/>
              <w:bottom w:w="0" w:type="dxa"/>
              <w:right w:w="13" w:type="dxa"/>
            </w:tcMar>
            <w:vAlign w:val="bottom"/>
            <w:hideMark/>
          </w:tcPr>
          <w:p w:rsidR="00F1441B" w:rsidRDefault="00F1441B" w:rsidP="00F1441B">
            <w:pPr>
              <w:pStyle w:val="TableText"/>
            </w:pPr>
            <w:r>
              <w:t>96.4</w:t>
            </w:r>
          </w:p>
        </w:tc>
      </w:tr>
    </w:tbl>
    <w:p w:rsidR="008B31AA" w:rsidRPr="008B31AA" w:rsidRDefault="002070AB" w:rsidP="008B31AA">
      <w:pPr>
        <w:pStyle w:val="BodyParaAfterTableFigure"/>
      </w:pPr>
      <w:r>
        <w:t xml:space="preserve">The average load impact is an estimate, based on predictions informed by the ex post model.  </w:t>
      </w:r>
      <w:fldSimple w:instr=" REF _Ref324434401  \* MERGEFORMAT ">
        <w:r w:rsidR="00F66D5E" w:rsidRPr="00D666BC">
          <w:t xml:space="preserve">Table </w:t>
        </w:r>
        <w:r w:rsidR="00F66D5E">
          <w:t>7</w:t>
        </w:r>
        <w:r w:rsidR="00F66D5E">
          <w:noBreakHyphen/>
          <w:t>3</w:t>
        </w:r>
      </w:fldSimple>
      <w:r>
        <w:t xml:space="preserve"> presents a range of uncertainty for AMP ex ante load impacts, incorporating model error, performance variability and enrollment uncertainty.  We find that the 10</w:t>
      </w:r>
      <w:r w:rsidRPr="00E355B2">
        <w:rPr>
          <w:vertAlign w:val="superscript"/>
        </w:rPr>
        <w:t>th</w:t>
      </w:r>
      <w:r>
        <w:t xml:space="preserve"> and 90</w:t>
      </w:r>
      <w:r w:rsidRPr="00E355B2">
        <w:rPr>
          <w:vertAlign w:val="superscript"/>
        </w:rPr>
        <w:t>th</w:t>
      </w:r>
      <w:r>
        <w:t xml:space="preserve"> percentile aggregate load impact estimates diverge from the ex ante load impact point estimate by 20%.</w:t>
      </w:r>
      <w:bookmarkStart w:id="374" w:name="_Ref324434401"/>
    </w:p>
    <w:p w:rsidR="002070AB" w:rsidRDefault="002070AB" w:rsidP="002070AB">
      <w:pPr>
        <w:pStyle w:val="TableFigureCaption"/>
      </w:pPr>
      <w:r w:rsidRPr="00D666BC">
        <w:t xml:space="preserve">Table </w:t>
      </w:r>
      <w:fldSimple w:instr=" STYLEREF 1 \s ">
        <w:r w:rsidR="00F66D5E">
          <w:rPr>
            <w:noProof/>
          </w:rPr>
          <w:t>7</w:t>
        </w:r>
      </w:fldSimple>
      <w:r w:rsidR="00F55000">
        <w:noBreakHyphen/>
      </w:r>
      <w:fldSimple w:instr=" SEQ Table \* ARABIC \s 1 ">
        <w:r w:rsidR="00F66D5E">
          <w:rPr>
            <w:noProof/>
          </w:rPr>
          <w:t>3</w:t>
        </w:r>
      </w:fldSimple>
      <w:bookmarkEnd w:id="374"/>
      <w:r w:rsidRPr="00D666BC">
        <w:t>:</w:t>
      </w:r>
    </w:p>
    <w:p w:rsidR="002070AB" w:rsidRPr="00D666BC" w:rsidRDefault="002070AB" w:rsidP="002070AB">
      <w:pPr>
        <w:pStyle w:val="TableFigureCaption"/>
      </w:pPr>
      <w:r w:rsidRPr="0038124C">
        <w:rPr>
          <w:bCs/>
        </w:rPr>
        <w:t xml:space="preserve">Aggregate Ex Ante Annual Peak Day Load </w:t>
      </w:r>
      <w:r>
        <w:rPr>
          <w:bCs/>
        </w:rPr>
        <w:t xml:space="preserve">Impacts for PG&amp;E AMP </w:t>
      </w:r>
    </w:p>
    <w:p w:rsidR="002070AB" w:rsidRPr="00EB6F11" w:rsidRDefault="002070AB" w:rsidP="008B31AA">
      <w:pPr>
        <w:pStyle w:val="TableFigureCaption"/>
      </w:pPr>
      <w:r w:rsidRPr="0038124C">
        <w:t xml:space="preserve">(Hourly Average Reduction </w:t>
      </w:r>
      <w:r>
        <w:t>from 1 PM</w:t>
      </w:r>
      <w:r w:rsidRPr="0038124C">
        <w:t xml:space="preserve"> to 6 PM)</w:t>
      </w:r>
    </w:p>
    <w:tbl>
      <w:tblPr>
        <w:tblW w:w="4910" w:type="dxa"/>
        <w:jc w:val="center"/>
        <w:tblInd w:w="95" w:type="dxa"/>
        <w:tblLook w:val="04A0"/>
      </w:tblPr>
      <w:tblGrid>
        <w:gridCol w:w="1450"/>
        <w:gridCol w:w="1460"/>
        <w:gridCol w:w="1161"/>
        <w:gridCol w:w="1161"/>
      </w:tblGrid>
      <w:tr w:rsidR="00F1441B" w:rsidRPr="00F1441B" w:rsidTr="00F1441B">
        <w:trPr>
          <w:trHeight w:val="492"/>
          <w:jc w:val="center"/>
        </w:trPr>
        <w:tc>
          <w:tcPr>
            <w:tcW w:w="1450" w:type="dxa"/>
            <w:vMerge w:val="restart"/>
            <w:tcBorders>
              <w:top w:val="nil"/>
              <w:left w:val="single" w:sz="8" w:space="0" w:color="FFFFFF"/>
              <w:bottom w:val="single" w:sz="8" w:space="0" w:color="FFFFFF"/>
              <w:right w:val="single" w:sz="8" w:space="0" w:color="FFFFFF"/>
            </w:tcBorders>
            <w:shd w:val="clear" w:color="000000" w:fill="1F497D"/>
            <w:vAlign w:val="bottom"/>
            <w:hideMark/>
          </w:tcPr>
          <w:p w:rsidR="00F1441B" w:rsidRPr="00F1441B" w:rsidRDefault="00F1441B" w:rsidP="00F1441B">
            <w:pPr>
              <w:pStyle w:val="TableHeader"/>
              <w:rPr>
                <w:rFonts w:eastAsia="Times New Roman"/>
              </w:rPr>
            </w:pPr>
            <w:r w:rsidRPr="00F1441B">
              <w:rPr>
                <w:rFonts w:eastAsia="Times New Roman"/>
              </w:rPr>
              <w:t>Year</w:t>
            </w:r>
          </w:p>
        </w:tc>
        <w:tc>
          <w:tcPr>
            <w:tcW w:w="1460" w:type="dxa"/>
            <w:vMerge w:val="restart"/>
            <w:tcBorders>
              <w:top w:val="nil"/>
              <w:left w:val="single" w:sz="8" w:space="0" w:color="FFFFFF"/>
              <w:bottom w:val="single" w:sz="8" w:space="0" w:color="FFFFFF"/>
              <w:right w:val="single" w:sz="8" w:space="0" w:color="FFFFFF"/>
            </w:tcBorders>
            <w:shd w:val="clear" w:color="000000" w:fill="1F497D"/>
            <w:vAlign w:val="bottom"/>
            <w:hideMark/>
          </w:tcPr>
          <w:p w:rsidR="00F1441B" w:rsidRPr="00F1441B" w:rsidRDefault="00F1441B" w:rsidP="00F1441B">
            <w:pPr>
              <w:pStyle w:val="TableHeader"/>
              <w:rPr>
                <w:rFonts w:eastAsia="Times New Roman"/>
              </w:rPr>
            </w:pPr>
            <w:proofErr w:type="spellStart"/>
            <w:r w:rsidRPr="00F1441B">
              <w:rPr>
                <w:rFonts w:eastAsia="Times New Roman"/>
              </w:rPr>
              <w:t>Agg</w:t>
            </w:r>
            <w:proofErr w:type="spellEnd"/>
            <w:r w:rsidRPr="00F1441B">
              <w:rPr>
                <w:rFonts w:eastAsia="Times New Roman"/>
              </w:rPr>
              <w:t>. Load Impact (MW)</w:t>
            </w:r>
          </w:p>
        </w:tc>
        <w:tc>
          <w:tcPr>
            <w:tcW w:w="2000" w:type="dxa"/>
            <w:gridSpan w:val="2"/>
            <w:tcBorders>
              <w:top w:val="nil"/>
              <w:left w:val="nil"/>
              <w:bottom w:val="single" w:sz="8" w:space="0" w:color="FFFFFF"/>
              <w:right w:val="single" w:sz="8" w:space="0" w:color="FFFFFF"/>
            </w:tcBorders>
            <w:shd w:val="clear" w:color="000000" w:fill="1F497D"/>
            <w:vAlign w:val="bottom"/>
            <w:hideMark/>
          </w:tcPr>
          <w:p w:rsidR="00F1441B" w:rsidRPr="00F1441B" w:rsidRDefault="00F1441B" w:rsidP="00F1441B">
            <w:pPr>
              <w:pStyle w:val="TableHeader"/>
              <w:rPr>
                <w:rFonts w:eastAsia="Times New Roman"/>
              </w:rPr>
            </w:pPr>
            <w:r w:rsidRPr="00F1441B">
              <w:rPr>
                <w:rFonts w:eastAsia="Times New Roman"/>
              </w:rPr>
              <w:t>Impact Uncertainty</w:t>
            </w:r>
          </w:p>
        </w:tc>
      </w:tr>
      <w:tr w:rsidR="00F1441B" w:rsidRPr="00F1441B" w:rsidTr="00F1441B">
        <w:trPr>
          <w:trHeight w:val="936"/>
          <w:jc w:val="center"/>
        </w:trPr>
        <w:tc>
          <w:tcPr>
            <w:tcW w:w="1450" w:type="dxa"/>
            <w:vMerge/>
            <w:tcBorders>
              <w:top w:val="nil"/>
              <w:left w:val="single" w:sz="8" w:space="0" w:color="FFFFFF"/>
              <w:bottom w:val="single" w:sz="8" w:space="0" w:color="FFFFFF"/>
              <w:right w:val="single" w:sz="8" w:space="0" w:color="FFFFFF"/>
            </w:tcBorders>
            <w:vAlign w:val="center"/>
            <w:hideMark/>
          </w:tcPr>
          <w:p w:rsidR="00F1441B" w:rsidRPr="00F1441B" w:rsidRDefault="00F1441B" w:rsidP="00F1441B">
            <w:pPr>
              <w:pStyle w:val="TableHeader"/>
              <w:rPr>
                <w:rFonts w:eastAsia="Times New Roman"/>
              </w:rPr>
            </w:pPr>
          </w:p>
        </w:tc>
        <w:tc>
          <w:tcPr>
            <w:tcW w:w="1460" w:type="dxa"/>
            <w:vMerge/>
            <w:tcBorders>
              <w:top w:val="nil"/>
              <w:left w:val="single" w:sz="8" w:space="0" w:color="FFFFFF"/>
              <w:bottom w:val="single" w:sz="8" w:space="0" w:color="FFFFFF"/>
              <w:right w:val="single" w:sz="8" w:space="0" w:color="FFFFFF"/>
            </w:tcBorders>
            <w:vAlign w:val="center"/>
            <w:hideMark/>
          </w:tcPr>
          <w:p w:rsidR="00F1441B" w:rsidRPr="00F1441B" w:rsidRDefault="00F1441B" w:rsidP="00F1441B">
            <w:pPr>
              <w:pStyle w:val="TableHeader"/>
              <w:rPr>
                <w:rFonts w:eastAsia="Times New Roman"/>
              </w:rPr>
            </w:pPr>
          </w:p>
        </w:tc>
        <w:tc>
          <w:tcPr>
            <w:tcW w:w="1000" w:type="dxa"/>
            <w:tcBorders>
              <w:top w:val="nil"/>
              <w:left w:val="nil"/>
              <w:bottom w:val="nil"/>
              <w:right w:val="single" w:sz="8" w:space="0" w:color="FFFFFF"/>
            </w:tcBorders>
            <w:shd w:val="clear" w:color="000000" w:fill="1F497D"/>
            <w:vAlign w:val="bottom"/>
            <w:hideMark/>
          </w:tcPr>
          <w:p w:rsidR="00F1441B" w:rsidRPr="00F1441B" w:rsidRDefault="00F1441B" w:rsidP="00F1441B">
            <w:pPr>
              <w:pStyle w:val="TableHeader"/>
              <w:rPr>
                <w:rFonts w:eastAsia="Times New Roman"/>
              </w:rPr>
            </w:pPr>
            <w:r w:rsidRPr="00F1441B">
              <w:rPr>
                <w:rFonts w:eastAsia="Times New Roman"/>
              </w:rPr>
              <w:t>10th percentile</w:t>
            </w:r>
          </w:p>
        </w:tc>
        <w:tc>
          <w:tcPr>
            <w:tcW w:w="1000" w:type="dxa"/>
            <w:tcBorders>
              <w:top w:val="nil"/>
              <w:left w:val="nil"/>
              <w:bottom w:val="nil"/>
              <w:right w:val="nil"/>
            </w:tcBorders>
            <w:shd w:val="clear" w:color="000000" w:fill="1F497D"/>
            <w:vAlign w:val="bottom"/>
            <w:hideMark/>
          </w:tcPr>
          <w:p w:rsidR="00F1441B" w:rsidRPr="00F1441B" w:rsidRDefault="00F1441B" w:rsidP="00F1441B">
            <w:pPr>
              <w:pStyle w:val="TableHeader"/>
              <w:rPr>
                <w:rFonts w:eastAsia="Times New Roman"/>
              </w:rPr>
            </w:pPr>
            <w:r w:rsidRPr="00F1441B">
              <w:rPr>
                <w:rFonts w:eastAsia="Times New Roman"/>
              </w:rPr>
              <w:t>90th percentile</w:t>
            </w:r>
          </w:p>
        </w:tc>
      </w:tr>
      <w:tr w:rsidR="00F1441B" w:rsidRPr="00F1441B" w:rsidTr="00F1441B">
        <w:trPr>
          <w:trHeight w:val="312"/>
          <w:jc w:val="center"/>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F1441B" w:rsidRPr="00F1441B" w:rsidRDefault="00F1441B" w:rsidP="00F1441B">
            <w:pPr>
              <w:pStyle w:val="TableText"/>
              <w:rPr>
                <w:rFonts w:eastAsia="Times New Roman"/>
              </w:rPr>
            </w:pPr>
            <w:r w:rsidRPr="00F1441B">
              <w:rPr>
                <w:rFonts w:eastAsia="Times New Roman"/>
              </w:rPr>
              <w:t>2012</w:t>
            </w:r>
          </w:p>
        </w:tc>
        <w:tc>
          <w:tcPr>
            <w:tcW w:w="1460" w:type="dxa"/>
            <w:tcBorders>
              <w:top w:val="nil"/>
              <w:left w:val="nil"/>
              <w:bottom w:val="single" w:sz="4" w:space="0" w:color="auto"/>
              <w:right w:val="single" w:sz="4" w:space="0" w:color="auto"/>
            </w:tcBorders>
            <w:shd w:val="clear" w:color="auto" w:fill="auto"/>
            <w:noWrap/>
            <w:vAlign w:val="bottom"/>
            <w:hideMark/>
          </w:tcPr>
          <w:p w:rsidR="00F1441B" w:rsidRPr="00F1441B" w:rsidRDefault="00F1441B" w:rsidP="00F1441B">
            <w:pPr>
              <w:pStyle w:val="TableText"/>
              <w:rPr>
                <w:rFonts w:eastAsia="Times New Roman"/>
              </w:rPr>
            </w:pPr>
            <w:r w:rsidRPr="00F1441B">
              <w:rPr>
                <w:rFonts w:eastAsia="Times New Roman"/>
              </w:rPr>
              <w:t>198.5</w:t>
            </w:r>
          </w:p>
        </w:tc>
        <w:tc>
          <w:tcPr>
            <w:tcW w:w="1000" w:type="dxa"/>
            <w:tcBorders>
              <w:top w:val="nil"/>
              <w:left w:val="nil"/>
              <w:bottom w:val="single" w:sz="4" w:space="0" w:color="auto"/>
              <w:right w:val="single" w:sz="4" w:space="0" w:color="auto"/>
            </w:tcBorders>
            <w:shd w:val="clear" w:color="auto" w:fill="auto"/>
            <w:noWrap/>
            <w:vAlign w:val="bottom"/>
            <w:hideMark/>
          </w:tcPr>
          <w:p w:rsidR="00F1441B" w:rsidRPr="00F1441B" w:rsidRDefault="00F1441B" w:rsidP="00F1441B">
            <w:pPr>
              <w:pStyle w:val="TableText"/>
              <w:rPr>
                <w:rFonts w:eastAsia="Times New Roman"/>
              </w:rPr>
            </w:pPr>
            <w:r w:rsidRPr="00F1441B">
              <w:rPr>
                <w:rFonts w:eastAsia="Times New Roman"/>
              </w:rPr>
              <w:t>158.7</w:t>
            </w:r>
          </w:p>
        </w:tc>
        <w:tc>
          <w:tcPr>
            <w:tcW w:w="1000" w:type="dxa"/>
            <w:tcBorders>
              <w:top w:val="nil"/>
              <w:left w:val="nil"/>
              <w:bottom w:val="single" w:sz="4" w:space="0" w:color="auto"/>
              <w:right w:val="single" w:sz="4" w:space="0" w:color="auto"/>
            </w:tcBorders>
            <w:shd w:val="clear" w:color="auto" w:fill="auto"/>
            <w:noWrap/>
            <w:vAlign w:val="bottom"/>
            <w:hideMark/>
          </w:tcPr>
          <w:p w:rsidR="00F1441B" w:rsidRPr="00F1441B" w:rsidRDefault="00F1441B" w:rsidP="00F1441B">
            <w:pPr>
              <w:pStyle w:val="TableText"/>
              <w:rPr>
                <w:rFonts w:eastAsia="Times New Roman"/>
              </w:rPr>
            </w:pPr>
            <w:r w:rsidRPr="00F1441B">
              <w:rPr>
                <w:rFonts w:eastAsia="Times New Roman"/>
              </w:rPr>
              <w:t>238.3</w:t>
            </w:r>
          </w:p>
        </w:tc>
      </w:tr>
      <w:tr w:rsidR="00F1441B" w:rsidRPr="00F1441B" w:rsidTr="00F1441B">
        <w:trPr>
          <w:trHeight w:val="288"/>
          <w:jc w:val="center"/>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F1441B" w:rsidRPr="00F1441B" w:rsidRDefault="00F1441B" w:rsidP="00F1441B">
            <w:pPr>
              <w:pStyle w:val="TableText"/>
              <w:rPr>
                <w:rFonts w:eastAsia="Times New Roman"/>
              </w:rPr>
            </w:pPr>
            <w:r w:rsidRPr="00F1441B">
              <w:rPr>
                <w:rFonts w:eastAsia="Times New Roman"/>
              </w:rPr>
              <w:t>2013</w:t>
            </w:r>
          </w:p>
        </w:tc>
        <w:tc>
          <w:tcPr>
            <w:tcW w:w="1460" w:type="dxa"/>
            <w:tcBorders>
              <w:top w:val="nil"/>
              <w:left w:val="nil"/>
              <w:bottom w:val="single" w:sz="4" w:space="0" w:color="auto"/>
              <w:right w:val="single" w:sz="4" w:space="0" w:color="auto"/>
            </w:tcBorders>
            <w:shd w:val="clear" w:color="auto" w:fill="auto"/>
            <w:noWrap/>
            <w:vAlign w:val="bottom"/>
            <w:hideMark/>
          </w:tcPr>
          <w:p w:rsidR="00F1441B" w:rsidRPr="00F1441B" w:rsidRDefault="00F1441B" w:rsidP="00F1441B">
            <w:pPr>
              <w:pStyle w:val="TableText"/>
              <w:rPr>
                <w:rFonts w:eastAsia="Times New Roman"/>
              </w:rPr>
            </w:pPr>
            <w:r w:rsidRPr="00F1441B">
              <w:rPr>
                <w:rFonts w:eastAsia="Times New Roman"/>
              </w:rPr>
              <w:t>198.5</w:t>
            </w:r>
          </w:p>
        </w:tc>
        <w:tc>
          <w:tcPr>
            <w:tcW w:w="1000" w:type="dxa"/>
            <w:tcBorders>
              <w:top w:val="nil"/>
              <w:left w:val="nil"/>
              <w:bottom w:val="single" w:sz="4" w:space="0" w:color="auto"/>
              <w:right w:val="single" w:sz="4" w:space="0" w:color="auto"/>
            </w:tcBorders>
            <w:shd w:val="clear" w:color="auto" w:fill="auto"/>
            <w:noWrap/>
            <w:vAlign w:val="bottom"/>
            <w:hideMark/>
          </w:tcPr>
          <w:p w:rsidR="00F1441B" w:rsidRPr="00F1441B" w:rsidRDefault="00F1441B" w:rsidP="00F1441B">
            <w:pPr>
              <w:pStyle w:val="TableText"/>
              <w:rPr>
                <w:rFonts w:eastAsia="Times New Roman"/>
              </w:rPr>
            </w:pPr>
            <w:r w:rsidRPr="00F1441B">
              <w:rPr>
                <w:rFonts w:eastAsia="Times New Roman"/>
              </w:rPr>
              <w:t>158.7</w:t>
            </w:r>
          </w:p>
        </w:tc>
        <w:tc>
          <w:tcPr>
            <w:tcW w:w="1000" w:type="dxa"/>
            <w:tcBorders>
              <w:top w:val="nil"/>
              <w:left w:val="nil"/>
              <w:bottom w:val="single" w:sz="4" w:space="0" w:color="auto"/>
              <w:right w:val="single" w:sz="4" w:space="0" w:color="auto"/>
            </w:tcBorders>
            <w:shd w:val="clear" w:color="auto" w:fill="auto"/>
            <w:noWrap/>
            <w:vAlign w:val="bottom"/>
            <w:hideMark/>
          </w:tcPr>
          <w:p w:rsidR="00F1441B" w:rsidRPr="00F1441B" w:rsidRDefault="00F1441B" w:rsidP="00F1441B">
            <w:pPr>
              <w:pStyle w:val="TableText"/>
              <w:rPr>
                <w:rFonts w:eastAsia="Times New Roman"/>
              </w:rPr>
            </w:pPr>
            <w:r w:rsidRPr="00F1441B">
              <w:rPr>
                <w:rFonts w:eastAsia="Times New Roman"/>
              </w:rPr>
              <w:t>238.3</w:t>
            </w:r>
          </w:p>
        </w:tc>
      </w:tr>
      <w:tr w:rsidR="00F1441B" w:rsidRPr="00F1441B" w:rsidTr="00F1441B">
        <w:trPr>
          <w:trHeight w:val="288"/>
          <w:jc w:val="center"/>
        </w:trPr>
        <w:tc>
          <w:tcPr>
            <w:tcW w:w="1450" w:type="dxa"/>
            <w:tcBorders>
              <w:top w:val="nil"/>
              <w:left w:val="single" w:sz="4" w:space="0" w:color="auto"/>
              <w:bottom w:val="single" w:sz="4" w:space="0" w:color="auto"/>
              <w:right w:val="single" w:sz="4" w:space="0" w:color="auto"/>
            </w:tcBorders>
            <w:shd w:val="clear" w:color="auto" w:fill="auto"/>
            <w:noWrap/>
            <w:vAlign w:val="bottom"/>
            <w:hideMark/>
          </w:tcPr>
          <w:p w:rsidR="00F1441B" w:rsidRPr="00F1441B" w:rsidRDefault="00F1441B" w:rsidP="00F1441B">
            <w:pPr>
              <w:pStyle w:val="TableText"/>
              <w:rPr>
                <w:rFonts w:eastAsia="Times New Roman"/>
              </w:rPr>
            </w:pPr>
            <w:r w:rsidRPr="00F1441B">
              <w:rPr>
                <w:rFonts w:eastAsia="Times New Roman"/>
              </w:rPr>
              <w:t>2014 - 2022</w:t>
            </w:r>
          </w:p>
        </w:tc>
        <w:tc>
          <w:tcPr>
            <w:tcW w:w="1460" w:type="dxa"/>
            <w:tcBorders>
              <w:top w:val="nil"/>
              <w:left w:val="nil"/>
              <w:bottom w:val="single" w:sz="4" w:space="0" w:color="auto"/>
              <w:right w:val="single" w:sz="4" w:space="0" w:color="auto"/>
            </w:tcBorders>
            <w:shd w:val="clear" w:color="auto" w:fill="auto"/>
            <w:noWrap/>
            <w:vAlign w:val="bottom"/>
            <w:hideMark/>
          </w:tcPr>
          <w:p w:rsidR="00F1441B" w:rsidRPr="00F1441B" w:rsidRDefault="00F1441B" w:rsidP="00F1441B">
            <w:pPr>
              <w:pStyle w:val="TableText"/>
              <w:rPr>
                <w:rFonts w:eastAsia="Times New Roman"/>
              </w:rPr>
            </w:pPr>
            <w:r w:rsidRPr="00F1441B">
              <w:rPr>
                <w:rFonts w:eastAsia="Times New Roman"/>
              </w:rPr>
              <w:t>198.5</w:t>
            </w:r>
          </w:p>
        </w:tc>
        <w:tc>
          <w:tcPr>
            <w:tcW w:w="1000" w:type="dxa"/>
            <w:tcBorders>
              <w:top w:val="nil"/>
              <w:left w:val="nil"/>
              <w:bottom w:val="single" w:sz="4" w:space="0" w:color="auto"/>
              <w:right w:val="single" w:sz="4" w:space="0" w:color="auto"/>
            </w:tcBorders>
            <w:shd w:val="clear" w:color="auto" w:fill="auto"/>
            <w:noWrap/>
            <w:vAlign w:val="bottom"/>
            <w:hideMark/>
          </w:tcPr>
          <w:p w:rsidR="00F1441B" w:rsidRPr="00F1441B" w:rsidRDefault="00F1441B" w:rsidP="00F1441B">
            <w:pPr>
              <w:pStyle w:val="TableText"/>
              <w:rPr>
                <w:rFonts w:eastAsia="Times New Roman"/>
              </w:rPr>
            </w:pPr>
            <w:r w:rsidRPr="00F1441B">
              <w:rPr>
                <w:rFonts w:eastAsia="Times New Roman"/>
              </w:rPr>
              <w:t>158.7</w:t>
            </w:r>
          </w:p>
        </w:tc>
        <w:tc>
          <w:tcPr>
            <w:tcW w:w="1000" w:type="dxa"/>
            <w:tcBorders>
              <w:top w:val="nil"/>
              <w:left w:val="nil"/>
              <w:bottom w:val="single" w:sz="4" w:space="0" w:color="auto"/>
              <w:right w:val="single" w:sz="4" w:space="0" w:color="auto"/>
            </w:tcBorders>
            <w:shd w:val="clear" w:color="auto" w:fill="auto"/>
            <w:noWrap/>
            <w:vAlign w:val="bottom"/>
            <w:hideMark/>
          </w:tcPr>
          <w:p w:rsidR="00F1441B" w:rsidRPr="00F1441B" w:rsidRDefault="00F1441B" w:rsidP="00F1441B">
            <w:pPr>
              <w:pStyle w:val="TableText"/>
              <w:rPr>
                <w:rFonts w:eastAsia="Times New Roman"/>
              </w:rPr>
            </w:pPr>
            <w:r w:rsidRPr="00F1441B">
              <w:rPr>
                <w:rFonts w:eastAsia="Times New Roman"/>
              </w:rPr>
              <w:t>238.3</w:t>
            </w:r>
          </w:p>
        </w:tc>
      </w:tr>
    </w:tbl>
    <w:p w:rsidR="002070AB" w:rsidRPr="009020EA" w:rsidRDefault="002070AB" w:rsidP="002070AB">
      <w:pPr>
        <w:pStyle w:val="BodyParagraph"/>
      </w:pPr>
    </w:p>
    <w:p w:rsidR="002070AB" w:rsidRDefault="002070AB" w:rsidP="002070AB">
      <w:pPr>
        <w:pStyle w:val="BodyParagraph"/>
      </w:pPr>
      <w:r>
        <w:t>PG&amp;E</w:t>
      </w:r>
      <w:r w:rsidRPr="00E84E74">
        <w:t xml:space="preserve"> is compr</w:t>
      </w:r>
      <w:r>
        <w:t>ised of seven</w:t>
      </w:r>
      <w:r w:rsidRPr="00E84E74">
        <w:t xml:space="preserve"> geographic planning zones known as local capacity areas (LCAs).  </w:t>
      </w:r>
      <w:r>
        <w:t>An eighth region, deemed “Other,” is comprised of customers that are not located in any of the seven LCAs.  The ex ante load impacts differ</w:t>
      </w:r>
      <w:r w:rsidRPr="00E84E74">
        <w:t xml:space="preserve"> </w:t>
      </w:r>
      <w:r>
        <w:t xml:space="preserve">by geographic location due to differences in the total population, industry mix and, to a lesser extent, climate. </w:t>
      </w:r>
    </w:p>
    <w:p w:rsidR="008B31AA" w:rsidRPr="0011027B" w:rsidRDefault="00F66D5E" w:rsidP="0011027B">
      <w:pPr>
        <w:pStyle w:val="BodyParagraph"/>
      </w:pPr>
      <w:r>
        <w:t xml:space="preserve">The impacts vary by geographic location and size and reflect the patterns observed in demand reductions during actual historical events.  </w:t>
      </w:r>
      <w:fldSimple w:instr=" REF _Ref324254856  \* MERGEFORMAT ">
        <w:r w:rsidRPr="0038124C">
          <w:t xml:space="preserve">Table </w:t>
        </w:r>
        <w:r>
          <w:t>7</w:t>
        </w:r>
        <w:r>
          <w:noBreakHyphen/>
          <w:t>4</w:t>
        </w:r>
      </w:fldSimple>
      <w:r w:rsidR="002070AB">
        <w:t xml:space="preserve"> summarizes the ex ante load reduction capability of AMP customers by LCA and customer size during an A</w:t>
      </w:r>
      <w:r w:rsidR="00C27EAA">
        <w:t>ugust system peak day in 2012.  PG&amp;E expects a reduction</w:t>
      </w:r>
      <w:r w:rsidR="00F1441B">
        <w:t xml:space="preserve"> of 199</w:t>
      </w:r>
      <w:r w:rsidR="006E3CAB">
        <w:t xml:space="preserve"> kW and 1</w:t>
      </w:r>
      <w:r w:rsidR="00F1441B">
        <w:t>13</w:t>
      </w:r>
      <w:r w:rsidR="006E3CAB">
        <w:t xml:space="preserve"> kW</w:t>
      </w:r>
      <w:r w:rsidR="00C27EAA">
        <w:t xml:space="preserve"> per customer for customers enrolled in the same day and day-ahead resources</w:t>
      </w:r>
      <w:r w:rsidR="00F1441B">
        <w:t>, respectively</w:t>
      </w:r>
      <w:r w:rsidR="00C27EAA">
        <w:t xml:space="preserve">.  </w:t>
      </w:r>
      <w:bookmarkStart w:id="375" w:name="_Ref324254856"/>
      <w:r w:rsidR="00C27EAA">
        <w:t xml:space="preserve">The impacts vary by geographic location and size and reflect the patterns observed in demand reductions during actual historical events. </w:t>
      </w:r>
    </w:p>
    <w:p w:rsidR="002070AB" w:rsidRDefault="002070AB" w:rsidP="00FD558F">
      <w:pPr>
        <w:pStyle w:val="TableFigureCaption"/>
        <w:rPr>
          <w:bCs/>
        </w:rPr>
      </w:pPr>
      <w:r w:rsidRPr="0038124C">
        <w:lastRenderedPageBreak/>
        <w:t xml:space="preserve">Table </w:t>
      </w:r>
      <w:fldSimple w:instr=" STYLEREF 1 \s ">
        <w:r w:rsidR="00F66D5E">
          <w:rPr>
            <w:noProof/>
          </w:rPr>
          <w:t>7</w:t>
        </w:r>
      </w:fldSimple>
      <w:r w:rsidR="00F55000">
        <w:noBreakHyphen/>
      </w:r>
      <w:fldSimple w:instr=" SEQ Table \* ARABIC \s 1 ">
        <w:r w:rsidR="00F66D5E">
          <w:rPr>
            <w:noProof/>
          </w:rPr>
          <w:t>4</w:t>
        </w:r>
      </w:fldSimple>
      <w:bookmarkEnd w:id="375"/>
      <w:r w:rsidRPr="0038124C">
        <w:t>:</w:t>
      </w:r>
    </w:p>
    <w:p w:rsidR="002070AB" w:rsidRPr="00DC66F9" w:rsidRDefault="002070AB" w:rsidP="00FD558F">
      <w:pPr>
        <w:pStyle w:val="TableFigureCaption"/>
        <w:rPr>
          <w:bCs/>
        </w:rPr>
      </w:pPr>
      <w:r>
        <w:t xml:space="preserve">2012 </w:t>
      </w:r>
      <w:r w:rsidRPr="0038124C">
        <w:t>Aggregate Annual Peak Day Load</w:t>
      </w:r>
      <w:r>
        <w:t xml:space="preserve"> for PG&amp;E AMP by LCA and Customer Size</w:t>
      </w:r>
    </w:p>
    <w:p w:rsidR="002070AB" w:rsidRDefault="002070AB" w:rsidP="00FD558F">
      <w:pPr>
        <w:pStyle w:val="TableFigureCaption"/>
      </w:pPr>
      <w:r w:rsidRPr="0038124C">
        <w:t xml:space="preserve">(Hourly Average Reduction </w:t>
      </w:r>
      <w:r>
        <w:t>from 1</w:t>
      </w:r>
      <w:r w:rsidRPr="0038124C">
        <w:t xml:space="preserve"> to 6 PM)</w:t>
      </w:r>
    </w:p>
    <w:tbl>
      <w:tblPr>
        <w:tblW w:w="9533" w:type="dxa"/>
        <w:tblInd w:w="95" w:type="dxa"/>
        <w:tblLayout w:type="fixed"/>
        <w:tblLook w:val="04A0"/>
      </w:tblPr>
      <w:tblGrid>
        <w:gridCol w:w="567"/>
        <w:gridCol w:w="1426"/>
        <w:gridCol w:w="899"/>
        <w:gridCol w:w="1061"/>
        <w:gridCol w:w="990"/>
        <w:gridCol w:w="900"/>
        <w:gridCol w:w="900"/>
        <w:gridCol w:w="990"/>
        <w:gridCol w:w="900"/>
        <w:gridCol w:w="900"/>
      </w:tblGrid>
      <w:tr w:rsidR="00F1441B" w:rsidRPr="00F1441B" w:rsidTr="00F1441B">
        <w:trPr>
          <w:trHeight w:val="288"/>
        </w:trPr>
        <w:tc>
          <w:tcPr>
            <w:tcW w:w="1993" w:type="dxa"/>
            <w:gridSpan w:val="2"/>
            <w:vMerge w:val="restart"/>
            <w:tcBorders>
              <w:top w:val="nil"/>
              <w:left w:val="nil"/>
              <w:bottom w:val="single" w:sz="4" w:space="0" w:color="000000"/>
              <w:right w:val="single" w:sz="4" w:space="0" w:color="FFFFFF"/>
            </w:tcBorders>
            <w:shd w:val="clear" w:color="000000" w:fill="1F497D"/>
            <w:vAlign w:val="bottom"/>
            <w:hideMark/>
          </w:tcPr>
          <w:p w:rsidR="00F1441B" w:rsidRPr="00F1441B" w:rsidRDefault="00F1441B" w:rsidP="00F1441B">
            <w:pPr>
              <w:pStyle w:val="TableHeader"/>
              <w:rPr>
                <w:rFonts w:eastAsia="Times New Roman"/>
                <w:sz w:val="16"/>
                <w:szCs w:val="16"/>
              </w:rPr>
            </w:pPr>
            <w:bookmarkStart w:id="376" w:name="_Toc324504086"/>
            <w:r w:rsidRPr="00F1441B">
              <w:rPr>
                <w:rFonts w:eastAsia="Times New Roman"/>
                <w:sz w:val="16"/>
                <w:szCs w:val="16"/>
              </w:rPr>
              <w:t>Customer Subcategory</w:t>
            </w:r>
          </w:p>
        </w:tc>
        <w:tc>
          <w:tcPr>
            <w:tcW w:w="3850" w:type="dxa"/>
            <w:gridSpan w:val="4"/>
            <w:tcBorders>
              <w:top w:val="nil"/>
              <w:left w:val="nil"/>
              <w:bottom w:val="single" w:sz="4" w:space="0" w:color="FFFFFF"/>
              <w:right w:val="nil"/>
            </w:tcBorders>
            <w:shd w:val="clear" w:color="000000" w:fill="1F497D"/>
            <w:vAlign w:val="bottom"/>
            <w:hideMark/>
          </w:tcPr>
          <w:p w:rsidR="00F1441B" w:rsidRPr="00F1441B" w:rsidRDefault="00F1441B" w:rsidP="00F1441B">
            <w:pPr>
              <w:pStyle w:val="TableHeader"/>
              <w:rPr>
                <w:rFonts w:eastAsia="Times New Roman"/>
                <w:sz w:val="16"/>
                <w:szCs w:val="16"/>
              </w:rPr>
            </w:pPr>
            <w:r w:rsidRPr="00F1441B">
              <w:rPr>
                <w:rFonts w:eastAsia="Times New Roman"/>
                <w:sz w:val="16"/>
                <w:szCs w:val="16"/>
              </w:rPr>
              <w:t>AMP-DA</w:t>
            </w:r>
          </w:p>
        </w:tc>
        <w:tc>
          <w:tcPr>
            <w:tcW w:w="3690" w:type="dxa"/>
            <w:gridSpan w:val="4"/>
            <w:tcBorders>
              <w:top w:val="nil"/>
              <w:left w:val="single" w:sz="4" w:space="0" w:color="FFFFFF"/>
              <w:bottom w:val="single" w:sz="4" w:space="0" w:color="FFFFFF"/>
              <w:right w:val="nil"/>
            </w:tcBorders>
            <w:shd w:val="clear" w:color="000000" w:fill="1F497D"/>
            <w:vAlign w:val="bottom"/>
            <w:hideMark/>
          </w:tcPr>
          <w:p w:rsidR="00F1441B" w:rsidRPr="00F1441B" w:rsidRDefault="00F1441B" w:rsidP="00F1441B">
            <w:pPr>
              <w:pStyle w:val="TableHeader"/>
              <w:rPr>
                <w:rFonts w:eastAsia="Times New Roman"/>
                <w:sz w:val="16"/>
                <w:szCs w:val="16"/>
              </w:rPr>
            </w:pPr>
            <w:r w:rsidRPr="00F1441B">
              <w:rPr>
                <w:rFonts w:eastAsia="Times New Roman"/>
                <w:sz w:val="16"/>
                <w:szCs w:val="16"/>
              </w:rPr>
              <w:t>AMP-DO</w:t>
            </w:r>
          </w:p>
        </w:tc>
      </w:tr>
      <w:tr w:rsidR="00F1441B" w:rsidRPr="00F1441B" w:rsidTr="00F1441B">
        <w:trPr>
          <w:trHeight w:val="1344"/>
        </w:trPr>
        <w:tc>
          <w:tcPr>
            <w:tcW w:w="1993" w:type="dxa"/>
            <w:gridSpan w:val="2"/>
            <w:vMerge/>
            <w:tcBorders>
              <w:top w:val="nil"/>
              <w:left w:val="nil"/>
              <w:bottom w:val="single" w:sz="4" w:space="0" w:color="000000"/>
              <w:right w:val="single" w:sz="4" w:space="0" w:color="FFFFFF"/>
            </w:tcBorders>
            <w:vAlign w:val="center"/>
            <w:hideMark/>
          </w:tcPr>
          <w:p w:rsidR="00F1441B" w:rsidRPr="00F1441B" w:rsidRDefault="00F1441B" w:rsidP="00F1441B">
            <w:pPr>
              <w:pStyle w:val="TableHeader"/>
              <w:rPr>
                <w:rFonts w:eastAsia="Times New Roman"/>
                <w:sz w:val="16"/>
                <w:szCs w:val="16"/>
              </w:rPr>
            </w:pPr>
          </w:p>
        </w:tc>
        <w:tc>
          <w:tcPr>
            <w:tcW w:w="899" w:type="dxa"/>
            <w:tcBorders>
              <w:top w:val="nil"/>
              <w:left w:val="nil"/>
              <w:bottom w:val="nil"/>
              <w:right w:val="single" w:sz="4" w:space="0" w:color="FFFFFF"/>
            </w:tcBorders>
            <w:shd w:val="clear" w:color="000000" w:fill="1F497D"/>
            <w:tcMar>
              <w:left w:w="0" w:type="dxa"/>
              <w:right w:w="0" w:type="dxa"/>
            </w:tcMar>
            <w:vAlign w:val="bottom"/>
            <w:hideMark/>
          </w:tcPr>
          <w:p w:rsidR="00F1441B" w:rsidRPr="00F1441B" w:rsidRDefault="00F1441B" w:rsidP="00F1441B">
            <w:pPr>
              <w:pStyle w:val="TableHeader"/>
              <w:rPr>
                <w:rFonts w:eastAsia="Times New Roman"/>
                <w:sz w:val="16"/>
                <w:szCs w:val="16"/>
              </w:rPr>
            </w:pPr>
            <w:r w:rsidRPr="00F1441B">
              <w:rPr>
                <w:rFonts w:eastAsia="Times New Roman"/>
                <w:sz w:val="16"/>
                <w:szCs w:val="16"/>
              </w:rPr>
              <w:t>Expected Aggregate Load Impact (MW)</w:t>
            </w:r>
          </w:p>
        </w:tc>
        <w:tc>
          <w:tcPr>
            <w:tcW w:w="1061" w:type="dxa"/>
            <w:tcBorders>
              <w:top w:val="nil"/>
              <w:left w:val="nil"/>
              <w:bottom w:val="nil"/>
              <w:right w:val="single" w:sz="4" w:space="0" w:color="FFFFFF"/>
            </w:tcBorders>
            <w:shd w:val="clear" w:color="000000" w:fill="1F497D"/>
            <w:tcMar>
              <w:left w:w="0" w:type="dxa"/>
              <w:right w:w="0" w:type="dxa"/>
            </w:tcMar>
            <w:vAlign w:val="bottom"/>
            <w:hideMark/>
          </w:tcPr>
          <w:p w:rsidR="00F1441B" w:rsidRPr="00F1441B" w:rsidRDefault="00F1441B" w:rsidP="00F1441B">
            <w:pPr>
              <w:pStyle w:val="TableHeader"/>
              <w:rPr>
                <w:rFonts w:eastAsia="Times New Roman"/>
                <w:sz w:val="16"/>
                <w:szCs w:val="16"/>
              </w:rPr>
            </w:pPr>
            <w:r w:rsidRPr="00F1441B">
              <w:rPr>
                <w:rFonts w:eastAsia="Times New Roman"/>
                <w:sz w:val="16"/>
                <w:szCs w:val="16"/>
              </w:rPr>
              <w:t>Number of Nominated Customers</w:t>
            </w:r>
          </w:p>
        </w:tc>
        <w:tc>
          <w:tcPr>
            <w:tcW w:w="990" w:type="dxa"/>
            <w:tcBorders>
              <w:top w:val="nil"/>
              <w:left w:val="nil"/>
              <w:bottom w:val="nil"/>
              <w:right w:val="single" w:sz="4" w:space="0" w:color="FFFFFF"/>
            </w:tcBorders>
            <w:shd w:val="clear" w:color="000000" w:fill="1F497D"/>
            <w:tcMar>
              <w:left w:w="0" w:type="dxa"/>
              <w:right w:w="0" w:type="dxa"/>
            </w:tcMar>
            <w:vAlign w:val="bottom"/>
            <w:hideMark/>
          </w:tcPr>
          <w:p w:rsidR="00F1441B" w:rsidRPr="00F1441B" w:rsidRDefault="00F1441B" w:rsidP="00F1441B">
            <w:pPr>
              <w:pStyle w:val="TableHeader"/>
              <w:rPr>
                <w:rFonts w:eastAsia="Times New Roman"/>
                <w:sz w:val="16"/>
                <w:szCs w:val="16"/>
              </w:rPr>
            </w:pPr>
            <w:r w:rsidRPr="00F1441B">
              <w:rPr>
                <w:rFonts w:eastAsia="Times New Roman"/>
                <w:sz w:val="16"/>
                <w:szCs w:val="16"/>
              </w:rPr>
              <w:t>Expected Customer Avg. Load Impact (kW)</w:t>
            </w:r>
          </w:p>
        </w:tc>
        <w:tc>
          <w:tcPr>
            <w:tcW w:w="900" w:type="dxa"/>
            <w:tcBorders>
              <w:top w:val="nil"/>
              <w:left w:val="nil"/>
              <w:bottom w:val="nil"/>
              <w:right w:val="single" w:sz="4" w:space="0" w:color="FFFFFF"/>
            </w:tcBorders>
            <w:shd w:val="clear" w:color="000000" w:fill="1F497D"/>
            <w:tcMar>
              <w:left w:w="0" w:type="dxa"/>
              <w:right w:w="0" w:type="dxa"/>
            </w:tcMar>
            <w:vAlign w:val="bottom"/>
            <w:hideMark/>
          </w:tcPr>
          <w:p w:rsidR="00F1441B" w:rsidRPr="00F1441B" w:rsidRDefault="00F1441B" w:rsidP="00F1441B">
            <w:pPr>
              <w:pStyle w:val="TableHeader"/>
              <w:rPr>
                <w:rFonts w:eastAsia="Times New Roman"/>
                <w:sz w:val="16"/>
                <w:szCs w:val="16"/>
              </w:rPr>
            </w:pPr>
            <w:r w:rsidRPr="00F1441B">
              <w:rPr>
                <w:rFonts w:eastAsia="Times New Roman"/>
                <w:sz w:val="16"/>
                <w:szCs w:val="16"/>
              </w:rPr>
              <w:t>% Load Reduction</w:t>
            </w:r>
          </w:p>
        </w:tc>
        <w:tc>
          <w:tcPr>
            <w:tcW w:w="900" w:type="dxa"/>
            <w:tcBorders>
              <w:top w:val="nil"/>
              <w:left w:val="nil"/>
              <w:bottom w:val="nil"/>
              <w:right w:val="single" w:sz="4" w:space="0" w:color="FFFFFF"/>
            </w:tcBorders>
            <w:shd w:val="clear" w:color="000000" w:fill="1F497D"/>
            <w:tcMar>
              <w:left w:w="0" w:type="dxa"/>
              <w:right w:w="0" w:type="dxa"/>
            </w:tcMar>
            <w:vAlign w:val="bottom"/>
            <w:hideMark/>
          </w:tcPr>
          <w:p w:rsidR="00F1441B" w:rsidRPr="00F1441B" w:rsidRDefault="00F1441B" w:rsidP="00F1441B">
            <w:pPr>
              <w:pStyle w:val="TableHeader"/>
              <w:rPr>
                <w:rFonts w:eastAsia="Times New Roman"/>
                <w:sz w:val="16"/>
                <w:szCs w:val="16"/>
              </w:rPr>
            </w:pPr>
            <w:r w:rsidRPr="00F1441B">
              <w:rPr>
                <w:rFonts w:eastAsia="Times New Roman"/>
                <w:sz w:val="16"/>
                <w:szCs w:val="16"/>
              </w:rPr>
              <w:t>Expected Aggregate Load Impact (MW)</w:t>
            </w:r>
          </w:p>
        </w:tc>
        <w:tc>
          <w:tcPr>
            <w:tcW w:w="990" w:type="dxa"/>
            <w:tcBorders>
              <w:top w:val="nil"/>
              <w:left w:val="nil"/>
              <w:bottom w:val="nil"/>
              <w:right w:val="single" w:sz="4" w:space="0" w:color="FFFFFF"/>
            </w:tcBorders>
            <w:shd w:val="clear" w:color="000000" w:fill="1F497D"/>
            <w:tcMar>
              <w:left w:w="0" w:type="dxa"/>
              <w:right w:w="0" w:type="dxa"/>
            </w:tcMar>
            <w:vAlign w:val="bottom"/>
            <w:hideMark/>
          </w:tcPr>
          <w:p w:rsidR="00F1441B" w:rsidRPr="00F1441B" w:rsidRDefault="00F1441B" w:rsidP="00F1441B">
            <w:pPr>
              <w:pStyle w:val="TableHeader"/>
              <w:rPr>
                <w:rFonts w:eastAsia="Times New Roman"/>
                <w:sz w:val="16"/>
                <w:szCs w:val="16"/>
              </w:rPr>
            </w:pPr>
            <w:r w:rsidRPr="00F1441B">
              <w:rPr>
                <w:rFonts w:eastAsia="Times New Roman"/>
                <w:sz w:val="16"/>
                <w:szCs w:val="16"/>
              </w:rPr>
              <w:t>Number of Nominated Customers</w:t>
            </w:r>
          </w:p>
        </w:tc>
        <w:tc>
          <w:tcPr>
            <w:tcW w:w="900" w:type="dxa"/>
            <w:tcBorders>
              <w:top w:val="nil"/>
              <w:left w:val="nil"/>
              <w:bottom w:val="nil"/>
              <w:right w:val="single" w:sz="4" w:space="0" w:color="FFFFFF"/>
            </w:tcBorders>
            <w:shd w:val="clear" w:color="000000" w:fill="1F497D"/>
            <w:tcMar>
              <w:left w:w="0" w:type="dxa"/>
              <w:right w:w="0" w:type="dxa"/>
            </w:tcMar>
            <w:vAlign w:val="bottom"/>
            <w:hideMark/>
          </w:tcPr>
          <w:p w:rsidR="00F1441B" w:rsidRPr="00F1441B" w:rsidRDefault="00F1441B" w:rsidP="00F1441B">
            <w:pPr>
              <w:pStyle w:val="TableHeader"/>
              <w:rPr>
                <w:rFonts w:eastAsia="Times New Roman"/>
                <w:sz w:val="16"/>
                <w:szCs w:val="16"/>
              </w:rPr>
            </w:pPr>
            <w:r w:rsidRPr="00F1441B">
              <w:rPr>
                <w:rFonts w:eastAsia="Times New Roman"/>
                <w:sz w:val="16"/>
                <w:szCs w:val="16"/>
              </w:rPr>
              <w:t>Expected Customer Avg. Load Impact (kW)</w:t>
            </w:r>
          </w:p>
        </w:tc>
        <w:tc>
          <w:tcPr>
            <w:tcW w:w="900" w:type="dxa"/>
            <w:tcBorders>
              <w:top w:val="nil"/>
              <w:left w:val="nil"/>
              <w:bottom w:val="nil"/>
              <w:right w:val="single" w:sz="4" w:space="0" w:color="FFFFFF"/>
            </w:tcBorders>
            <w:shd w:val="clear" w:color="000000" w:fill="1F497D"/>
            <w:tcMar>
              <w:left w:w="0" w:type="dxa"/>
              <w:right w:w="0" w:type="dxa"/>
            </w:tcMar>
            <w:vAlign w:val="bottom"/>
            <w:hideMark/>
          </w:tcPr>
          <w:p w:rsidR="00F1441B" w:rsidRPr="00F1441B" w:rsidRDefault="00F1441B" w:rsidP="00F1441B">
            <w:pPr>
              <w:pStyle w:val="TableHeader"/>
              <w:rPr>
                <w:rFonts w:eastAsia="Times New Roman"/>
                <w:sz w:val="16"/>
                <w:szCs w:val="16"/>
              </w:rPr>
            </w:pPr>
            <w:r w:rsidRPr="00F1441B">
              <w:rPr>
                <w:rFonts w:eastAsia="Times New Roman"/>
                <w:sz w:val="16"/>
                <w:szCs w:val="16"/>
              </w:rPr>
              <w:t>% Load Reduction</w:t>
            </w:r>
          </w:p>
        </w:tc>
      </w:tr>
      <w:tr w:rsidR="00F1441B" w:rsidRPr="00F1441B" w:rsidTr="00F1441B">
        <w:trPr>
          <w:trHeight w:val="432"/>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LCA</w:t>
            </w:r>
          </w:p>
        </w:tc>
        <w:tc>
          <w:tcPr>
            <w:tcW w:w="1426"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Greater Bay Area</w:t>
            </w:r>
          </w:p>
        </w:tc>
        <w:tc>
          <w:tcPr>
            <w:tcW w:w="899" w:type="dxa"/>
            <w:tcBorders>
              <w:top w:val="single" w:sz="4" w:space="0" w:color="auto"/>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5.8</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77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75.1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15.7%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19.4</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557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34.8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10.2%</w:t>
            </w:r>
          </w:p>
        </w:tc>
      </w:tr>
      <w:tr w:rsidR="00F1441B" w:rsidRPr="00F1441B" w:rsidTr="00F1441B">
        <w:trPr>
          <w:trHeight w:val="432"/>
        </w:trPr>
        <w:tc>
          <w:tcPr>
            <w:tcW w:w="567" w:type="dxa"/>
            <w:vMerge/>
            <w:tcBorders>
              <w:top w:val="nil"/>
              <w:left w:val="single" w:sz="4" w:space="0" w:color="auto"/>
              <w:bottom w:val="single" w:sz="4" w:space="0" w:color="auto"/>
              <w:right w:val="single" w:sz="4" w:space="0" w:color="auto"/>
            </w:tcBorders>
            <w:vAlign w:val="center"/>
            <w:hideMark/>
          </w:tcPr>
          <w:p w:rsidR="00F1441B" w:rsidRPr="00F1441B" w:rsidRDefault="00F1441B" w:rsidP="00F1441B">
            <w:pPr>
              <w:spacing w:after="0" w:line="240" w:lineRule="auto"/>
              <w:rPr>
                <w:rFonts w:ascii="Arial" w:eastAsia="Times New Roman" w:hAnsi="Arial" w:cs="Arial"/>
                <w:color w:val="000000"/>
                <w:sz w:val="18"/>
                <w:szCs w:val="18"/>
              </w:rPr>
            </w:pPr>
          </w:p>
        </w:tc>
        <w:tc>
          <w:tcPr>
            <w:tcW w:w="1426"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Greater Fresno</w:t>
            </w:r>
          </w:p>
        </w:tc>
        <w:tc>
          <w:tcPr>
            <w:tcW w:w="899"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9.3</w:t>
            </w:r>
          </w:p>
        </w:tc>
        <w:tc>
          <w:tcPr>
            <w:tcW w:w="1061"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36</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259.6</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57.6%</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41.2</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284</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145.2</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38.7%</w:t>
            </w:r>
          </w:p>
        </w:tc>
      </w:tr>
      <w:tr w:rsidR="00F1441B" w:rsidRPr="00F1441B" w:rsidTr="00F1441B">
        <w:trPr>
          <w:trHeight w:val="432"/>
        </w:trPr>
        <w:tc>
          <w:tcPr>
            <w:tcW w:w="567" w:type="dxa"/>
            <w:vMerge/>
            <w:tcBorders>
              <w:top w:val="nil"/>
              <w:left w:val="single" w:sz="4" w:space="0" w:color="auto"/>
              <w:bottom w:val="single" w:sz="4" w:space="0" w:color="auto"/>
              <w:right w:val="single" w:sz="4" w:space="0" w:color="auto"/>
            </w:tcBorders>
            <w:vAlign w:val="center"/>
            <w:hideMark/>
          </w:tcPr>
          <w:p w:rsidR="00F1441B" w:rsidRPr="00F1441B" w:rsidRDefault="00F1441B" w:rsidP="00F1441B">
            <w:pPr>
              <w:spacing w:after="0" w:line="240" w:lineRule="auto"/>
              <w:rPr>
                <w:rFonts w:ascii="Arial" w:eastAsia="Times New Roman" w:hAnsi="Arial" w:cs="Arial"/>
                <w:color w:val="000000"/>
                <w:sz w:val="18"/>
                <w:szCs w:val="18"/>
              </w:rPr>
            </w:pPr>
          </w:p>
        </w:tc>
        <w:tc>
          <w:tcPr>
            <w:tcW w:w="1426"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Humboldt</w:t>
            </w:r>
          </w:p>
        </w:tc>
        <w:tc>
          <w:tcPr>
            <w:tcW w:w="899"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0.1</w:t>
            </w:r>
          </w:p>
        </w:tc>
        <w:tc>
          <w:tcPr>
            <w:tcW w:w="1061"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69.2</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14.5%</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1.9</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9</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205.6</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39.7%</w:t>
            </w:r>
          </w:p>
        </w:tc>
      </w:tr>
      <w:tr w:rsidR="00F1441B" w:rsidRPr="00F1441B" w:rsidTr="00F1441B">
        <w:trPr>
          <w:trHeight w:val="432"/>
        </w:trPr>
        <w:tc>
          <w:tcPr>
            <w:tcW w:w="567" w:type="dxa"/>
            <w:vMerge/>
            <w:tcBorders>
              <w:top w:val="nil"/>
              <w:left w:val="single" w:sz="4" w:space="0" w:color="auto"/>
              <w:bottom w:val="single" w:sz="4" w:space="0" w:color="auto"/>
              <w:right w:val="single" w:sz="4" w:space="0" w:color="auto"/>
            </w:tcBorders>
            <w:vAlign w:val="center"/>
            <w:hideMark/>
          </w:tcPr>
          <w:p w:rsidR="00F1441B" w:rsidRPr="00F1441B" w:rsidRDefault="00F1441B" w:rsidP="00F1441B">
            <w:pPr>
              <w:spacing w:after="0" w:line="240" w:lineRule="auto"/>
              <w:rPr>
                <w:rFonts w:ascii="Arial" w:eastAsia="Times New Roman" w:hAnsi="Arial" w:cs="Arial"/>
                <w:color w:val="000000"/>
                <w:sz w:val="18"/>
                <w:szCs w:val="18"/>
              </w:rPr>
            </w:pPr>
          </w:p>
        </w:tc>
        <w:tc>
          <w:tcPr>
            <w:tcW w:w="1426"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Kern</w:t>
            </w:r>
          </w:p>
        </w:tc>
        <w:tc>
          <w:tcPr>
            <w:tcW w:w="899"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0.6</w:t>
            </w:r>
          </w:p>
        </w:tc>
        <w:tc>
          <w:tcPr>
            <w:tcW w:w="1061"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19</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29.2</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12.0%</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22.2</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143</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155.6</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25.4%</w:t>
            </w:r>
          </w:p>
        </w:tc>
      </w:tr>
      <w:tr w:rsidR="00F1441B" w:rsidRPr="00F1441B" w:rsidTr="00F1441B">
        <w:trPr>
          <w:trHeight w:val="432"/>
        </w:trPr>
        <w:tc>
          <w:tcPr>
            <w:tcW w:w="567" w:type="dxa"/>
            <w:vMerge/>
            <w:tcBorders>
              <w:top w:val="nil"/>
              <w:left w:val="single" w:sz="4" w:space="0" w:color="auto"/>
              <w:bottom w:val="single" w:sz="4" w:space="0" w:color="auto"/>
              <w:right w:val="single" w:sz="4" w:space="0" w:color="auto"/>
            </w:tcBorders>
            <w:vAlign w:val="center"/>
            <w:hideMark/>
          </w:tcPr>
          <w:p w:rsidR="00F1441B" w:rsidRPr="00F1441B" w:rsidRDefault="00F1441B" w:rsidP="00F1441B">
            <w:pPr>
              <w:spacing w:after="0" w:line="240" w:lineRule="auto"/>
              <w:rPr>
                <w:rFonts w:ascii="Arial" w:eastAsia="Times New Roman" w:hAnsi="Arial" w:cs="Arial"/>
                <w:color w:val="000000"/>
                <w:sz w:val="18"/>
                <w:szCs w:val="18"/>
              </w:rPr>
            </w:pPr>
          </w:p>
        </w:tc>
        <w:tc>
          <w:tcPr>
            <w:tcW w:w="1426"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Northern Coast</w:t>
            </w:r>
          </w:p>
        </w:tc>
        <w:tc>
          <w:tcPr>
            <w:tcW w:w="899"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26.8</w:t>
            </w:r>
          </w:p>
        </w:tc>
        <w:tc>
          <w:tcPr>
            <w:tcW w:w="1061"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54</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496.9</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49.7%</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5.9</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63</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94.4</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24.4%</w:t>
            </w:r>
          </w:p>
        </w:tc>
      </w:tr>
      <w:tr w:rsidR="00F1441B" w:rsidRPr="00F1441B" w:rsidTr="00F1441B">
        <w:trPr>
          <w:trHeight w:val="432"/>
        </w:trPr>
        <w:tc>
          <w:tcPr>
            <w:tcW w:w="567" w:type="dxa"/>
            <w:vMerge/>
            <w:tcBorders>
              <w:top w:val="nil"/>
              <w:left w:val="single" w:sz="4" w:space="0" w:color="auto"/>
              <w:bottom w:val="single" w:sz="4" w:space="0" w:color="auto"/>
              <w:right w:val="single" w:sz="4" w:space="0" w:color="auto"/>
            </w:tcBorders>
            <w:vAlign w:val="center"/>
            <w:hideMark/>
          </w:tcPr>
          <w:p w:rsidR="00F1441B" w:rsidRPr="00F1441B" w:rsidRDefault="00F1441B" w:rsidP="00F1441B">
            <w:pPr>
              <w:spacing w:after="0" w:line="240" w:lineRule="auto"/>
              <w:rPr>
                <w:rFonts w:ascii="Arial" w:eastAsia="Times New Roman" w:hAnsi="Arial" w:cs="Arial"/>
                <w:color w:val="000000"/>
                <w:sz w:val="18"/>
                <w:szCs w:val="18"/>
              </w:rPr>
            </w:pPr>
          </w:p>
        </w:tc>
        <w:tc>
          <w:tcPr>
            <w:tcW w:w="1426"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Other</w:t>
            </w:r>
          </w:p>
        </w:tc>
        <w:tc>
          <w:tcPr>
            <w:tcW w:w="899"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0.5</w:t>
            </w:r>
          </w:p>
        </w:tc>
        <w:tc>
          <w:tcPr>
            <w:tcW w:w="1061"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20</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22.5</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8.7%</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52.8</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234</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225.6</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29.5%</w:t>
            </w:r>
          </w:p>
        </w:tc>
      </w:tr>
      <w:tr w:rsidR="00F1441B" w:rsidRPr="00F1441B" w:rsidTr="00F1441B">
        <w:trPr>
          <w:trHeight w:val="432"/>
        </w:trPr>
        <w:tc>
          <w:tcPr>
            <w:tcW w:w="567" w:type="dxa"/>
            <w:vMerge/>
            <w:tcBorders>
              <w:top w:val="nil"/>
              <w:left w:val="single" w:sz="4" w:space="0" w:color="auto"/>
              <w:bottom w:val="single" w:sz="4" w:space="0" w:color="auto"/>
              <w:right w:val="single" w:sz="4" w:space="0" w:color="auto"/>
            </w:tcBorders>
            <w:vAlign w:val="center"/>
            <w:hideMark/>
          </w:tcPr>
          <w:p w:rsidR="00F1441B" w:rsidRPr="00F1441B" w:rsidRDefault="00F1441B" w:rsidP="00F1441B">
            <w:pPr>
              <w:spacing w:after="0" w:line="240" w:lineRule="auto"/>
              <w:rPr>
                <w:rFonts w:ascii="Arial" w:eastAsia="Times New Roman" w:hAnsi="Arial" w:cs="Arial"/>
                <w:color w:val="000000"/>
                <w:sz w:val="18"/>
                <w:szCs w:val="18"/>
              </w:rPr>
            </w:pPr>
          </w:p>
        </w:tc>
        <w:tc>
          <w:tcPr>
            <w:tcW w:w="1426"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Sierra</w:t>
            </w:r>
          </w:p>
        </w:tc>
        <w:tc>
          <w:tcPr>
            <w:tcW w:w="899"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1.0</w:t>
            </w:r>
          </w:p>
        </w:tc>
        <w:tc>
          <w:tcPr>
            <w:tcW w:w="1061"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14</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68.8</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30.0%</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4.9</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27</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183.0</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40.7%</w:t>
            </w:r>
          </w:p>
        </w:tc>
      </w:tr>
      <w:tr w:rsidR="00F1441B" w:rsidRPr="00F1441B" w:rsidTr="00F1441B">
        <w:trPr>
          <w:trHeight w:val="432"/>
        </w:trPr>
        <w:tc>
          <w:tcPr>
            <w:tcW w:w="567" w:type="dxa"/>
            <w:vMerge/>
            <w:tcBorders>
              <w:top w:val="nil"/>
              <w:left w:val="single" w:sz="4" w:space="0" w:color="auto"/>
              <w:bottom w:val="single" w:sz="4" w:space="0" w:color="auto"/>
              <w:right w:val="single" w:sz="4" w:space="0" w:color="auto"/>
            </w:tcBorders>
            <w:vAlign w:val="center"/>
            <w:hideMark/>
          </w:tcPr>
          <w:p w:rsidR="00F1441B" w:rsidRPr="00F1441B" w:rsidRDefault="00F1441B" w:rsidP="00F1441B">
            <w:pPr>
              <w:spacing w:after="0" w:line="240" w:lineRule="auto"/>
              <w:rPr>
                <w:rFonts w:ascii="Arial" w:eastAsia="Times New Roman" w:hAnsi="Arial" w:cs="Arial"/>
                <w:color w:val="000000"/>
                <w:sz w:val="18"/>
                <w:szCs w:val="18"/>
              </w:rPr>
            </w:pPr>
          </w:p>
        </w:tc>
        <w:tc>
          <w:tcPr>
            <w:tcW w:w="1426"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Stockton</w:t>
            </w:r>
          </w:p>
        </w:tc>
        <w:tc>
          <w:tcPr>
            <w:tcW w:w="899"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0.7</w:t>
            </w:r>
          </w:p>
        </w:tc>
        <w:tc>
          <w:tcPr>
            <w:tcW w:w="1061"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35</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19.6</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18.8%</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6.1</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53</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115.0</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30.6%</w:t>
            </w:r>
          </w:p>
        </w:tc>
      </w:tr>
      <w:tr w:rsidR="00F1441B" w:rsidRPr="00F1441B" w:rsidTr="00F1441B">
        <w:trPr>
          <w:trHeight w:val="432"/>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Size</w:t>
            </w:r>
          </w:p>
        </w:tc>
        <w:tc>
          <w:tcPr>
            <w:tcW w:w="1426"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Greater than 200 kW</w:t>
            </w:r>
          </w:p>
        </w:tc>
        <w:tc>
          <w:tcPr>
            <w:tcW w:w="899"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43.3</w:t>
            </w:r>
          </w:p>
        </w:tc>
        <w:tc>
          <w:tcPr>
            <w:tcW w:w="1061"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168</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257.8</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37.1%</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142.6</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829</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172.0</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24.2%</w:t>
            </w:r>
          </w:p>
        </w:tc>
      </w:tr>
      <w:tr w:rsidR="00F1441B" w:rsidRPr="00F1441B" w:rsidTr="00F1441B">
        <w:trPr>
          <w:trHeight w:val="432"/>
        </w:trPr>
        <w:tc>
          <w:tcPr>
            <w:tcW w:w="567" w:type="dxa"/>
            <w:vMerge/>
            <w:tcBorders>
              <w:top w:val="nil"/>
              <w:left w:val="single" w:sz="4" w:space="0" w:color="auto"/>
              <w:bottom w:val="single" w:sz="4" w:space="0" w:color="auto"/>
              <w:right w:val="single" w:sz="4" w:space="0" w:color="auto"/>
            </w:tcBorders>
            <w:vAlign w:val="center"/>
            <w:hideMark/>
          </w:tcPr>
          <w:p w:rsidR="00F1441B" w:rsidRPr="00F1441B" w:rsidRDefault="00F1441B" w:rsidP="00F1441B">
            <w:pPr>
              <w:spacing w:after="0" w:line="240" w:lineRule="auto"/>
              <w:rPr>
                <w:rFonts w:ascii="Arial" w:eastAsia="Times New Roman" w:hAnsi="Arial" w:cs="Arial"/>
                <w:color w:val="000000"/>
                <w:sz w:val="18"/>
                <w:szCs w:val="18"/>
              </w:rPr>
            </w:pPr>
          </w:p>
        </w:tc>
        <w:tc>
          <w:tcPr>
            <w:tcW w:w="1426"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20 kW to 199.99 kW</w:t>
            </w:r>
          </w:p>
        </w:tc>
        <w:tc>
          <w:tcPr>
            <w:tcW w:w="899"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0.7</w:t>
            </w:r>
          </w:p>
        </w:tc>
        <w:tc>
          <w:tcPr>
            <w:tcW w:w="1061"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35</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19.6</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18.8%</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10.5</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399</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26.2</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34.5%</w:t>
            </w:r>
          </w:p>
        </w:tc>
      </w:tr>
      <w:tr w:rsidR="00F1441B" w:rsidRPr="00F1441B" w:rsidTr="00F1441B">
        <w:trPr>
          <w:trHeight w:val="432"/>
        </w:trPr>
        <w:tc>
          <w:tcPr>
            <w:tcW w:w="567" w:type="dxa"/>
            <w:vMerge/>
            <w:tcBorders>
              <w:top w:val="nil"/>
              <w:left w:val="single" w:sz="4" w:space="0" w:color="auto"/>
              <w:bottom w:val="single" w:sz="4" w:space="0" w:color="auto"/>
              <w:right w:val="single" w:sz="4" w:space="0" w:color="auto"/>
            </w:tcBorders>
            <w:vAlign w:val="center"/>
            <w:hideMark/>
          </w:tcPr>
          <w:p w:rsidR="00F1441B" w:rsidRPr="00F1441B" w:rsidRDefault="00F1441B" w:rsidP="00F1441B">
            <w:pPr>
              <w:spacing w:after="0" w:line="240" w:lineRule="auto"/>
              <w:rPr>
                <w:rFonts w:ascii="Arial" w:eastAsia="Times New Roman" w:hAnsi="Arial" w:cs="Arial"/>
                <w:color w:val="000000"/>
                <w:sz w:val="18"/>
                <w:szCs w:val="18"/>
              </w:rPr>
            </w:pPr>
          </w:p>
        </w:tc>
        <w:tc>
          <w:tcPr>
            <w:tcW w:w="1426"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Less than 20 kW</w:t>
            </w:r>
          </w:p>
        </w:tc>
        <w:tc>
          <w:tcPr>
            <w:tcW w:w="899"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0.0</w:t>
            </w:r>
          </w:p>
        </w:tc>
        <w:tc>
          <w:tcPr>
            <w:tcW w:w="1061"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18</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0.1</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67.4%</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1.4</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142</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10.2</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40.9%</w:t>
            </w:r>
          </w:p>
        </w:tc>
      </w:tr>
      <w:tr w:rsidR="00F1441B" w:rsidRPr="00F1441B" w:rsidTr="00F1441B">
        <w:trPr>
          <w:trHeight w:val="432"/>
        </w:trPr>
        <w:tc>
          <w:tcPr>
            <w:tcW w:w="199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All Customers</w:t>
            </w:r>
          </w:p>
        </w:tc>
        <w:tc>
          <w:tcPr>
            <w:tcW w:w="899"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44.0</w:t>
            </w:r>
          </w:p>
        </w:tc>
        <w:tc>
          <w:tcPr>
            <w:tcW w:w="1061"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221</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199.4</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36.5%</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154.5</w:t>
            </w:r>
          </w:p>
        </w:tc>
        <w:tc>
          <w:tcPr>
            <w:tcW w:w="99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1370</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112.8</w:t>
            </w:r>
          </w:p>
        </w:tc>
        <w:tc>
          <w:tcPr>
            <w:tcW w:w="900" w:type="dxa"/>
            <w:tcBorders>
              <w:top w:val="nil"/>
              <w:left w:val="nil"/>
              <w:bottom w:val="single" w:sz="4" w:space="0" w:color="auto"/>
              <w:right w:val="single" w:sz="4" w:space="0" w:color="auto"/>
            </w:tcBorders>
            <w:shd w:val="clear" w:color="auto" w:fill="auto"/>
            <w:noWrap/>
            <w:vAlign w:val="center"/>
            <w:hideMark/>
          </w:tcPr>
          <w:p w:rsidR="00F1441B" w:rsidRPr="00F1441B" w:rsidRDefault="00F1441B" w:rsidP="00F1441B">
            <w:pPr>
              <w:spacing w:after="0" w:line="240" w:lineRule="auto"/>
              <w:jc w:val="center"/>
              <w:rPr>
                <w:rFonts w:ascii="Arial" w:eastAsia="Times New Roman" w:hAnsi="Arial" w:cs="Arial"/>
                <w:color w:val="000000"/>
                <w:sz w:val="18"/>
                <w:szCs w:val="18"/>
              </w:rPr>
            </w:pPr>
            <w:r w:rsidRPr="00F1441B">
              <w:rPr>
                <w:rFonts w:ascii="Arial" w:eastAsia="Times New Roman" w:hAnsi="Arial" w:cs="Arial"/>
                <w:color w:val="000000"/>
                <w:sz w:val="18"/>
                <w:szCs w:val="18"/>
              </w:rPr>
              <w:t>24.8%</w:t>
            </w:r>
          </w:p>
        </w:tc>
      </w:tr>
    </w:tbl>
    <w:p w:rsidR="002070AB" w:rsidRDefault="002070AB" w:rsidP="002070AB">
      <w:pPr>
        <w:pStyle w:val="Heading2"/>
        <w:numPr>
          <w:ilvl w:val="0"/>
          <w:numId w:val="0"/>
        </w:numPr>
        <w:ind w:left="540"/>
      </w:pPr>
    </w:p>
    <w:p w:rsidR="00F66D5E" w:rsidRPr="00F66D5E" w:rsidRDefault="00FD558F" w:rsidP="00F66D5E">
      <w:pPr>
        <w:pStyle w:val="Heading2"/>
      </w:pPr>
      <w:bookmarkStart w:id="377" w:name="_Toc289093914"/>
      <w:bookmarkStart w:id="378" w:name="_Toc289094002"/>
      <w:bookmarkStart w:id="379" w:name="_Toc289112739"/>
      <w:bookmarkStart w:id="380" w:name="_Toc326074039"/>
      <w:bookmarkEnd w:id="376"/>
      <w:bookmarkEnd w:id="377"/>
      <w:bookmarkEnd w:id="378"/>
      <w:bookmarkEnd w:id="379"/>
      <w:r>
        <w:t>Ex Ante Load Impact Estimates for the Capacity Bidding Program</w:t>
      </w:r>
      <w:bookmarkEnd w:id="380"/>
      <w:r w:rsidR="00C61D83" w:rsidRPr="00C61D83">
        <w:rPr>
          <w:rFonts w:asciiTheme="minorHAnsi" w:hAnsiTheme="minorHAnsi"/>
          <w:sz w:val="22"/>
        </w:rPr>
        <w:fldChar w:fldCharType="begin"/>
      </w:r>
      <w:r w:rsidR="00ED6F00">
        <w:instrText xml:space="preserve"> REF _Ref324257142 </w:instrText>
      </w:r>
      <w:r w:rsidR="00C61D83" w:rsidRPr="00C61D83">
        <w:rPr>
          <w:rFonts w:asciiTheme="minorHAnsi" w:hAnsiTheme="minorHAnsi"/>
          <w:sz w:val="22"/>
        </w:rPr>
        <w:fldChar w:fldCharType="separate"/>
      </w:r>
    </w:p>
    <w:p w:rsidR="00F66D5E" w:rsidRDefault="00F66D5E" w:rsidP="00F66D5E">
      <w:pPr>
        <w:pStyle w:val="BodyParagraph"/>
      </w:pPr>
      <w:r w:rsidRPr="00AF1031">
        <w:t xml:space="preserve">Table </w:t>
      </w:r>
      <w:r>
        <w:rPr>
          <w:noProof/>
        </w:rPr>
        <w:t>7</w:t>
      </w:r>
      <w:r>
        <w:noBreakHyphen/>
      </w:r>
      <w:r>
        <w:rPr>
          <w:noProof/>
        </w:rPr>
        <w:t>5</w:t>
      </w:r>
      <w:r w:rsidR="00C61D83">
        <w:fldChar w:fldCharType="end"/>
      </w:r>
      <w:r w:rsidR="002070AB">
        <w:t xml:space="preserve"> presents annual enrollment and nominations forecasts for </w:t>
      </w:r>
      <w:r w:rsidR="00FD558F">
        <w:t>PG&amp;E’s</w:t>
      </w:r>
      <w:r w:rsidR="002070AB">
        <w:t xml:space="preserve"> CBP program through 2022.  The Brattle Group has projected the number of nominated customers for CBP through 2022.  </w:t>
      </w:r>
      <w:r w:rsidR="00765A21">
        <w:t>We assume the growth comes from CBP products and customer segments proportional to those observed in 2011.  We also assume that the proportion of customers nominated for a given event will match the average proportion observed during events in 2010 and 2011.</w:t>
      </w:r>
      <w:bookmarkStart w:id="381" w:name="_Ref324257142"/>
    </w:p>
    <w:p w:rsidR="00F66D5E" w:rsidRDefault="00F66D5E">
      <w:pPr>
        <w:rPr>
          <w:rFonts w:ascii="Verdana" w:hAnsi="Verdana"/>
          <w:sz w:val="18"/>
        </w:rPr>
      </w:pPr>
      <w:r>
        <w:br w:type="page"/>
      </w:r>
    </w:p>
    <w:p w:rsidR="0011027B" w:rsidRPr="00F66D5E" w:rsidRDefault="0011027B" w:rsidP="00F66D5E">
      <w:pPr>
        <w:pStyle w:val="BodyParagraph"/>
      </w:pPr>
    </w:p>
    <w:p w:rsidR="002070AB" w:rsidRDefault="002070AB" w:rsidP="002070AB">
      <w:pPr>
        <w:pStyle w:val="TableFigureCaption"/>
      </w:pPr>
      <w:r w:rsidRPr="00AF1031">
        <w:t xml:space="preserve">Table </w:t>
      </w:r>
      <w:fldSimple w:instr=" STYLEREF 1 \s ">
        <w:r w:rsidR="00F66D5E">
          <w:rPr>
            <w:noProof/>
          </w:rPr>
          <w:t>7</w:t>
        </w:r>
      </w:fldSimple>
      <w:r w:rsidR="00F55000">
        <w:noBreakHyphen/>
      </w:r>
      <w:fldSimple w:instr=" SEQ Table \* ARABIC \s 1 ">
        <w:r w:rsidR="00F66D5E">
          <w:rPr>
            <w:noProof/>
          </w:rPr>
          <w:t>5</w:t>
        </w:r>
      </w:fldSimple>
      <w:bookmarkEnd w:id="381"/>
      <w:r w:rsidRPr="00AF1031">
        <w:t>:</w:t>
      </w:r>
    </w:p>
    <w:p w:rsidR="002070AB" w:rsidRDefault="002070AB" w:rsidP="002070AB">
      <w:pPr>
        <w:pStyle w:val="TableFigureCaption"/>
      </w:pPr>
      <w:r w:rsidRPr="00AF1031">
        <w:t xml:space="preserve">PG&amp;E’s </w:t>
      </w:r>
      <w:r>
        <w:t xml:space="preserve">Enrollment and </w:t>
      </w:r>
      <w:r w:rsidRPr="00AF1031">
        <w:t>Nomination</w:t>
      </w:r>
      <w:r>
        <w:t>s</w:t>
      </w:r>
      <w:r w:rsidRPr="00AF1031">
        <w:t xml:space="preserve"> Projections for </w:t>
      </w:r>
      <w:r>
        <w:t>CBP</w:t>
      </w:r>
      <w:r w:rsidRPr="00AF1031">
        <w:t xml:space="preserve"> </w:t>
      </w:r>
      <w:r>
        <w:t>by Forecast Year</w:t>
      </w:r>
    </w:p>
    <w:tbl>
      <w:tblPr>
        <w:tblW w:w="6000" w:type="dxa"/>
        <w:jc w:val="center"/>
        <w:tblInd w:w="95" w:type="dxa"/>
        <w:tblLook w:val="04A0"/>
      </w:tblPr>
      <w:tblGrid>
        <w:gridCol w:w="1260"/>
        <w:gridCol w:w="1155"/>
        <w:gridCol w:w="1250"/>
        <w:gridCol w:w="1217"/>
        <w:gridCol w:w="1250"/>
      </w:tblGrid>
      <w:tr w:rsidR="00765A21" w:rsidRPr="00765A21" w:rsidTr="00765A21">
        <w:trPr>
          <w:trHeight w:val="300"/>
          <w:jc w:val="center"/>
        </w:trPr>
        <w:tc>
          <w:tcPr>
            <w:tcW w:w="1260" w:type="dxa"/>
            <w:vMerge w:val="restart"/>
            <w:tcBorders>
              <w:top w:val="nil"/>
              <w:left w:val="nil"/>
              <w:bottom w:val="nil"/>
              <w:right w:val="single" w:sz="8" w:space="0" w:color="FFFFFF"/>
            </w:tcBorders>
            <w:shd w:val="clear" w:color="000000" w:fill="1F497D"/>
            <w:vAlign w:val="bottom"/>
            <w:hideMark/>
          </w:tcPr>
          <w:p w:rsidR="00765A21" w:rsidRPr="00765A21" w:rsidRDefault="00765A21" w:rsidP="00863F0C">
            <w:pPr>
              <w:pStyle w:val="TableHeader"/>
              <w:rPr>
                <w:rFonts w:eastAsia="Times New Roman"/>
              </w:rPr>
            </w:pPr>
            <w:r w:rsidRPr="00765A21">
              <w:rPr>
                <w:rFonts w:eastAsia="Times New Roman"/>
              </w:rPr>
              <w:t>Forecast Year</w:t>
            </w:r>
          </w:p>
        </w:tc>
        <w:tc>
          <w:tcPr>
            <w:tcW w:w="4740" w:type="dxa"/>
            <w:gridSpan w:val="4"/>
            <w:tcBorders>
              <w:top w:val="nil"/>
              <w:left w:val="nil"/>
              <w:bottom w:val="single" w:sz="8" w:space="0" w:color="FFFFFF"/>
              <w:right w:val="single" w:sz="8" w:space="0" w:color="FFFFFF"/>
            </w:tcBorders>
            <w:shd w:val="clear" w:color="000000" w:fill="1F497D"/>
            <w:vAlign w:val="bottom"/>
            <w:hideMark/>
          </w:tcPr>
          <w:p w:rsidR="00765A21" w:rsidRPr="00765A21" w:rsidRDefault="00765A21" w:rsidP="00863F0C">
            <w:pPr>
              <w:pStyle w:val="TableHeader"/>
              <w:rPr>
                <w:rFonts w:eastAsia="Times New Roman"/>
              </w:rPr>
            </w:pPr>
            <w:r w:rsidRPr="00765A21">
              <w:rPr>
                <w:rFonts w:eastAsia="Times New Roman"/>
              </w:rPr>
              <w:t>CBP</w:t>
            </w:r>
          </w:p>
        </w:tc>
      </w:tr>
      <w:tr w:rsidR="00765A21" w:rsidRPr="00765A21" w:rsidTr="00765A21">
        <w:trPr>
          <w:trHeight w:val="300"/>
          <w:jc w:val="center"/>
        </w:trPr>
        <w:tc>
          <w:tcPr>
            <w:tcW w:w="1260" w:type="dxa"/>
            <w:vMerge/>
            <w:tcBorders>
              <w:top w:val="nil"/>
              <w:left w:val="nil"/>
              <w:bottom w:val="nil"/>
              <w:right w:val="single" w:sz="8" w:space="0" w:color="FFFFFF"/>
            </w:tcBorders>
            <w:vAlign w:val="center"/>
            <w:hideMark/>
          </w:tcPr>
          <w:p w:rsidR="00765A21" w:rsidRPr="00765A21" w:rsidRDefault="00765A21" w:rsidP="00863F0C">
            <w:pPr>
              <w:pStyle w:val="TableHeader"/>
              <w:rPr>
                <w:rFonts w:eastAsia="Times New Roman"/>
              </w:rPr>
            </w:pPr>
          </w:p>
        </w:tc>
        <w:tc>
          <w:tcPr>
            <w:tcW w:w="2339" w:type="dxa"/>
            <w:gridSpan w:val="2"/>
            <w:tcBorders>
              <w:top w:val="single" w:sz="8" w:space="0" w:color="FFFFFF"/>
              <w:left w:val="nil"/>
              <w:bottom w:val="single" w:sz="8" w:space="0" w:color="FFFFFF"/>
              <w:right w:val="single" w:sz="8" w:space="0" w:color="FFFFFF"/>
            </w:tcBorders>
            <w:shd w:val="clear" w:color="000000" w:fill="1F497D"/>
            <w:noWrap/>
            <w:vAlign w:val="bottom"/>
            <w:hideMark/>
          </w:tcPr>
          <w:p w:rsidR="00765A21" w:rsidRPr="00765A21" w:rsidRDefault="00765A21" w:rsidP="00863F0C">
            <w:pPr>
              <w:pStyle w:val="TableHeader"/>
              <w:rPr>
                <w:rFonts w:eastAsia="Times New Roman"/>
              </w:rPr>
            </w:pPr>
            <w:r w:rsidRPr="00765A21">
              <w:rPr>
                <w:rFonts w:eastAsia="Times New Roman"/>
              </w:rPr>
              <w:t>DA</w:t>
            </w:r>
          </w:p>
        </w:tc>
        <w:tc>
          <w:tcPr>
            <w:tcW w:w="2401" w:type="dxa"/>
            <w:gridSpan w:val="2"/>
            <w:tcBorders>
              <w:top w:val="single" w:sz="8" w:space="0" w:color="FFFFFF"/>
              <w:left w:val="nil"/>
              <w:bottom w:val="single" w:sz="8" w:space="0" w:color="FFFFFF"/>
              <w:right w:val="single" w:sz="8" w:space="0" w:color="FFFFFF"/>
            </w:tcBorders>
            <w:shd w:val="clear" w:color="000000" w:fill="1F497D"/>
            <w:noWrap/>
            <w:vAlign w:val="bottom"/>
            <w:hideMark/>
          </w:tcPr>
          <w:p w:rsidR="00765A21" w:rsidRPr="00765A21" w:rsidRDefault="00765A21" w:rsidP="00863F0C">
            <w:pPr>
              <w:pStyle w:val="TableHeader"/>
              <w:rPr>
                <w:rFonts w:eastAsia="Times New Roman"/>
              </w:rPr>
            </w:pPr>
            <w:r w:rsidRPr="00765A21">
              <w:rPr>
                <w:rFonts w:eastAsia="Times New Roman"/>
              </w:rPr>
              <w:t>DO</w:t>
            </w:r>
          </w:p>
        </w:tc>
      </w:tr>
      <w:tr w:rsidR="00765A21" w:rsidRPr="00765A21" w:rsidTr="00765A21">
        <w:trPr>
          <w:trHeight w:val="288"/>
          <w:jc w:val="center"/>
        </w:trPr>
        <w:tc>
          <w:tcPr>
            <w:tcW w:w="1260" w:type="dxa"/>
            <w:vMerge/>
            <w:tcBorders>
              <w:top w:val="nil"/>
              <w:left w:val="nil"/>
              <w:bottom w:val="nil"/>
              <w:right w:val="single" w:sz="8" w:space="0" w:color="FFFFFF"/>
            </w:tcBorders>
            <w:vAlign w:val="center"/>
            <w:hideMark/>
          </w:tcPr>
          <w:p w:rsidR="00765A21" w:rsidRPr="00765A21" w:rsidRDefault="00765A21" w:rsidP="00863F0C">
            <w:pPr>
              <w:pStyle w:val="TableHeader"/>
              <w:rPr>
                <w:rFonts w:eastAsia="Times New Roman"/>
              </w:rPr>
            </w:pPr>
          </w:p>
        </w:tc>
        <w:tc>
          <w:tcPr>
            <w:tcW w:w="1155" w:type="dxa"/>
            <w:tcBorders>
              <w:top w:val="nil"/>
              <w:left w:val="nil"/>
              <w:bottom w:val="nil"/>
              <w:right w:val="single" w:sz="8" w:space="0" w:color="FFFFFF"/>
            </w:tcBorders>
            <w:shd w:val="clear" w:color="000000" w:fill="1F497D"/>
            <w:noWrap/>
            <w:vAlign w:val="bottom"/>
            <w:hideMark/>
          </w:tcPr>
          <w:p w:rsidR="00765A21" w:rsidRPr="00765A21" w:rsidRDefault="00765A21" w:rsidP="00863F0C">
            <w:pPr>
              <w:pStyle w:val="TableHeader"/>
              <w:rPr>
                <w:rFonts w:eastAsia="Times New Roman"/>
              </w:rPr>
            </w:pPr>
            <w:r w:rsidRPr="00765A21">
              <w:rPr>
                <w:rFonts w:eastAsia="Times New Roman"/>
              </w:rPr>
              <w:t>Enrolled</w:t>
            </w:r>
          </w:p>
        </w:tc>
        <w:tc>
          <w:tcPr>
            <w:tcW w:w="1184" w:type="dxa"/>
            <w:tcBorders>
              <w:top w:val="nil"/>
              <w:left w:val="nil"/>
              <w:bottom w:val="nil"/>
              <w:right w:val="single" w:sz="8" w:space="0" w:color="FFFFFF"/>
            </w:tcBorders>
            <w:shd w:val="clear" w:color="000000" w:fill="1F497D"/>
            <w:noWrap/>
            <w:vAlign w:val="bottom"/>
            <w:hideMark/>
          </w:tcPr>
          <w:p w:rsidR="00765A21" w:rsidRPr="00765A21" w:rsidRDefault="00765A21" w:rsidP="00863F0C">
            <w:pPr>
              <w:pStyle w:val="TableHeader"/>
              <w:rPr>
                <w:rFonts w:eastAsia="Times New Roman"/>
              </w:rPr>
            </w:pPr>
            <w:r w:rsidRPr="00765A21">
              <w:rPr>
                <w:rFonts w:eastAsia="Times New Roman"/>
              </w:rPr>
              <w:t>Nominated</w:t>
            </w:r>
          </w:p>
        </w:tc>
        <w:tc>
          <w:tcPr>
            <w:tcW w:w="1217" w:type="dxa"/>
            <w:tcBorders>
              <w:top w:val="nil"/>
              <w:left w:val="nil"/>
              <w:bottom w:val="nil"/>
              <w:right w:val="single" w:sz="8" w:space="0" w:color="FFFFFF"/>
            </w:tcBorders>
            <w:shd w:val="clear" w:color="000000" w:fill="1F497D"/>
            <w:noWrap/>
            <w:vAlign w:val="bottom"/>
            <w:hideMark/>
          </w:tcPr>
          <w:p w:rsidR="00765A21" w:rsidRPr="00765A21" w:rsidRDefault="00765A21" w:rsidP="00863F0C">
            <w:pPr>
              <w:pStyle w:val="TableHeader"/>
              <w:rPr>
                <w:rFonts w:eastAsia="Times New Roman"/>
              </w:rPr>
            </w:pPr>
            <w:r w:rsidRPr="00765A21">
              <w:rPr>
                <w:rFonts w:eastAsia="Times New Roman"/>
              </w:rPr>
              <w:t>Enrolled</w:t>
            </w:r>
          </w:p>
        </w:tc>
        <w:tc>
          <w:tcPr>
            <w:tcW w:w="1184" w:type="dxa"/>
            <w:tcBorders>
              <w:top w:val="nil"/>
              <w:left w:val="nil"/>
              <w:bottom w:val="nil"/>
              <w:right w:val="nil"/>
            </w:tcBorders>
            <w:shd w:val="clear" w:color="000000" w:fill="1F497D"/>
            <w:noWrap/>
            <w:vAlign w:val="bottom"/>
            <w:hideMark/>
          </w:tcPr>
          <w:p w:rsidR="00765A21" w:rsidRPr="00765A21" w:rsidRDefault="00765A21" w:rsidP="00863F0C">
            <w:pPr>
              <w:pStyle w:val="TableHeader"/>
              <w:rPr>
                <w:rFonts w:eastAsia="Times New Roman"/>
              </w:rPr>
            </w:pPr>
            <w:r w:rsidRPr="00765A21">
              <w:rPr>
                <w:rFonts w:eastAsia="Times New Roman"/>
              </w:rPr>
              <w:t>Nominated</w:t>
            </w:r>
          </w:p>
        </w:tc>
      </w:tr>
      <w:tr w:rsidR="00765A21" w:rsidRPr="00765A21" w:rsidTr="00765A21">
        <w:trPr>
          <w:trHeight w:val="288"/>
          <w:jc w:val="center"/>
        </w:trPr>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2012</w:t>
            </w:r>
          </w:p>
        </w:tc>
        <w:tc>
          <w:tcPr>
            <w:tcW w:w="1155" w:type="dxa"/>
            <w:tcBorders>
              <w:top w:val="single" w:sz="4" w:space="0" w:color="auto"/>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213</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185</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255</w:t>
            </w:r>
          </w:p>
        </w:tc>
        <w:tc>
          <w:tcPr>
            <w:tcW w:w="1184" w:type="dxa"/>
            <w:tcBorders>
              <w:top w:val="single" w:sz="4" w:space="0" w:color="auto"/>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224</w:t>
            </w:r>
          </w:p>
        </w:tc>
      </w:tr>
      <w:tr w:rsidR="00765A21" w:rsidRPr="00765A21" w:rsidTr="00765A21">
        <w:trPr>
          <w:trHeight w:val="288"/>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2013</w:t>
            </w:r>
          </w:p>
        </w:tc>
        <w:tc>
          <w:tcPr>
            <w:tcW w:w="1155"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259</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225</w:t>
            </w:r>
          </w:p>
        </w:tc>
        <w:tc>
          <w:tcPr>
            <w:tcW w:w="1217"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312</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274</w:t>
            </w:r>
          </w:p>
        </w:tc>
      </w:tr>
      <w:tr w:rsidR="00765A21" w:rsidRPr="00765A21" w:rsidTr="00765A21">
        <w:trPr>
          <w:trHeight w:val="288"/>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2014</w:t>
            </w:r>
          </w:p>
        </w:tc>
        <w:tc>
          <w:tcPr>
            <w:tcW w:w="1155"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258</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224</w:t>
            </w:r>
          </w:p>
        </w:tc>
        <w:tc>
          <w:tcPr>
            <w:tcW w:w="1217"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309</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272</w:t>
            </w:r>
          </w:p>
        </w:tc>
      </w:tr>
      <w:tr w:rsidR="00765A21" w:rsidRPr="00765A21" w:rsidTr="00765A21">
        <w:trPr>
          <w:trHeight w:val="288"/>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2015</w:t>
            </w:r>
          </w:p>
        </w:tc>
        <w:tc>
          <w:tcPr>
            <w:tcW w:w="1155"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259</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225</w:t>
            </w:r>
          </w:p>
        </w:tc>
        <w:tc>
          <w:tcPr>
            <w:tcW w:w="1217"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310</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273</w:t>
            </w:r>
          </w:p>
        </w:tc>
      </w:tr>
      <w:tr w:rsidR="00765A21" w:rsidRPr="00765A21" w:rsidTr="00765A21">
        <w:trPr>
          <w:trHeight w:val="288"/>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2016</w:t>
            </w:r>
          </w:p>
        </w:tc>
        <w:tc>
          <w:tcPr>
            <w:tcW w:w="1155"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261</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227</w:t>
            </w:r>
          </w:p>
        </w:tc>
        <w:tc>
          <w:tcPr>
            <w:tcW w:w="1217"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312</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274</w:t>
            </w:r>
          </w:p>
        </w:tc>
      </w:tr>
      <w:tr w:rsidR="00765A21" w:rsidRPr="00765A21" w:rsidTr="00765A21">
        <w:trPr>
          <w:trHeight w:val="288"/>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2017</w:t>
            </w:r>
          </w:p>
        </w:tc>
        <w:tc>
          <w:tcPr>
            <w:tcW w:w="1155"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264</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230</w:t>
            </w:r>
          </w:p>
        </w:tc>
        <w:tc>
          <w:tcPr>
            <w:tcW w:w="1217"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315</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277</w:t>
            </w:r>
          </w:p>
        </w:tc>
      </w:tr>
      <w:tr w:rsidR="00765A21" w:rsidRPr="00765A21" w:rsidTr="00765A21">
        <w:trPr>
          <w:trHeight w:val="288"/>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2018</w:t>
            </w:r>
          </w:p>
        </w:tc>
        <w:tc>
          <w:tcPr>
            <w:tcW w:w="1155"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268</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233</w:t>
            </w:r>
          </w:p>
        </w:tc>
        <w:tc>
          <w:tcPr>
            <w:tcW w:w="1217"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319</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281</w:t>
            </w:r>
          </w:p>
        </w:tc>
      </w:tr>
      <w:tr w:rsidR="00765A21" w:rsidRPr="00765A21" w:rsidTr="00765A21">
        <w:trPr>
          <w:trHeight w:val="288"/>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2019</w:t>
            </w:r>
          </w:p>
        </w:tc>
        <w:tc>
          <w:tcPr>
            <w:tcW w:w="1155"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274</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238</w:t>
            </w:r>
          </w:p>
        </w:tc>
        <w:tc>
          <w:tcPr>
            <w:tcW w:w="1217"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325</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286</w:t>
            </w:r>
          </w:p>
        </w:tc>
      </w:tr>
      <w:tr w:rsidR="00765A21" w:rsidRPr="00765A21" w:rsidTr="00765A21">
        <w:trPr>
          <w:trHeight w:val="288"/>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2020</w:t>
            </w:r>
          </w:p>
        </w:tc>
        <w:tc>
          <w:tcPr>
            <w:tcW w:w="1155"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278</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242</w:t>
            </w:r>
          </w:p>
        </w:tc>
        <w:tc>
          <w:tcPr>
            <w:tcW w:w="1217"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331</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291</w:t>
            </w:r>
          </w:p>
        </w:tc>
      </w:tr>
      <w:tr w:rsidR="00765A21" w:rsidRPr="00765A21" w:rsidTr="00765A21">
        <w:trPr>
          <w:trHeight w:val="288"/>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2021</w:t>
            </w:r>
          </w:p>
        </w:tc>
        <w:tc>
          <w:tcPr>
            <w:tcW w:w="1155"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284</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247</w:t>
            </w:r>
          </w:p>
        </w:tc>
        <w:tc>
          <w:tcPr>
            <w:tcW w:w="1217"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338</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297</w:t>
            </w:r>
          </w:p>
        </w:tc>
      </w:tr>
      <w:tr w:rsidR="00765A21" w:rsidRPr="00765A21" w:rsidTr="00765A21">
        <w:trPr>
          <w:trHeight w:val="288"/>
          <w:jc w:val="center"/>
        </w:trPr>
        <w:tc>
          <w:tcPr>
            <w:tcW w:w="1260" w:type="dxa"/>
            <w:tcBorders>
              <w:top w:val="nil"/>
              <w:left w:val="single" w:sz="4" w:space="0" w:color="auto"/>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2022</w:t>
            </w:r>
          </w:p>
        </w:tc>
        <w:tc>
          <w:tcPr>
            <w:tcW w:w="1155"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291</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253</w:t>
            </w:r>
          </w:p>
        </w:tc>
        <w:tc>
          <w:tcPr>
            <w:tcW w:w="1217"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345</w:t>
            </w:r>
          </w:p>
        </w:tc>
        <w:tc>
          <w:tcPr>
            <w:tcW w:w="1184" w:type="dxa"/>
            <w:tcBorders>
              <w:top w:val="nil"/>
              <w:left w:val="nil"/>
              <w:bottom w:val="single" w:sz="4" w:space="0" w:color="auto"/>
              <w:right w:val="single" w:sz="4" w:space="0" w:color="auto"/>
            </w:tcBorders>
            <w:shd w:val="clear" w:color="auto" w:fill="auto"/>
            <w:noWrap/>
            <w:vAlign w:val="center"/>
            <w:hideMark/>
          </w:tcPr>
          <w:p w:rsidR="00765A21" w:rsidRPr="00765A21" w:rsidRDefault="00765A21" w:rsidP="00863F0C">
            <w:pPr>
              <w:pStyle w:val="TableText"/>
              <w:rPr>
                <w:rFonts w:eastAsia="Times New Roman"/>
              </w:rPr>
            </w:pPr>
            <w:r w:rsidRPr="00765A21">
              <w:rPr>
                <w:rFonts w:eastAsia="Times New Roman"/>
              </w:rPr>
              <w:t>303</w:t>
            </w:r>
          </w:p>
        </w:tc>
      </w:tr>
    </w:tbl>
    <w:p w:rsidR="002070AB" w:rsidRDefault="00C61D83" w:rsidP="002070AB">
      <w:pPr>
        <w:pStyle w:val="BodyParaAfterTableFigure"/>
      </w:pPr>
      <w:fldSimple w:instr=" REF _Ref324495018  \* MERGEFORMAT ">
        <w:r w:rsidR="00F66D5E" w:rsidRPr="00AF1031">
          <w:t xml:space="preserve">Figure </w:t>
        </w:r>
        <w:r w:rsidR="00F66D5E">
          <w:t>7</w:t>
        </w:r>
        <w:r w:rsidR="00F66D5E" w:rsidRPr="00AF1031">
          <w:noBreakHyphen/>
        </w:r>
        <w:r w:rsidR="00F66D5E">
          <w:t>2</w:t>
        </w:r>
      </w:fldSimple>
      <w:r w:rsidR="002070AB">
        <w:t xml:space="preserve"> below illustrates predicted load impacts in 2012 for a typical August event day during a 1-in-2 weather year.  For both day-ahead and day-of notification, CBP customers reduce loads precisely inside the event window.  There is not significant load shifting either </w:t>
      </w:r>
      <w:proofErr w:type="gramStart"/>
      <w:r w:rsidR="002070AB">
        <w:t>preceding</w:t>
      </w:r>
      <w:proofErr w:type="gramEnd"/>
      <w:r w:rsidR="002070AB">
        <w:t xml:space="preserve"> or following the event window.</w:t>
      </w:r>
    </w:p>
    <w:p w:rsidR="002070AB" w:rsidRDefault="002070AB" w:rsidP="002070AB">
      <w:pPr>
        <w:pStyle w:val="TableFigureCaption"/>
      </w:pPr>
      <w:bookmarkStart w:id="382" w:name="_Ref324495018"/>
      <w:r w:rsidRPr="00AF1031">
        <w:t xml:space="preserve">Figure </w:t>
      </w:r>
      <w:fldSimple w:instr=" STYLEREF 1 \s ">
        <w:r w:rsidR="00F66D5E">
          <w:rPr>
            <w:noProof/>
          </w:rPr>
          <w:t>7</w:t>
        </w:r>
      </w:fldSimple>
      <w:r w:rsidRPr="00AF1031">
        <w:noBreakHyphen/>
      </w:r>
      <w:fldSimple w:instr=" SEQ Figure \* ARABIC \s 1 ">
        <w:r w:rsidR="00F66D5E">
          <w:rPr>
            <w:noProof/>
          </w:rPr>
          <w:t>2</w:t>
        </w:r>
      </w:fldSimple>
      <w:bookmarkEnd w:id="382"/>
      <w:r w:rsidRPr="00AF1031">
        <w:t>:</w:t>
      </w:r>
    </w:p>
    <w:p w:rsidR="002070AB" w:rsidRDefault="002070AB" w:rsidP="002070AB">
      <w:pPr>
        <w:pStyle w:val="TableFigureCaption"/>
      </w:pPr>
      <w:r>
        <w:t>PG&amp;E CBP Hourly Event Day Impacts for Typical Event Day</w:t>
      </w:r>
    </w:p>
    <w:p w:rsidR="002070AB" w:rsidRDefault="002070AB" w:rsidP="002070AB">
      <w:pPr>
        <w:pStyle w:val="TableFigureCaption"/>
      </w:pPr>
      <w:r>
        <w:t>1-in-2 Weather Year for August 2012</w:t>
      </w:r>
    </w:p>
    <w:p w:rsidR="002070AB" w:rsidRPr="00AF1031" w:rsidRDefault="002070AB" w:rsidP="002070AB">
      <w:pPr>
        <w:pStyle w:val="TableFigureCaption"/>
      </w:pPr>
      <w:r>
        <w:t>CBP-DA</w:t>
      </w:r>
      <w:r>
        <w:tab/>
      </w:r>
      <w:r>
        <w:tab/>
      </w:r>
      <w:r>
        <w:tab/>
      </w:r>
      <w:r>
        <w:tab/>
      </w:r>
      <w:r>
        <w:tab/>
        <w:t>CBP-DO</w:t>
      </w:r>
    </w:p>
    <w:p w:rsidR="002070AB" w:rsidRDefault="00765A21" w:rsidP="002070AB">
      <w:pPr>
        <w:pStyle w:val="BodyParaAfterTableFigure"/>
      </w:pPr>
      <w:r>
        <w:rPr>
          <w:noProof/>
        </w:rPr>
        <w:drawing>
          <wp:inline distT="0" distB="0" distL="0" distR="0">
            <wp:extent cx="2926080" cy="1971203"/>
            <wp:effectExtent l="19050" t="0" r="762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2926080" cy="1971203"/>
                    </a:xfrm>
                    <a:prstGeom prst="rect">
                      <a:avLst/>
                    </a:prstGeom>
                    <a:noFill/>
                  </pic:spPr>
                </pic:pic>
              </a:graphicData>
            </a:graphic>
          </wp:inline>
        </w:drawing>
      </w:r>
      <w:r>
        <w:rPr>
          <w:noProof/>
        </w:rPr>
        <w:drawing>
          <wp:inline distT="0" distB="0" distL="0" distR="0">
            <wp:extent cx="2926080" cy="1971203"/>
            <wp:effectExtent l="19050" t="0" r="762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926080" cy="1971203"/>
                    </a:xfrm>
                    <a:prstGeom prst="rect">
                      <a:avLst/>
                    </a:prstGeom>
                    <a:noFill/>
                  </pic:spPr>
                </pic:pic>
              </a:graphicData>
            </a:graphic>
          </wp:inline>
        </w:drawing>
      </w:r>
      <w:r w:rsidR="002070AB">
        <w:br/>
      </w:r>
    </w:p>
    <w:p w:rsidR="002070AB" w:rsidRPr="00D916AC" w:rsidRDefault="00C61D83" w:rsidP="002070AB">
      <w:pPr>
        <w:pStyle w:val="BodyParaAfterTableFigure"/>
      </w:pPr>
      <w:fldSimple w:instr=" REF _Ref324257161  \* MERGEFORMAT ">
        <w:r w:rsidR="00F66D5E" w:rsidRPr="0038124C">
          <w:t xml:space="preserve">Table </w:t>
        </w:r>
        <w:r w:rsidR="00F66D5E">
          <w:t>7</w:t>
        </w:r>
        <w:r w:rsidR="00F66D5E">
          <w:noBreakHyphen/>
          <w:t>6</w:t>
        </w:r>
      </w:fldSimple>
      <w:r w:rsidR="002070AB">
        <w:t xml:space="preserve"> presents the ex ante aggregate peak day load impacts for CBP customers for years 2012 to 2022.  The tables show the load reduction capability starting at 1 PM and ending at 6 PM.  Results are presented for typical event days under 1-in-2 and 1-in-10 system peaking conditions.  CBP customers can provide a </w:t>
      </w:r>
      <w:r w:rsidR="00524485">
        <w:t>17</w:t>
      </w:r>
      <w:r w:rsidR="002070AB">
        <w:t xml:space="preserve"> - 2</w:t>
      </w:r>
      <w:r w:rsidR="00524485">
        <w:t>4</w:t>
      </w:r>
      <w:r w:rsidR="002070AB">
        <w:t>% load reduction</w:t>
      </w:r>
      <w:r w:rsidR="00E7404E">
        <w:t>, depending on the program option</w:t>
      </w:r>
      <w:r w:rsidR="002070AB">
        <w:t xml:space="preserve">.  As a result of program growth over time, </w:t>
      </w:r>
      <w:r w:rsidR="00E7404E">
        <w:t xml:space="preserve">in aggregate, </w:t>
      </w:r>
      <w:r w:rsidR="002070AB">
        <w:t xml:space="preserve">CBP resources increase from </w:t>
      </w:r>
      <w:r w:rsidR="00765A21">
        <w:t>29.6</w:t>
      </w:r>
      <w:r w:rsidR="002070AB">
        <w:t xml:space="preserve"> MW in 2012 to 4</w:t>
      </w:r>
      <w:r w:rsidR="00765A21">
        <w:t>0</w:t>
      </w:r>
      <w:r w:rsidR="002070AB">
        <w:t>.</w:t>
      </w:r>
      <w:r w:rsidR="00765A21">
        <w:t>2</w:t>
      </w:r>
      <w:r w:rsidR="002070AB">
        <w:t xml:space="preserve"> MW in 2022.  </w:t>
      </w:r>
      <w:r w:rsidR="00524485">
        <w:t>In 2012, PG&amp;E expects to have 12.1</w:t>
      </w:r>
      <w:r w:rsidR="00E7404E">
        <w:t xml:space="preserve"> MW of day-ahead resources and 1</w:t>
      </w:r>
      <w:r w:rsidR="00524485">
        <w:t>7.5</w:t>
      </w:r>
      <w:r w:rsidR="00E7404E">
        <w:t xml:space="preserve"> MW of same day resources for a 1-in-2 system peak day.  </w:t>
      </w:r>
      <w:r w:rsidR="00765A21">
        <w:t>Initially, t</w:t>
      </w:r>
      <w:r w:rsidR="002070AB">
        <w:t>he aggregate load impact</w:t>
      </w:r>
      <w:r w:rsidR="00E7404E">
        <w:t>s</w:t>
      </w:r>
      <w:r w:rsidR="002070AB">
        <w:t xml:space="preserve"> rise</w:t>
      </w:r>
      <w:r w:rsidR="00765A21">
        <w:t xml:space="preserve"> more slowly than the number of nominated accounts, </w:t>
      </w:r>
      <w:r w:rsidR="00E7404E">
        <w:t>because of the expected migration of smaller customer from the</w:t>
      </w:r>
      <w:r w:rsidR="00765A21">
        <w:t xml:space="preserve"> </w:t>
      </w:r>
      <w:proofErr w:type="spellStart"/>
      <w:r w:rsidR="00765A21">
        <w:t>PeakChoice</w:t>
      </w:r>
      <w:proofErr w:type="spellEnd"/>
      <w:r w:rsidR="00765A21">
        <w:t xml:space="preserve"> </w:t>
      </w:r>
      <w:r w:rsidR="00E7404E">
        <w:t>in 2013</w:t>
      </w:r>
      <w:r w:rsidR="00765A21">
        <w:t>.  From there, the aggregate load impacts rise</w:t>
      </w:r>
      <w:r w:rsidR="002070AB">
        <w:t xml:space="preserve"> proportionally with the number of nominated accounts, indicating per customer load reductions and the customer mix are expected to remain consistent.</w:t>
      </w:r>
    </w:p>
    <w:p w:rsidR="002070AB" w:rsidRDefault="002070AB" w:rsidP="0011027B">
      <w:pPr>
        <w:pStyle w:val="TableFigureCaption"/>
      </w:pPr>
      <w:bookmarkStart w:id="383" w:name="_Ref324257161"/>
      <w:r w:rsidRPr="0038124C">
        <w:t xml:space="preserve">Table </w:t>
      </w:r>
      <w:fldSimple w:instr=" STYLEREF 1 \s ">
        <w:r w:rsidR="00F66D5E">
          <w:rPr>
            <w:noProof/>
          </w:rPr>
          <w:t>7</w:t>
        </w:r>
      </w:fldSimple>
      <w:r w:rsidR="00F55000">
        <w:noBreakHyphen/>
      </w:r>
      <w:fldSimple w:instr=" SEQ Table \* ARABIC \s 1 ">
        <w:r w:rsidR="00F66D5E">
          <w:rPr>
            <w:noProof/>
          </w:rPr>
          <w:t>6</w:t>
        </w:r>
      </w:fldSimple>
      <w:bookmarkEnd w:id="383"/>
      <w:r w:rsidRPr="0038124C">
        <w:t>:</w:t>
      </w:r>
    </w:p>
    <w:p w:rsidR="002070AB" w:rsidRDefault="002070AB" w:rsidP="002070AB">
      <w:pPr>
        <w:pStyle w:val="TableFigureCaption"/>
      </w:pPr>
      <w:r w:rsidRPr="0038124C">
        <w:t xml:space="preserve">Aggregate Ex Ante Annual Peak Day Load </w:t>
      </w:r>
      <w:r>
        <w:t xml:space="preserve">Impacts for PG&amp;E CBP </w:t>
      </w:r>
    </w:p>
    <w:p w:rsidR="002070AB" w:rsidRPr="0038124C" w:rsidRDefault="002070AB" w:rsidP="002070AB">
      <w:pPr>
        <w:pStyle w:val="TableFigureCaption"/>
      </w:pPr>
      <w:r w:rsidRPr="0038124C">
        <w:t xml:space="preserve">(Hourly Average Reduction </w:t>
      </w:r>
      <w:r>
        <w:t>from 1</w:t>
      </w:r>
      <w:r w:rsidRPr="0038124C">
        <w:t xml:space="preserve"> to 6 PM)</w:t>
      </w:r>
    </w:p>
    <w:tbl>
      <w:tblPr>
        <w:tblW w:w="7940" w:type="dxa"/>
        <w:jc w:val="center"/>
        <w:tblInd w:w="95" w:type="dxa"/>
        <w:tblLook w:val="04A0"/>
      </w:tblPr>
      <w:tblGrid>
        <w:gridCol w:w="1006"/>
        <w:gridCol w:w="1060"/>
        <w:gridCol w:w="1250"/>
        <w:gridCol w:w="1184"/>
        <w:gridCol w:w="1172"/>
        <w:gridCol w:w="980"/>
        <w:gridCol w:w="1194"/>
        <w:gridCol w:w="1116"/>
      </w:tblGrid>
      <w:tr w:rsidR="00524485" w:rsidRPr="00524485" w:rsidTr="00524485">
        <w:trPr>
          <w:trHeight w:val="948"/>
          <w:jc w:val="center"/>
        </w:trPr>
        <w:tc>
          <w:tcPr>
            <w:tcW w:w="980" w:type="dxa"/>
            <w:tcBorders>
              <w:top w:val="single" w:sz="8" w:space="0" w:color="auto"/>
              <w:left w:val="single" w:sz="8" w:space="0" w:color="auto"/>
              <w:bottom w:val="nil"/>
              <w:right w:val="single" w:sz="8" w:space="0" w:color="FFFFFF"/>
            </w:tcBorders>
            <w:shd w:val="clear" w:color="000000" w:fill="1F497D"/>
            <w:vAlign w:val="bottom"/>
            <w:hideMark/>
          </w:tcPr>
          <w:p w:rsidR="00524485" w:rsidRPr="00524485" w:rsidRDefault="00524485" w:rsidP="00172B64">
            <w:pPr>
              <w:pStyle w:val="TableHeader"/>
              <w:rPr>
                <w:rFonts w:eastAsia="Times New Roman"/>
              </w:rPr>
            </w:pPr>
            <w:r w:rsidRPr="00524485">
              <w:rPr>
                <w:rFonts w:eastAsia="Times New Roman"/>
              </w:rPr>
              <w:t>Weather Year</w:t>
            </w:r>
          </w:p>
        </w:tc>
        <w:tc>
          <w:tcPr>
            <w:tcW w:w="1060" w:type="dxa"/>
            <w:tcBorders>
              <w:top w:val="single" w:sz="8" w:space="0" w:color="auto"/>
              <w:left w:val="nil"/>
              <w:bottom w:val="nil"/>
              <w:right w:val="single" w:sz="8" w:space="0" w:color="FFFFFF"/>
            </w:tcBorders>
            <w:shd w:val="clear" w:color="000000" w:fill="1F497D"/>
            <w:vAlign w:val="bottom"/>
            <w:hideMark/>
          </w:tcPr>
          <w:p w:rsidR="00524485" w:rsidRPr="00524485" w:rsidRDefault="00524485" w:rsidP="00172B64">
            <w:pPr>
              <w:pStyle w:val="TableHeader"/>
              <w:rPr>
                <w:rFonts w:eastAsia="Times New Roman"/>
              </w:rPr>
            </w:pPr>
            <w:r w:rsidRPr="00524485">
              <w:rPr>
                <w:rFonts w:eastAsia="Times New Roman"/>
              </w:rPr>
              <w:t>Year</w:t>
            </w:r>
          </w:p>
        </w:tc>
        <w:tc>
          <w:tcPr>
            <w:tcW w:w="960" w:type="dxa"/>
            <w:tcBorders>
              <w:top w:val="single" w:sz="8" w:space="0" w:color="auto"/>
              <w:left w:val="nil"/>
              <w:bottom w:val="nil"/>
              <w:right w:val="single" w:sz="8" w:space="0" w:color="FFFFFF"/>
            </w:tcBorders>
            <w:shd w:val="clear" w:color="000000" w:fill="1F497D"/>
            <w:vAlign w:val="bottom"/>
            <w:hideMark/>
          </w:tcPr>
          <w:p w:rsidR="00524485" w:rsidRPr="00524485" w:rsidRDefault="00524485" w:rsidP="00172B64">
            <w:pPr>
              <w:pStyle w:val="TableHeader"/>
              <w:rPr>
                <w:rFonts w:eastAsia="Times New Roman"/>
              </w:rPr>
            </w:pPr>
            <w:r w:rsidRPr="00524485">
              <w:rPr>
                <w:rFonts w:eastAsia="Times New Roman"/>
              </w:rPr>
              <w:t>Nominated Accts (Forecast)</w:t>
            </w:r>
          </w:p>
        </w:tc>
        <w:tc>
          <w:tcPr>
            <w:tcW w:w="1000" w:type="dxa"/>
            <w:tcBorders>
              <w:top w:val="single" w:sz="8" w:space="0" w:color="auto"/>
              <w:left w:val="nil"/>
              <w:bottom w:val="nil"/>
              <w:right w:val="single" w:sz="8" w:space="0" w:color="FFFFFF"/>
            </w:tcBorders>
            <w:shd w:val="clear" w:color="000000" w:fill="1F497D"/>
            <w:vAlign w:val="bottom"/>
            <w:hideMark/>
          </w:tcPr>
          <w:p w:rsidR="00524485" w:rsidRPr="00524485" w:rsidRDefault="00524485" w:rsidP="00172B64">
            <w:pPr>
              <w:pStyle w:val="TableHeader"/>
              <w:rPr>
                <w:rFonts w:eastAsia="Times New Roman"/>
              </w:rPr>
            </w:pPr>
            <w:proofErr w:type="spellStart"/>
            <w:r w:rsidRPr="00524485">
              <w:rPr>
                <w:rFonts w:eastAsia="Times New Roman"/>
              </w:rPr>
              <w:t>Agg</w:t>
            </w:r>
            <w:proofErr w:type="spellEnd"/>
            <w:r w:rsidRPr="00524485">
              <w:rPr>
                <w:rFonts w:eastAsia="Times New Roman"/>
              </w:rPr>
              <w:t>. Reference Load (MW)</w:t>
            </w:r>
          </w:p>
        </w:tc>
        <w:tc>
          <w:tcPr>
            <w:tcW w:w="1000" w:type="dxa"/>
            <w:tcBorders>
              <w:top w:val="single" w:sz="8" w:space="0" w:color="auto"/>
              <w:left w:val="nil"/>
              <w:bottom w:val="nil"/>
              <w:right w:val="single" w:sz="8" w:space="0" w:color="FFFFFF"/>
            </w:tcBorders>
            <w:shd w:val="clear" w:color="000000" w:fill="1F497D"/>
            <w:vAlign w:val="bottom"/>
            <w:hideMark/>
          </w:tcPr>
          <w:p w:rsidR="00524485" w:rsidRPr="00524485" w:rsidRDefault="00524485" w:rsidP="00172B64">
            <w:pPr>
              <w:pStyle w:val="TableHeader"/>
              <w:rPr>
                <w:rFonts w:eastAsia="Times New Roman"/>
              </w:rPr>
            </w:pPr>
            <w:proofErr w:type="spellStart"/>
            <w:r w:rsidRPr="00524485">
              <w:rPr>
                <w:rFonts w:eastAsia="Times New Roman"/>
              </w:rPr>
              <w:t>Agg</w:t>
            </w:r>
            <w:proofErr w:type="spellEnd"/>
            <w:r w:rsidRPr="00524485">
              <w:rPr>
                <w:rFonts w:eastAsia="Times New Roman"/>
              </w:rPr>
              <w:t>. Estimated Load w DR (MW)</w:t>
            </w:r>
          </w:p>
        </w:tc>
        <w:tc>
          <w:tcPr>
            <w:tcW w:w="980" w:type="dxa"/>
            <w:tcBorders>
              <w:top w:val="single" w:sz="8" w:space="0" w:color="auto"/>
              <w:left w:val="nil"/>
              <w:bottom w:val="nil"/>
              <w:right w:val="single" w:sz="8" w:space="0" w:color="FFFFFF"/>
            </w:tcBorders>
            <w:shd w:val="clear" w:color="000000" w:fill="1F497D"/>
            <w:vAlign w:val="bottom"/>
            <w:hideMark/>
          </w:tcPr>
          <w:p w:rsidR="00524485" w:rsidRPr="00524485" w:rsidRDefault="00524485" w:rsidP="00172B64">
            <w:pPr>
              <w:pStyle w:val="TableHeader"/>
              <w:rPr>
                <w:rFonts w:eastAsia="Times New Roman"/>
              </w:rPr>
            </w:pPr>
            <w:proofErr w:type="spellStart"/>
            <w:r w:rsidRPr="00524485">
              <w:rPr>
                <w:rFonts w:eastAsia="Times New Roman"/>
              </w:rPr>
              <w:t>Agg</w:t>
            </w:r>
            <w:proofErr w:type="spellEnd"/>
            <w:r w:rsidRPr="00524485">
              <w:rPr>
                <w:rFonts w:eastAsia="Times New Roman"/>
              </w:rPr>
              <w:t>. Load Impact (MW)</w:t>
            </w:r>
          </w:p>
        </w:tc>
        <w:tc>
          <w:tcPr>
            <w:tcW w:w="980" w:type="dxa"/>
            <w:tcBorders>
              <w:top w:val="single" w:sz="8" w:space="0" w:color="auto"/>
              <w:left w:val="nil"/>
              <w:bottom w:val="nil"/>
              <w:right w:val="single" w:sz="8" w:space="0" w:color="FFFFFF"/>
            </w:tcBorders>
            <w:shd w:val="clear" w:color="000000" w:fill="1F497D"/>
            <w:vAlign w:val="bottom"/>
            <w:hideMark/>
          </w:tcPr>
          <w:p w:rsidR="00524485" w:rsidRPr="00524485" w:rsidRDefault="00524485" w:rsidP="00172B64">
            <w:pPr>
              <w:pStyle w:val="TableHeader"/>
              <w:rPr>
                <w:rFonts w:eastAsia="Times New Roman"/>
              </w:rPr>
            </w:pPr>
            <w:r w:rsidRPr="00524485">
              <w:rPr>
                <w:rFonts w:eastAsia="Times New Roman"/>
              </w:rPr>
              <w:t>% Load Reduction</w:t>
            </w:r>
          </w:p>
        </w:tc>
        <w:tc>
          <w:tcPr>
            <w:tcW w:w="980" w:type="dxa"/>
            <w:tcBorders>
              <w:top w:val="single" w:sz="8" w:space="0" w:color="auto"/>
              <w:left w:val="nil"/>
              <w:bottom w:val="nil"/>
              <w:right w:val="single" w:sz="8" w:space="0" w:color="auto"/>
            </w:tcBorders>
            <w:shd w:val="clear" w:color="000000" w:fill="1F497D"/>
            <w:vAlign w:val="bottom"/>
            <w:hideMark/>
          </w:tcPr>
          <w:p w:rsidR="00524485" w:rsidRPr="00524485" w:rsidRDefault="00524485" w:rsidP="00172B64">
            <w:pPr>
              <w:pStyle w:val="TableHeader"/>
              <w:rPr>
                <w:rFonts w:eastAsia="Times New Roman"/>
              </w:rPr>
            </w:pPr>
            <w:r w:rsidRPr="00524485">
              <w:rPr>
                <w:rFonts w:eastAsia="Times New Roman"/>
              </w:rPr>
              <w:t>Weighted Temp (F)</w:t>
            </w:r>
          </w:p>
        </w:tc>
      </w:tr>
      <w:tr w:rsidR="00524485" w:rsidRPr="00524485" w:rsidTr="00524485">
        <w:trPr>
          <w:trHeight w:val="300"/>
          <w:jc w:val="center"/>
        </w:trPr>
        <w:tc>
          <w:tcPr>
            <w:tcW w:w="9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CBP-DA</w:t>
            </w: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2012</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185</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50.0</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37.9</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12.1</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24.1%</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99.3</w:t>
            </w:r>
          </w:p>
        </w:tc>
      </w:tr>
      <w:tr w:rsidR="00524485" w:rsidRPr="00524485" w:rsidTr="00524485">
        <w:trPr>
          <w:trHeight w:val="300"/>
          <w:jc w:val="center"/>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2013</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225</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74.8</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60.6</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14.2</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19.0%</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98.0</w:t>
            </w:r>
          </w:p>
        </w:tc>
      </w:tr>
      <w:tr w:rsidR="00524485" w:rsidRPr="00524485" w:rsidTr="00524485">
        <w:trPr>
          <w:trHeight w:val="300"/>
          <w:jc w:val="center"/>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2014</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224</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72.3</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58.0</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14.3</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19.8%</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98.3</w:t>
            </w:r>
          </w:p>
        </w:tc>
      </w:tr>
      <w:tr w:rsidR="00524485" w:rsidRPr="00524485" w:rsidTr="00524485">
        <w:trPr>
          <w:trHeight w:val="300"/>
          <w:jc w:val="center"/>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2015</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225</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70.7</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56.3</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14.5</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20.4%</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98.4</w:t>
            </w:r>
          </w:p>
        </w:tc>
      </w:tr>
      <w:tr w:rsidR="00524485" w:rsidRPr="00524485" w:rsidTr="00524485">
        <w:trPr>
          <w:trHeight w:val="300"/>
          <w:jc w:val="center"/>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2016</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227</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69.8</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55.2</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14.7</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21.0%</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98.6</w:t>
            </w:r>
          </w:p>
        </w:tc>
      </w:tr>
      <w:tr w:rsidR="00524485" w:rsidRPr="00524485" w:rsidTr="00524485">
        <w:trPr>
          <w:trHeight w:val="300"/>
          <w:jc w:val="center"/>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2017</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230</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69.5</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54.6</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14.9</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21.4%</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98.7</w:t>
            </w:r>
          </w:p>
        </w:tc>
      </w:tr>
      <w:tr w:rsidR="00524485" w:rsidRPr="00524485" w:rsidTr="00524485">
        <w:trPr>
          <w:trHeight w:val="300"/>
          <w:jc w:val="center"/>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2018</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233</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69.7</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54.5</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15.2</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21.8%</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98.8</w:t>
            </w:r>
          </w:p>
        </w:tc>
      </w:tr>
      <w:tr w:rsidR="00524485" w:rsidRPr="00524485" w:rsidTr="00524485">
        <w:trPr>
          <w:trHeight w:val="300"/>
          <w:jc w:val="center"/>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2019</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238</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70.2</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54.7</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15.5</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22.0%</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98.8</w:t>
            </w:r>
          </w:p>
        </w:tc>
      </w:tr>
      <w:tr w:rsidR="00524485" w:rsidRPr="00524485" w:rsidTr="00524485">
        <w:trPr>
          <w:trHeight w:val="300"/>
          <w:jc w:val="center"/>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2020</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242</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70.9</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55.1</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15.8</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22.3%</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98.9</w:t>
            </w:r>
          </w:p>
        </w:tc>
      </w:tr>
      <w:tr w:rsidR="00524485" w:rsidRPr="00524485" w:rsidTr="00524485">
        <w:trPr>
          <w:trHeight w:val="300"/>
          <w:jc w:val="center"/>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2021</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247</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71.9</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55.8</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16.1</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22.4%</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98.9</w:t>
            </w:r>
          </w:p>
        </w:tc>
      </w:tr>
      <w:tr w:rsidR="00524485" w:rsidRPr="00524485" w:rsidTr="00524485">
        <w:trPr>
          <w:trHeight w:val="300"/>
          <w:jc w:val="center"/>
        </w:trPr>
        <w:tc>
          <w:tcPr>
            <w:tcW w:w="980" w:type="dxa"/>
            <w:vMerge/>
            <w:tcBorders>
              <w:top w:val="single" w:sz="8" w:space="0" w:color="auto"/>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2022</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253</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73.1</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56.6</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16.5</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22.6%</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99.0</w:t>
            </w:r>
          </w:p>
        </w:tc>
      </w:tr>
      <w:tr w:rsidR="00524485" w:rsidRPr="00524485" w:rsidTr="00524485">
        <w:trPr>
          <w:trHeight w:val="300"/>
          <w:jc w:val="center"/>
        </w:trPr>
        <w:tc>
          <w:tcPr>
            <w:tcW w:w="980" w:type="dxa"/>
            <w:vMerge w:val="restart"/>
            <w:tcBorders>
              <w:top w:val="nil"/>
              <w:left w:val="single" w:sz="8" w:space="0" w:color="auto"/>
              <w:bottom w:val="single" w:sz="8" w:space="0" w:color="000000"/>
              <w:right w:val="single" w:sz="8" w:space="0" w:color="auto"/>
            </w:tcBorders>
            <w:shd w:val="clear" w:color="auto" w:fill="auto"/>
            <w:vAlign w:val="center"/>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CBP-DO</w:t>
            </w: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2012</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224</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84.3</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66.8</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17.5</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20.8%</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94.9</w:t>
            </w:r>
          </w:p>
        </w:tc>
      </w:tr>
      <w:tr w:rsidR="00524485" w:rsidRPr="00524485" w:rsidTr="00524485">
        <w:trPr>
          <w:trHeight w:val="300"/>
          <w:jc w:val="center"/>
        </w:trPr>
        <w:tc>
          <w:tcPr>
            <w:tcW w:w="980" w:type="dxa"/>
            <w:vMerge/>
            <w:tcBorders>
              <w:top w:val="nil"/>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2013</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274</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116.4</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96.1</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20.3</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17.4%</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94.4</w:t>
            </w:r>
          </w:p>
        </w:tc>
      </w:tr>
      <w:tr w:rsidR="00524485" w:rsidRPr="00524485" w:rsidTr="00524485">
        <w:trPr>
          <w:trHeight w:val="300"/>
          <w:jc w:val="center"/>
        </w:trPr>
        <w:tc>
          <w:tcPr>
            <w:tcW w:w="980" w:type="dxa"/>
            <w:vMerge/>
            <w:tcBorders>
              <w:top w:val="nil"/>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2014</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272</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113.7</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93.3</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20.4</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18.0%</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94.5</w:t>
            </w:r>
          </w:p>
        </w:tc>
      </w:tr>
      <w:tr w:rsidR="00524485" w:rsidRPr="00524485" w:rsidTr="00524485">
        <w:trPr>
          <w:trHeight w:val="300"/>
          <w:jc w:val="center"/>
        </w:trPr>
        <w:tc>
          <w:tcPr>
            <w:tcW w:w="980" w:type="dxa"/>
            <w:vMerge/>
            <w:tcBorders>
              <w:top w:val="nil"/>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2015</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273</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112.2</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91.5</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20.7</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18.4%</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94.5</w:t>
            </w:r>
          </w:p>
        </w:tc>
      </w:tr>
      <w:tr w:rsidR="00524485" w:rsidRPr="00524485" w:rsidTr="00524485">
        <w:trPr>
          <w:trHeight w:val="300"/>
          <w:jc w:val="center"/>
        </w:trPr>
        <w:tc>
          <w:tcPr>
            <w:tcW w:w="980" w:type="dxa"/>
            <w:vMerge/>
            <w:tcBorders>
              <w:top w:val="nil"/>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2016</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274</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111.7</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90.7</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21.0</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18.8%</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94.6</w:t>
            </w:r>
          </w:p>
        </w:tc>
      </w:tr>
      <w:tr w:rsidR="00524485" w:rsidRPr="00524485" w:rsidTr="00524485">
        <w:trPr>
          <w:trHeight w:val="300"/>
          <w:jc w:val="center"/>
        </w:trPr>
        <w:tc>
          <w:tcPr>
            <w:tcW w:w="980" w:type="dxa"/>
            <w:vMerge/>
            <w:tcBorders>
              <w:top w:val="nil"/>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2017</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277</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111.9</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90.5</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21.4</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19.1%</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94.6</w:t>
            </w:r>
          </w:p>
        </w:tc>
      </w:tr>
      <w:tr w:rsidR="00524485" w:rsidRPr="00524485" w:rsidTr="00524485">
        <w:trPr>
          <w:trHeight w:val="300"/>
          <w:jc w:val="center"/>
        </w:trPr>
        <w:tc>
          <w:tcPr>
            <w:tcW w:w="980" w:type="dxa"/>
            <w:vMerge/>
            <w:tcBorders>
              <w:top w:val="nil"/>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2018</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281</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112.7</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90.9</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21.8</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19.3%</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94.7</w:t>
            </w:r>
          </w:p>
        </w:tc>
      </w:tr>
      <w:tr w:rsidR="00524485" w:rsidRPr="00524485" w:rsidTr="00524485">
        <w:trPr>
          <w:trHeight w:val="300"/>
          <w:jc w:val="center"/>
        </w:trPr>
        <w:tc>
          <w:tcPr>
            <w:tcW w:w="980" w:type="dxa"/>
            <w:vMerge/>
            <w:tcBorders>
              <w:top w:val="nil"/>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2019</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286</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113.9</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91.7</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22.2</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19.5%</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94.7</w:t>
            </w:r>
          </w:p>
        </w:tc>
      </w:tr>
      <w:tr w:rsidR="00524485" w:rsidRPr="00524485" w:rsidTr="00524485">
        <w:trPr>
          <w:trHeight w:val="300"/>
          <w:jc w:val="center"/>
        </w:trPr>
        <w:tc>
          <w:tcPr>
            <w:tcW w:w="980" w:type="dxa"/>
            <w:vMerge/>
            <w:tcBorders>
              <w:top w:val="nil"/>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2020</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291</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115.5</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92.8</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22.7</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19.6%</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94.7</w:t>
            </w:r>
          </w:p>
        </w:tc>
      </w:tr>
      <w:tr w:rsidR="00524485" w:rsidRPr="00524485" w:rsidTr="00524485">
        <w:trPr>
          <w:trHeight w:val="300"/>
          <w:jc w:val="center"/>
        </w:trPr>
        <w:tc>
          <w:tcPr>
            <w:tcW w:w="980" w:type="dxa"/>
            <w:vMerge/>
            <w:tcBorders>
              <w:top w:val="nil"/>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2021</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297</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117.4</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94.2</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23.2</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19.7%</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94.7</w:t>
            </w:r>
          </w:p>
        </w:tc>
      </w:tr>
      <w:tr w:rsidR="00524485" w:rsidRPr="00524485" w:rsidTr="00524485">
        <w:trPr>
          <w:trHeight w:val="300"/>
          <w:jc w:val="center"/>
        </w:trPr>
        <w:tc>
          <w:tcPr>
            <w:tcW w:w="980" w:type="dxa"/>
            <w:vMerge/>
            <w:tcBorders>
              <w:top w:val="nil"/>
              <w:left w:val="single" w:sz="8" w:space="0" w:color="auto"/>
              <w:bottom w:val="single" w:sz="8" w:space="0" w:color="000000"/>
              <w:right w:val="single" w:sz="8" w:space="0" w:color="auto"/>
            </w:tcBorders>
            <w:vAlign w:val="center"/>
            <w:hideMark/>
          </w:tcPr>
          <w:p w:rsidR="00524485" w:rsidRPr="00524485" w:rsidRDefault="00524485" w:rsidP="00524485">
            <w:pPr>
              <w:spacing w:after="0" w:line="240" w:lineRule="auto"/>
              <w:rPr>
                <w:rFonts w:ascii="Arial" w:eastAsia="Times New Roman" w:hAnsi="Arial" w:cs="Arial"/>
                <w:color w:val="000000"/>
                <w:sz w:val="18"/>
                <w:szCs w:val="18"/>
              </w:rPr>
            </w:pPr>
          </w:p>
        </w:tc>
        <w:tc>
          <w:tcPr>
            <w:tcW w:w="10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2022</w:t>
            </w:r>
          </w:p>
        </w:tc>
        <w:tc>
          <w:tcPr>
            <w:tcW w:w="96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303</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119.6</w:t>
            </w:r>
          </w:p>
        </w:tc>
        <w:tc>
          <w:tcPr>
            <w:tcW w:w="100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95.9</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23.7</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19.8%</w:t>
            </w:r>
          </w:p>
        </w:tc>
        <w:tc>
          <w:tcPr>
            <w:tcW w:w="980" w:type="dxa"/>
            <w:tcBorders>
              <w:top w:val="nil"/>
              <w:left w:val="nil"/>
              <w:bottom w:val="single" w:sz="8" w:space="0" w:color="auto"/>
              <w:right w:val="single" w:sz="8" w:space="0" w:color="auto"/>
            </w:tcBorders>
            <w:shd w:val="clear" w:color="auto" w:fill="auto"/>
            <w:noWrap/>
            <w:vAlign w:val="bottom"/>
            <w:hideMark/>
          </w:tcPr>
          <w:p w:rsidR="00524485" w:rsidRPr="00524485" w:rsidRDefault="00524485" w:rsidP="00524485">
            <w:pPr>
              <w:spacing w:after="0" w:line="240" w:lineRule="auto"/>
              <w:jc w:val="center"/>
              <w:rPr>
                <w:rFonts w:ascii="Arial" w:eastAsia="Times New Roman" w:hAnsi="Arial" w:cs="Arial"/>
                <w:color w:val="000000"/>
                <w:sz w:val="18"/>
                <w:szCs w:val="18"/>
              </w:rPr>
            </w:pPr>
            <w:r w:rsidRPr="00524485">
              <w:rPr>
                <w:rFonts w:ascii="Arial" w:eastAsia="Times New Roman" w:hAnsi="Arial" w:cs="Arial"/>
                <w:color w:val="000000"/>
                <w:sz w:val="18"/>
                <w:szCs w:val="18"/>
              </w:rPr>
              <w:t>94.8</w:t>
            </w:r>
          </w:p>
        </w:tc>
      </w:tr>
    </w:tbl>
    <w:p w:rsidR="0011027B" w:rsidRDefault="0011027B">
      <w:pPr>
        <w:rPr>
          <w:rFonts w:ascii="Verdana" w:hAnsi="Verdana"/>
          <w:sz w:val="18"/>
        </w:rPr>
      </w:pPr>
      <w:r>
        <w:br w:type="page"/>
      </w:r>
    </w:p>
    <w:p w:rsidR="0011027B" w:rsidRDefault="002070AB" w:rsidP="0011027B">
      <w:pPr>
        <w:pStyle w:val="BodyParaAfterTableFigure"/>
      </w:pPr>
      <w:r>
        <w:lastRenderedPageBreak/>
        <w:t xml:space="preserve">The average load impact is an estimate, based on predictions informed by the ex post model. </w:t>
      </w:r>
      <w:r w:rsidR="008B31AA">
        <w:t xml:space="preserve"> </w:t>
      </w:r>
      <w:fldSimple w:instr=" REF _Ref324257566  \* MERGEFORMAT ">
        <w:r w:rsidR="00F66D5E" w:rsidRPr="0038124C">
          <w:t xml:space="preserve">Table </w:t>
        </w:r>
        <w:r w:rsidR="00F66D5E">
          <w:t>7</w:t>
        </w:r>
        <w:r w:rsidR="00F66D5E">
          <w:noBreakHyphen/>
          <w:t>7</w:t>
        </w:r>
      </w:fldSimple>
      <w:r>
        <w:t xml:space="preserve"> presents a range of uncertainty for CBP ex ante load impacts, incorporating model error and performance variability.  We find that the 10</w:t>
      </w:r>
      <w:r w:rsidRPr="00E355B2">
        <w:rPr>
          <w:vertAlign w:val="superscript"/>
        </w:rPr>
        <w:t>th</w:t>
      </w:r>
      <w:r>
        <w:t xml:space="preserve"> and 90</w:t>
      </w:r>
      <w:r w:rsidRPr="00E355B2">
        <w:rPr>
          <w:vertAlign w:val="superscript"/>
        </w:rPr>
        <w:t>th</w:t>
      </w:r>
      <w:r>
        <w:t xml:space="preserve"> percentile aggregate load impact estimates diverge from the ex ante</w:t>
      </w:r>
      <w:r w:rsidR="00765A21">
        <w:t xml:space="preserve"> load impact point estimate by </w:t>
      </w:r>
      <w:r w:rsidR="00524485">
        <w:t>32</w:t>
      </w:r>
      <w:r w:rsidR="00603093">
        <w:t>%</w:t>
      </w:r>
      <w:r>
        <w:t>.</w:t>
      </w:r>
      <w:bookmarkStart w:id="384" w:name="_Ref324257566"/>
    </w:p>
    <w:p w:rsidR="002070AB" w:rsidRPr="0011027B" w:rsidRDefault="002070AB" w:rsidP="0011027B">
      <w:pPr>
        <w:pStyle w:val="TableFigureCaption"/>
        <w:rPr>
          <w:rFonts w:ascii="Verdana" w:hAnsi="Verdana"/>
          <w:sz w:val="18"/>
        </w:rPr>
      </w:pPr>
      <w:r w:rsidRPr="0038124C">
        <w:t xml:space="preserve">Table </w:t>
      </w:r>
      <w:fldSimple w:instr=" STYLEREF 1 \s ">
        <w:r w:rsidR="00F66D5E">
          <w:rPr>
            <w:noProof/>
          </w:rPr>
          <w:t>7</w:t>
        </w:r>
      </w:fldSimple>
      <w:r w:rsidR="00F55000">
        <w:noBreakHyphen/>
      </w:r>
      <w:fldSimple w:instr=" SEQ Table \* ARABIC \s 1 ">
        <w:r w:rsidR="00F66D5E">
          <w:rPr>
            <w:noProof/>
          </w:rPr>
          <w:t>7</w:t>
        </w:r>
      </w:fldSimple>
      <w:bookmarkEnd w:id="384"/>
      <w:r w:rsidRPr="0038124C">
        <w:t>:</w:t>
      </w:r>
    </w:p>
    <w:p w:rsidR="002070AB" w:rsidRDefault="002070AB" w:rsidP="0011027B">
      <w:pPr>
        <w:pStyle w:val="TableFigureCaption"/>
      </w:pPr>
      <w:r w:rsidRPr="0038124C">
        <w:t xml:space="preserve">Aggregate Ex Ante Annual Peak Day Load </w:t>
      </w:r>
      <w:r>
        <w:t xml:space="preserve">Impacts for PG&amp;E CBP </w:t>
      </w:r>
    </w:p>
    <w:p w:rsidR="002070AB" w:rsidRPr="003F0091" w:rsidRDefault="002070AB" w:rsidP="002070AB">
      <w:pPr>
        <w:pStyle w:val="TableFigureCaption"/>
      </w:pPr>
      <w:r w:rsidRPr="0038124C">
        <w:t xml:space="preserve">(Hourly Average Reduction </w:t>
      </w:r>
      <w:r>
        <w:t>from 1</w:t>
      </w:r>
      <w:r w:rsidRPr="0038124C">
        <w:t xml:space="preserve"> </w:t>
      </w:r>
      <w:r>
        <w:t xml:space="preserve">PM </w:t>
      </w:r>
      <w:r w:rsidRPr="0038124C">
        <w:t>to 6 PM)</w:t>
      </w:r>
    </w:p>
    <w:tbl>
      <w:tblPr>
        <w:tblW w:w="4440" w:type="dxa"/>
        <w:jc w:val="center"/>
        <w:tblInd w:w="95" w:type="dxa"/>
        <w:tblLook w:val="04A0"/>
      </w:tblPr>
      <w:tblGrid>
        <w:gridCol w:w="1060"/>
        <w:gridCol w:w="1460"/>
        <w:gridCol w:w="1161"/>
        <w:gridCol w:w="1161"/>
      </w:tblGrid>
      <w:tr w:rsidR="00524485" w:rsidRPr="00524485" w:rsidTr="00524485">
        <w:trPr>
          <w:trHeight w:val="492"/>
          <w:jc w:val="center"/>
        </w:trPr>
        <w:tc>
          <w:tcPr>
            <w:tcW w:w="1060" w:type="dxa"/>
            <w:vMerge w:val="restart"/>
            <w:tcBorders>
              <w:top w:val="nil"/>
              <w:left w:val="single" w:sz="8" w:space="0" w:color="FFFFFF"/>
              <w:bottom w:val="nil"/>
              <w:right w:val="single" w:sz="8" w:space="0" w:color="FFFFFF"/>
            </w:tcBorders>
            <w:shd w:val="clear" w:color="000000" w:fill="1F497D"/>
            <w:vAlign w:val="bottom"/>
            <w:hideMark/>
          </w:tcPr>
          <w:p w:rsidR="00524485" w:rsidRPr="00524485" w:rsidRDefault="00524485" w:rsidP="00172B64">
            <w:pPr>
              <w:pStyle w:val="TableHeader"/>
              <w:rPr>
                <w:rFonts w:eastAsia="Times New Roman"/>
              </w:rPr>
            </w:pPr>
            <w:r w:rsidRPr="00524485">
              <w:rPr>
                <w:rFonts w:eastAsia="Times New Roman"/>
              </w:rPr>
              <w:t>Year</w:t>
            </w:r>
          </w:p>
        </w:tc>
        <w:tc>
          <w:tcPr>
            <w:tcW w:w="1460" w:type="dxa"/>
            <w:vMerge w:val="restart"/>
            <w:tcBorders>
              <w:top w:val="nil"/>
              <w:left w:val="single" w:sz="8" w:space="0" w:color="FFFFFF"/>
              <w:bottom w:val="nil"/>
              <w:right w:val="single" w:sz="8" w:space="0" w:color="FFFFFF"/>
            </w:tcBorders>
            <w:shd w:val="clear" w:color="000000" w:fill="1F497D"/>
            <w:vAlign w:val="bottom"/>
            <w:hideMark/>
          </w:tcPr>
          <w:p w:rsidR="00524485" w:rsidRPr="00524485" w:rsidRDefault="00524485" w:rsidP="00172B64">
            <w:pPr>
              <w:pStyle w:val="TableHeader"/>
              <w:rPr>
                <w:rFonts w:eastAsia="Times New Roman"/>
              </w:rPr>
            </w:pPr>
            <w:proofErr w:type="spellStart"/>
            <w:r w:rsidRPr="00524485">
              <w:rPr>
                <w:rFonts w:eastAsia="Times New Roman"/>
              </w:rPr>
              <w:t>Agg</w:t>
            </w:r>
            <w:proofErr w:type="spellEnd"/>
            <w:r w:rsidRPr="00524485">
              <w:rPr>
                <w:rFonts w:eastAsia="Times New Roman"/>
              </w:rPr>
              <w:t>. Load Impact (MW)</w:t>
            </w:r>
          </w:p>
        </w:tc>
        <w:tc>
          <w:tcPr>
            <w:tcW w:w="1920" w:type="dxa"/>
            <w:gridSpan w:val="2"/>
            <w:tcBorders>
              <w:top w:val="nil"/>
              <w:left w:val="nil"/>
              <w:bottom w:val="single" w:sz="8" w:space="0" w:color="FFFFFF"/>
              <w:right w:val="nil"/>
            </w:tcBorders>
            <w:shd w:val="clear" w:color="000000" w:fill="1F497D"/>
            <w:vAlign w:val="bottom"/>
            <w:hideMark/>
          </w:tcPr>
          <w:p w:rsidR="00524485" w:rsidRPr="00524485" w:rsidRDefault="00524485" w:rsidP="00172B64">
            <w:pPr>
              <w:pStyle w:val="TableHeader"/>
              <w:rPr>
                <w:rFonts w:eastAsia="Times New Roman"/>
              </w:rPr>
            </w:pPr>
            <w:r w:rsidRPr="00524485">
              <w:rPr>
                <w:rFonts w:eastAsia="Times New Roman"/>
              </w:rPr>
              <w:t>Impact Uncertainty</w:t>
            </w:r>
          </w:p>
        </w:tc>
      </w:tr>
      <w:tr w:rsidR="00524485" w:rsidRPr="00524485" w:rsidTr="00524485">
        <w:trPr>
          <w:trHeight w:val="948"/>
          <w:jc w:val="center"/>
        </w:trPr>
        <w:tc>
          <w:tcPr>
            <w:tcW w:w="1060" w:type="dxa"/>
            <w:vMerge/>
            <w:tcBorders>
              <w:top w:val="nil"/>
              <w:left w:val="single" w:sz="8" w:space="0" w:color="FFFFFF"/>
              <w:bottom w:val="nil"/>
              <w:right w:val="single" w:sz="8" w:space="0" w:color="FFFFFF"/>
            </w:tcBorders>
            <w:vAlign w:val="center"/>
            <w:hideMark/>
          </w:tcPr>
          <w:p w:rsidR="00524485" w:rsidRPr="00524485" w:rsidRDefault="00524485" w:rsidP="00172B64">
            <w:pPr>
              <w:pStyle w:val="TableHeader"/>
              <w:rPr>
                <w:rFonts w:eastAsia="Times New Roman"/>
              </w:rPr>
            </w:pPr>
          </w:p>
        </w:tc>
        <w:tc>
          <w:tcPr>
            <w:tcW w:w="1460" w:type="dxa"/>
            <w:vMerge/>
            <w:tcBorders>
              <w:top w:val="nil"/>
              <w:left w:val="single" w:sz="8" w:space="0" w:color="FFFFFF"/>
              <w:bottom w:val="nil"/>
              <w:right w:val="single" w:sz="8" w:space="0" w:color="FFFFFF"/>
            </w:tcBorders>
            <w:vAlign w:val="center"/>
            <w:hideMark/>
          </w:tcPr>
          <w:p w:rsidR="00524485" w:rsidRPr="00524485" w:rsidRDefault="00524485" w:rsidP="00172B64">
            <w:pPr>
              <w:pStyle w:val="TableHeader"/>
              <w:rPr>
                <w:rFonts w:eastAsia="Times New Roman"/>
              </w:rPr>
            </w:pPr>
          </w:p>
        </w:tc>
        <w:tc>
          <w:tcPr>
            <w:tcW w:w="960" w:type="dxa"/>
            <w:tcBorders>
              <w:top w:val="nil"/>
              <w:left w:val="nil"/>
              <w:bottom w:val="nil"/>
              <w:right w:val="single" w:sz="8" w:space="0" w:color="FFFFFF"/>
            </w:tcBorders>
            <w:shd w:val="clear" w:color="000000" w:fill="1F497D"/>
            <w:vAlign w:val="bottom"/>
            <w:hideMark/>
          </w:tcPr>
          <w:p w:rsidR="00524485" w:rsidRPr="00524485" w:rsidRDefault="00524485" w:rsidP="00172B64">
            <w:pPr>
              <w:pStyle w:val="TableHeader"/>
              <w:rPr>
                <w:rFonts w:eastAsia="Times New Roman"/>
              </w:rPr>
            </w:pPr>
            <w:r w:rsidRPr="00524485">
              <w:rPr>
                <w:rFonts w:eastAsia="Times New Roman"/>
              </w:rPr>
              <w:t>10th percentile</w:t>
            </w:r>
          </w:p>
        </w:tc>
        <w:tc>
          <w:tcPr>
            <w:tcW w:w="960" w:type="dxa"/>
            <w:tcBorders>
              <w:top w:val="nil"/>
              <w:left w:val="nil"/>
              <w:bottom w:val="nil"/>
              <w:right w:val="nil"/>
            </w:tcBorders>
            <w:shd w:val="clear" w:color="000000" w:fill="1F497D"/>
            <w:vAlign w:val="bottom"/>
            <w:hideMark/>
          </w:tcPr>
          <w:p w:rsidR="00524485" w:rsidRPr="00524485" w:rsidRDefault="00524485" w:rsidP="00172B64">
            <w:pPr>
              <w:pStyle w:val="TableHeader"/>
              <w:rPr>
                <w:rFonts w:eastAsia="Times New Roman"/>
              </w:rPr>
            </w:pPr>
            <w:r w:rsidRPr="00524485">
              <w:rPr>
                <w:rFonts w:eastAsia="Times New Roman"/>
              </w:rPr>
              <w:t>90th percentile</w:t>
            </w:r>
          </w:p>
        </w:tc>
      </w:tr>
      <w:tr w:rsidR="00524485" w:rsidRPr="00524485" w:rsidTr="0052448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2012</w:t>
            </w:r>
          </w:p>
        </w:tc>
        <w:tc>
          <w:tcPr>
            <w:tcW w:w="14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29.6</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21.3</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37.8</w:t>
            </w:r>
          </w:p>
        </w:tc>
      </w:tr>
      <w:tr w:rsidR="00524485" w:rsidRPr="00524485" w:rsidTr="0052448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2013</w:t>
            </w:r>
          </w:p>
        </w:tc>
        <w:tc>
          <w:tcPr>
            <w:tcW w:w="14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34.5</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24.2</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44.8</w:t>
            </w:r>
          </w:p>
        </w:tc>
      </w:tr>
      <w:tr w:rsidR="00524485" w:rsidRPr="00524485" w:rsidTr="0052448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2014</w:t>
            </w:r>
          </w:p>
        </w:tc>
        <w:tc>
          <w:tcPr>
            <w:tcW w:w="14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34.7</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24.0</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45.5</w:t>
            </w:r>
          </w:p>
        </w:tc>
      </w:tr>
      <w:tr w:rsidR="00524485" w:rsidRPr="00524485" w:rsidTr="0052448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2015</w:t>
            </w:r>
          </w:p>
        </w:tc>
        <w:tc>
          <w:tcPr>
            <w:tcW w:w="14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35.2</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24.1</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46.2</w:t>
            </w:r>
          </w:p>
        </w:tc>
      </w:tr>
      <w:tr w:rsidR="00524485" w:rsidRPr="00524485" w:rsidTr="0052448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2016</w:t>
            </w:r>
          </w:p>
        </w:tc>
        <w:tc>
          <w:tcPr>
            <w:tcW w:w="14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35.7</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24.3</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47.0</w:t>
            </w:r>
          </w:p>
        </w:tc>
      </w:tr>
      <w:tr w:rsidR="00524485" w:rsidRPr="00524485" w:rsidTr="0052448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2017</w:t>
            </w:r>
          </w:p>
        </w:tc>
        <w:tc>
          <w:tcPr>
            <w:tcW w:w="14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36.3</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24.6</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47.8</w:t>
            </w:r>
          </w:p>
        </w:tc>
      </w:tr>
      <w:tr w:rsidR="00524485" w:rsidRPr="00524485" w:rsidTr="0052448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2018</w:t>
            </w:r>
          </w:p>
        </w:tc>
        <w:tc>
          <w:tcPr>
            <w:tcW w:w="14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36.9</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25.1</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48.7</w:t>
            </w:r>
          </w:p>
        </w:tc>
      </w:tr>
      <w:tr w:rsidR="00524485" w:rsidRPr="00524485" w:rsidTr="0052448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2019</w:t>
            </w:r>
          </w:p>
        </w:tc>
        <w:tc>
          <w:tcPr>
            <w:tcW w:w="14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37.7</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25.6</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49.7</w:t>
            </w:r>
          </w:p>
        </w:tc>
      </w:tr>
      <w:tr w:rsidR="00524485" w:rsidRPr="00524485" w:rsidTr="0052448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2020</w:t>
            </w:r>
          </w:p>
        </w:tc>
        <w:tc>
          <w:tcPr>
            <w:tcW w:w="14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38.5</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26.2</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50.7</w:t>
            </w:r>
          </w:p>
        </w:tc>
      </w:tr>
      <w:tr w:rsidR="00524485" w:rsidRPr="00524485" w:rsidTr="0052448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2021</w:t>
            </w:r>
          </w:p>
        </w:tc>
        <w:tc>
          <w:tcPr>
            <w:tcW w:w="14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39.3</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26.8</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51.8</w:t>
            </w:r>
          </w:p>
        </w:tc>
      </w:tr>
      <w:tr w:rsidR="00524485" w:rsidRPr="00524485" w:rsidTr="00524485">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2022</w:t>
            </w:r>
          </w:p>
        </w:tc>
        <w:tc>
          <w:tcPr>
            <w:tcW w:w="14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40.2</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29.3</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524485" w:rsidRDefault="00524485" w:rsidP="00172B64">
            <w:pPr>
              <w:pStyle w:val="TableText"/>
              <w:rPr>
                <w:rFonts w:eastAsia="Times New Roman"/>
              </w:rPr>
            </w:pPr>
            <w:r w:rsidRPr="00524485">
              <w:rPr>
                <w:rFonts w:eastAsia="Times New Roman"/>
              </w:rPr>
              <w:t>51.2</w:t>
            </w:r>
          </w:p>
        </w:tc>
      </w:tr>
    </w:tbl>
    <w:p w:rsidR="002070AB" w:rsidRPr="003F0091" w:rsidRDefault="002070AB" w:rsidP="002070AB">
      <w:pPr>
        <w:pStyle w:val="BodyParagraph"/>
      </w:pPr>
    </w:p>
    <w:p w:rsidR="002070AB" w:rsidRDefault="002070AB" w:rsidP="002070AB">
      <w:pPr>
        <w:pStyle w:val="BodyParagraph"/>
      </w:pPr>
      <w:r>
        <w:t>PG&amp;E</w:t>
      </w:r>
      <w:r w:rsidRPr="00E84E74">
        <w:t xml:space="preserve"> is compr</w:t>
      </w:r>
      <w:r>
        <w:t>ised of seven</w:t>
      </w:r>
      <w:r w:rsidRPr="00E84E74">
        <w:t xml:space="preserve"> geographic planning zones known as local capacity areas (LCAs).  </w:t>
      </w:r>
      <w:r>
        <w:t>An eighth region, deemed “Other,” is comprised of customers that are not located in any of the seven LCAs.  The ex ante load impacts differ</w:t>
      </w:r>
      <w:r w:rsidRPr="00E84E74">
        <w:t xml:space="preserve"> </w:t>
      </w:r>
      <w:r>
        <w:t xml:space="preserve">by geographic location due to differences in the total population, industry mix and, to a lesser extent, climate. </w:t>
      </w:r>
    </w:p>
    <w:p w:rsidR="00F66D5E" w:rsidRDefault="00C61D83" w:rsidP="002070AB">
      <w:pPr>
        <w:pStyle w:val="BodyParagraph"/>
      </w:pPr>
      <w:fldSimple w:instr=" REF _Ref324492701  \* MERGEFORMAT ">
        <w:r w:rsidR="00F66D5E" w:rsidRPr="0038124C">
          <w:t xml:space="preserve">Table </w:t>
        </w:r>
        <w:r w:rsidR="00F66D5E">
          <w:t>7</w:t>
        </w:r>
        <w:r w:rsidR="00F66D5E">
          <w:noBreakHyphen/>
          <w:t>8</w:t>
        </w:r>
      </w:fldSimple>
      <w:r w:rsidR="002070AB">
        <w:t xml:space="preserve"> summarizes the ex ante load reduction capability of CBP customers by LCA and customer size during an August system peak day in 2012.  Customers </w:t>
      </w:r>
      <w:r w:rsidR="0087300F">
        <w:t xml:space="preserve">outside of the seven LCAs </w:t>
      </w:r>
      <w:r w:rsidR="002070AB">
        <w:t xml:space="preserve">account for the largest fraction of ex ante load reductions, totaling </w:t>
      </w:r>
      <w:r w:rsidR="0087300F">
        <w:t>34</w:t>
      </w:r>
      <w:r w:rsidR="002070AB">
        <w:t>% of resources.  Customers</w:t>
      </w:r>
      <w:r w:rsidR="0087300F" w:rsidRPr="0087300F">
        <w:t xml:space="preserve"> </w:t>
      </w:r>
      <w:r w:rsidR="0087300F">
        <w:t>in the Greater Fresno LCA</w:t>
      </w:r>
      <w:r w:rsidR="002070AB">
        <w:t xml:space="preserve"> contribute the next largest proportion of CBP resources, accounting for </w:t>
      </w:r>
      <w:r w:rsidR="0087300F">
        <w:t>25</w:t>
      </w:r>
      <w:r w:rsidR="002070AB">
        <w:t xml:space="preserve">% of ex ante load reductions.  Large customers (i.e., greater than 200 kW average demand) account for </w:t>
      </w:r>
      <w:r w:rsidR="0087300F">
        <w:t>89</w:t>
      </w:r>
      <w:r w:rsidR="002070AB">
        <w:t>% of ex ante load reductions.</w:t>
      </w:r>
    </w:p>
    <w:p w:rsidR="00F66D5E" w:rsidRDefault="00F66D5E">
      <w:pPr>
        <w:rPr>
          <w:rFonts w:ascii="Verdana" w:hAnsi="Verdana"/>
          <w:sz w:val="18"/>
        </w:rPr>
      </w:pPr>
      <w:r>
        <w:br w:type="page"/>
      </w:r>
    </w:p>
    <w:p w:rsidR="002070AB" w:rsidRPr="00E52775" w:rsidRDefault="002070AB" w:rsidP="002070AB">
      <w:pPr>
        <w:pStyle w:val="BodyParagraph"/>
      </w:pPr>
    </w:p>
    <w:p w:rsidR="002070AB" w:rsidRDefault="002070AB" w:rsidP="0011027B">
      <w:pPr>
        <w:pStyle w:val="TableFigureCaption"/>
        <w:rPr>
          <w:bCs/>
        </w:rPr>
      </w:pPr>
      <w:bookmarkStart w:id="385" w:name="_Ref324492701"/>
      <w:r w:rsidRPr="0038124C">
        <w:t xml:space="preserve">Table </w:t>
      </w:r>
      <w:fldSimple w:instr=" STYLEREF 1 \s ">
        <w:r w:rsidR="00F66D5E">
          <w:rPr>
            <w:noProof/>
          </w:rPr>
          <w:t>7</w:t>
        </w:r>
      </w:fldSimple>
      <w:r w:rsidR="00F55000">
        <w:noBreakHyphen/>
      </w:r>
      <w:fldSimple w:instr=" SEQ Table \* ARABIC \s 1 ">
        <w:r w:rsidR="00F66D5E">
          <w:rPr>
            <w:noProof/>
          </w:rPr>
          <w:t>8</w:t>
        </w:r>
      </w:fldSimple>
      <w:bookmarkEnd w:id="385"/>
      <w:r w:rsidRPr="0038124C">
        <w:t>:</w:t>
      </w:r>
    </w:p>
    <w:p w:rsidR="002070AB" w:rsidRPr="00DC66F9" w:rsidRDefault="002070AB" w:rsidP="00FD558F">
      <w:pPr>
        <w:pStyle w:val="TableFigureCaption"/>
        <w:rPr>
          <w:bCs/>
        </w:rPr>
      </w:pPr>
      <w:r w:rsidRPr="00D666BC">
        <w:t>2012 Ex</w:t>
      </w:r>
      <w:r w:rsidRPr="0038124C">
        <w:t xml:space="preserve"> Ante </w:t>
      </w:r>
      <w:r>
        <w:t>Annual Peak</w:t>
      </w:r>
      <w:r w:rsidRPr="0038124C">
        <w:t xml:space="preserve"> Load </w:t>
      </w:r>
      <w:r>
        <w:t>Impacts for PG&amp;E CBP by LCA and Customer Size</w:t>
      </w:r>
    </w:p>
    <w:p w:rsidR="002070AB" w:rsidRDefault="002070AB" w:rsidP="00FD558F">
      <w:pPr>
        <w:pStyle w:val="TableFigureCaption"/>
      </w:pPr>
      <w:r w:rsidRPr="0038124C">
        <w:t>(Hourly Average Reduction</w:t>
      </w:r>
      <w:r w:rsidR="00C27EAA">
        <w:t xml:space="preserve"> Available</w:t>
      </w:r>
      <w:r w:rsidRPr="0038124C">
        <w:t xml:space="preserve"> </w:t>
      </w:r>
      <w:r>
        <w:t>from 1 PM</w:t>
      </w:r>
      <w:r w:rsidRPr="0038124C">
        <w:t xml:space="preserve"> to 6 PM)</w:t>
      </w:r>
    </w:p>
    <w:tbl>
      <w:tblPr>
        <w:tblW w:w="9483" w:type="dxa"/>
        <w:jc w:val="center"/>
        <w:tblInd w:w="-13" w:type="dxa"/>
        <w:tblLayout w:type="fixed"/>
        <w:tblLook w:val="04A0"/>
      </w:tblPr>
      <w:tblGrid>
        <w:gridCol w:w="567"/>
        <w:gridCol w:w="1426"/>
        <w:gridCol w:w="990"/>
        <w:gridCol w:w="990"/>
        <w:gridCol w:w="900"/>
        <w:gridCol w:w="900"/>
        <w:gridCol w:w="900"/>
        <w:gridCol w:w="990"/>
        <w:gridCol w:w="893"/>
        <w:gridCol w:w="927"/>
      </w:tblGrid>
      <w:tr w:rsidR="00524485" w:rsidRPr="00524485" w:rsidTr="00524485">
        <w:trPr>
          <w:trHeight w:val="288"/>
          <w:jc w:val="center"/>
        </w:trPr>
        <w:tc>
          <w:tcPr>
            <w:tcW w:w="1993" w:type="dxa"/>
            <w:gridSpan w:val="2"/>
            <w:vMerge w:val="restart"/>
            <w:tcBorders>
              <w:top w:val="nil"/>
              <w:left w:val="nil"/>
              <w:bottom w:val="single" w:sz="4" w:space="0" w:color="000000"/>
              <w:right w:val="single" w:sz="4" w:space="0" w:color="FFFFFF"/>
            </w:tcBorders>
            <w:shd w:val="clear" w:color="000000" w:fill="1F497D"/>
            <w:tcMar>
              <w:left w:w="0" w:type="dxa"/>
              <w:right w:w="0" w:type="dxa"/>
            </w:tcMar>
            <w:vAlign w:val="bottom"/>
            <w:hideMark/>
          </w:tcPr>
          <w:p w:rsidR="00524485" w:rsidRPr="00524485" w:rsidRDefault="00524485" w:rsidP="00524485">
            <w:pPr>
              <w:pStyle w:val="TableHeader"/>
              <w:rPr>
                <w:rFonts w:eastAsia="Times New Roman"/>
                <w:sz w:val="16"/>
                <w:szCs w:val="16"/>
              </w:rPr>
            </w:pPr>
            <w:r w:rsidRPr="00524485">
              <w:rPr>
                <w:rFonts w:eastAsia="Times New Roman"/>
                <w:sz w:val="16"/>
                <w:szCs w:val="16"/>
              </w:rPr>
              <w:t>Customer Subcategory</w:t>
            </w:r>
          </w:p>
        </w:tc>
        <w:tc>
          <w:tcPr>
            <w:tcW w:w="3780" w:type="dxa"/>
            <w:gridSpan w:val="4"/>
            <w:tcBorders>
              <w:top w:val="nil"/>
              <w:left w:val="nil"/>
              <w:bottom w:val="single" w:sz="4" w:space="0" w:color="FFFFFF"/>
              <w:right w:val="nil"/>
            </w:tcBorders>
            <w:shd w:val="clear" w:color="000000" w:fill="1F497D"/>
            <w:tcMar>
              <w:left w:w="0" w:type="dxa"/>
              <w:right w:w="0" w:type="dxa"/>
            </w:tcMar>
            <w:vAlign w:val="bottom"/>
            <w:hideMark/>
          </w:tcPr>
          <w:p w:rsidR="00524485" w:rsidRPr="00524485" w:rsidRDefault="00524485" w:rsidP="00524485">
            <w:pPr>
              <w:pStyle w:val="TableHeader"/>
              <w:rPr>
                <w:rFonts w:eastAsia="Times New Roman"/>
                <w:sz w:val="16"/>
                <w:szCs w:val="16"/>
              </w:rPr>
            </w:pPr>
            <w:r w:rsidRPr="00524485">
              <w:rPr>
                <w:rFonts w:eastAsia="Times New Roman"/>
                <w:sz w:val="16"/>
                <w:szCs w:val="16"/>
              </w:rPr>
              <w:t>CBP-DA</w:t>
            </w:r>
          </w:p>
        </w:tc>
        <w:tc>
          <w:tcPr>
            <w:tcW w:w="3710" w:type="dxa"/>
            <w:gridSpan w:val="4"/>
            <w:tcBorders>
              <w:top w:val="nil"/>
              <w:left w:val="single" w:sz="4" w:space="0" w:color="FFFFFF"/>
              <w:bottom w:val="single" w:sz="4" w:space="0" w:color="FFFFFF"/>
              <w:right w:val="nil"/>
            </w:tcBorders>
            <w:shd w:val="clear" w:color="000000" w:fill="1F497D"/>
            <w:tcMar>
              <w:left w:w="0" w:type="dxa"/>
              <w:right w:w="0" w:type="dxa"/>
            </w:tcMar>
            <w:vAlign w:val="bottom"/>
            <w:hideMark/>
          </w:tcPr>
          <w:p w:rsidR="00524485" w:rsidRPr="00524485" w:rsidRDefault="00524485" w:rsidP="00524485">
            <w:pPr>
              <w:pStyle w:val="TableHeader"/>
              <w:rPr>
                <w:rFonts w:eastAsia="Times New Roman"/>
                <w:sz w:val="16"/>
                <w:szCs w:val="16"/>
              </w:rPr>
            </w:pPr>
            <w:r w:rsidRPr="00524485">
              <w:rPr>
                <w:rFonts w:eastAsia="Times New Roman"/>
                <w:sz w:val="16"/>
                <w:szCs w:val="16"/>
              </w:rPr>
              <w:t>CBP-DO</w:t>
            </w:r>
          </w:p>
        </w:tc>
      </w:tr>
      <w:tr w:rsidR="00524485" w:rsidRPr="00524485" w:rsidTr="00524485">
        <w:trPr>
          <w:trHeight w:val="1224"/>
          <w:jc w:val="center"/>
        </w:trPr>
        <w:tc>
          <w:tcPr>
            <w:tcW w:w="1993" w:type="dxa"/>
            <w:gridSpan w:val="2"/>
            <w:vMerge/>
            <w:tcBorders>
              <w:top w:val="nil"/>
              <w:left w:val="nil"/>
              <w:bottom w:val="single" w:sz="4" w:space="0" w:color="000000"/>
              <w:right w:val="single" w:sz="4" w:space="0" w:color="FFFFFF"/>
            </w:tcBorders>
            <w:tcMar>
              <w:left w:w="0" w:type="dxa"/>
              <w:right w:w="0" w:type="dxa"/>
            </w:tcMar>
            <w:vAlign w:val="center"/>
            <w:hideMark/>
          </w:tcPr>
          <w:p w:rsidR="00524485" w:rsidRPr="00524485" w:rsidRDefault="00524485" w:rsidP="00524485">
            <w:pPr>
              <w:pStyle w:val="TableHeader"/>
              <w:rPr>
                <w:rFonts w:eastAsia="Times New Roman"/>
                <w:sz w:val="16"/>
                <w:szCs w:val="16"/>
              </w:rPr>
            </w:pPr>
          </w:p>
        </w:tc>
        <w:tc>
          <w:tcPr>
            <w:tcW w:w="990" w:type="dxa"/>
            <w:tcBorders>
              <w:top w:val="nil"/>
              <w:left w:val="nil"/>
              <w:bottom w:val="nil"/>
              <w:right w:val="single" w:sz="4" w:space="0" w:color="FFFFFF"/>
            </w:tcBorders>
            <w:shd w:val="clear" w:color="000000" w:fill="1F497D"/>
            <w:tcMar>
              <w:left w:w="0" w:type="dxa"/>
              <w:right w:w="0" w:type="dxa"/>
            </w:tcMar>
            <w:vAlign w:val="bottom"/>
            <w:hideMark/>
          </w:tcPr>
          <w:p w:rsidR="00524485" w:rsidRPr="00524485" w:rsidRDefault="00524485" w:rsidP="00524485">
            <w:pPr>
              <w:pStyle w:val="TableHeader"/>
              <w:rPr>
                <w:rFonts w:eastAsia="Times New Roman"/>
                <w:sz w:val="16"/>
                <w:szCs w:val="16"/>
              </w:rPr>
            </w:pPr>
            <w:r w:rsidRPr="00524485">
              <w:rPr>
                <w:rFonts w:eastAsia="Times New Roman"/>
                <w:sz w:val="16"/>
                <w:szCs w:val="16"/>
              </w:rPr>
              <w:t>Expected Aggregate Load Impact (MW)</w:t>
            </w:r>
          </w:p>
        </w:tc>
        <w:tc>
          <w:tcPr>
            <w:tcW w:w="990" w:type="dxa"/>
            <w:tcBorders>
              <w:top w:val="nil"/>
              <w:left w:val="nil"/>
              <w:bottom w:val="nil"/>
              <w:right w:val="single" w:sz="4" w:space="0" w:color="FFFFFF"/>
            </w:tcBorders>
            <w:shd w:val="clear" w:color="000000" w:fill="1F497D"/>
            <w:tcMar>
              <w:left w:w="0" w:type="dxa"/>
              <w:right w:w="0" w:type="dxa"/>
            </w:tcMar>
            <w:vAlign w:val="bottom"/>
            <w:hideMark/>
          </w:tcPr>
          <w:p w:rsidR="00524485" w:rsidRPr="00524485" w:rsidRDefault="00524485" w:rsidP="00524485">
            <w:pPr>
              <w:pStyle w:val="TableHeader"/>
              <w:rPr>
                <w:rFonts w:eastAsia="Times New Roman"/>
                <w:sz w:val="16"/>
                <w:szCs w:val="16"/>
              </w:rPr>
            </w:pPr>
            <w:r w:rsidRPr="00524485">
              <w:rPr>
                <w:rFonts w:eastAsia="Times New Roman"/>
                <w:sz w:val="16"/>
                <w:szCs w:val="16"/>
              </w:rPr>
              <w:t>Number of Nominated Customers</w:t>
            </w:r>
          </w:p>
        </w:tc>
        <w:tc>
          <w:tcPr>
            <w:tcW w:w="900" w:type="dxa"/>
            <w:tcBorders>
              <w:top w:val="nil"/>
              <w:left w:val="nil"/>
              <w:bottom w:val="nil"/>
              <w:right w:val="single" w:sz="4" w:space="0" w:color="FFFFFF"/>
            </w:tcBorders>
            <w:shd w:val="clear" w:color="000000" w:fill="1F497D"/>
            <w:tcMar>
              <w:left w:w="0" w:type="dxa"/>
              <w:right w:w="0" w:type="dxa"/>
            </w:tcMar>
            <w:vAlign w:val="bottom"/>
            <w:hideMark/>
          </w:tcPr>
          <w:p w:rsidR="00524485" w:rsidRPr="00524485" w:rsidRDefault="00524485" w:rsidP="00524485">
            <w:pPr>
              <w:pStyle w:val="TableHeader"/>
              <w:rPr>
                <w:rFonts w:eastAsia="Times New Roman"/>
                <w:sz w:val="16"/>
                <w:szCs w:val="16"/>
              </w:rPr>
            </w:pPr>
            <w:r w:rsidRPr="00524485">
              <w:rPr>
                <w:rFonts w:eastAsia="Times New Roman"/>
                <w:sz w:val="16"/>
                <w:szCs w:val="16"/>
              </w:rPr>
              <w:t>Expected Customer Avg. Load Impact (kW)</w:t>
            </w:r>
          </w:p>
        </w:tc>
        <w:tc>
          <w:tcPr>
            <w:tcW w:w="900" w:type="dxa"/>
            <w:tcBorders>
              <w:top w:val="nil"/>
              <w:left w:val="nil"/>
              <w:bottom w:val="nil"/>
              <w:right w:val="single" w:sz="4" w:space="0" w:color="FFFFFF"/>
            </w:tcBorders>
            <w:shd w:val="clear" w:color="000000" w:fill="1F497D"/>
            <w:tcMar>
              <w:left w:w="0" w:type="dxa"/>
              <w:right w:w="0" w:type="dxa"/>
            </w:tcMar>
            <w:vAlign w:val="bottom"/>
            <w:hideMark/>
          </w:tcPr>
          <w:p w:rsidR="00524485" w:rsidRPr="00524485" w:rsidRDefault="00524485" w:rsidP="00524485">
            <w:pPr>
              <w:pStyle w:val="TableHeader"/>
              <w:rPr>
                <w:rFonts w:eastAsia="Times New Roman"/>
                <w:sz w:val="16"/>
                <w:szCs w:val="16"/>
              </w:rPr>
            </w:pPr>
            <w:r w:rsidRPr="00524485">
              <w:rPr>
                <w:rFonts w:eastAsia="Times New Roman"/>
                <w:sz w:val="16"/>
                <w:szCs w:val="16"/>
              </w:rPr>
              <w:t>% Load Reduction</w:t>
            </w:r>
          </w:p>
        </w:tc>
        <w:tc>
          <w:tcPr>
            <w:tcW w:w="900" w:type="dxa"/>
            <w:tcBorders>
              <w:top w:val="nil"/>
              <w:left w:val="nil"/>
              <w:bottom w:val="nil"/>
              <w:right w:val="single" w:sz="4" w:space="0" w:color="FFFFFF"/>
            </w:tcBorders>
            <w:shd w:val="clear" w:color="000000" w:fill="1F497D"/>
            <w:tcMar>
              <w:left w:w="0" w:type="dxa"/>
              <w:right w:w="0" w:type="dxa"/>
            </w:tcMar>
            <w:vAlign w:val="bottom"/>
            <w:hideMark/>
          </w:tcPr>
          <w:p w:rsidR="00524485" w:rsidRPr="00524485" w:rsidRDefault="00524485" w:rsidP="00524485">
            <w:pPr>
              <w:pStyle w:val="TableHeader"/>
              <w:rPr>
                <w:rFonts w:eastAsia="Times New Roman"/>
                <w:sz w:val="16"/>
                <w:szCs w:val="16"/>
              </w:rPr>
            </w:pPr>
            <w:r w:rsidRPr="00524485">
              <w:rPr>
                <w:rFonts w:eastAsia="Times New Roman"/>
                <w:sz w:val="16"/>
                <w:szCs w:val="16"/>
              </w:rPr>
              <w:t>Expected Aggregate Load Impact (MW)</w:t>
            </w:r>
          </w:p>
        </w:tc>
        <w:tc>
          <w:tcPr>
            <w:tcW w:w="990" w:type="dxa"/>
            <w:tcBorders>
              <w:top w:val="nil"/>
              <w:left w:val="nil"/>
              <w:bottom w:val="nil"/>
              <w:right w:val="single" w:sz="4" w:space="0" w:color="FFFFFF"/>
            </w:tcBorders>
            <w:shd w:val="clear" w:color="000000" w:fill="1F497D"/>
            <w:tcMar>
              <w:left w:w="0" w:type="dxa"/>
              <w:right w:w="0" w:type="dxa"/>
            </w:tcMar>
            <w:vAlign w:val="bottom"/>
            <w:hideMark/>
          </w:tcPr>
          <w:p w:rsidR="00524485" w:rsidRPr="00524485" w:rsidRDefault="00524485" w:rsidP="00524485">
            <w:pPr>
              <w:pStyle w:val="TableHeader"/>
              <w:rPr>
                <w:rFonts w:eastAsia="Times New Roman"/>
                <w:sz w:val="16"/>
                <w:szCs w:val="16"/>
              </w:rPr>
            </w:pPr>
            <w:r w:rsidRPr="00524485">
              <w:rPr>
                <w:rFonts w:eastAsia="Times New Roman"/>
                <w:sz w:val="16"/>
                <w:szCs w:val="16"/>
              </w:rPr>
              <w:t>Number of Nominated Customers</w:t>
            </w:r>
          </w:p>
        </w:tc>
        <w:tc>
          <w:tcPr>
            <w:tcW w:w="893" w:type="dxa"/>
            <w:tcBorders>
              <w:top w:val="nil"/>
              <w:left w:val="nil"/>
              <w:bottom w:val="nil"/>
              <w:right w:val="single" w:sz="4" w:space="0" w:color="FFFFFF"/>
            </w:tcBorders>
            <w:shd w:val="clear" w:color="000000" w:fill="1F497D"/>
            <w:tcMar>
              <w:left w:w="0" w:type="dxa"/>
              <w:right w:w="0" w:type="dxa"/>
            </w:tcMar>
            <w:vAlign w:val="bottom"/>
            <w:hideMark/>
          </w:tcPr>
          <w:p w:rsidR="00524485" w:rsidRPr="00524485" w:rsidRDefault="00524485" w:rsidP="00524485">
            <w:pPr>
              <w:pStyle w:val="TableHeader"/>
              <w:rPr>
                <w:rFonts w:eastAsia="Times New Roman"/>
                <w:sz w:val="16"/>
                <w:szCs w:val="16"/>
              </w:rPr>
            </w:pPr>
            <w:r w:rsidRPr="00524485">
              <w:rPr>
                <w:rFonts w:eastAsia="Times New Roman"/>
                <w:sz w:val="16"/>
                <w:szCs w:val="16"/>
              </w:rPr>
              <w:t>Expected Customer Avg. Load Impact (kW)</w:t>
            </w:r>
          </w:p>
        </w:tc>
        <w:tc>
          <w:tcPr>
            <w:tcW w:w="927" w:type="dxa"/>
            <w:tcBorders>
              <w:top w:val="nil"/>
              <w:left w:val="nil"/>
              <w:bottom w:val="nil"/>
              <w:right w:val="single" w:sz="4" w:space="0" w:color="FFFFFF"/>
            </w:tcBorders>
            <w:shd w:val="clear" w:color="000000" w:fill="1F497D"/>
            <w:tcMar>
              <w:left w:w="0" w:type="dxa"/>
              <w:right w:w="0" w:type="dxa"/>
            </w:tcMar>
            <w:vAlign w:val="bottom"/>
            <w:hideMark/>
          </w:tcPr>
          <w:p w:rsidR="00524485" w:rsidRPr="00524485" w:rsidRDefault="00524485" w:rsidP="00524485">
            <w:pPr>
              <w:pStyle w:val="TableHeader"/>
              <w:rPr>
                <w:rFonts w:eastAsia="Times New Roman"/>
                <w:sz w:val="16"/>
                <w:szCs w:val="16"/>
              </w:rPr>
            </w:pPr>
            <w:r w:rsidRPr="00524485">
              <w:rPr>
                <w:rFonts w:eastAsia="Times New Roman"/>
                <w:sz w:val="16"/>
                <w:szCs w:val="16"/>
              </w:rPr>
              <w:t>% Load Reduction</w:t>
            </w:r>
          </w:p>
        </w:tc>
      </w:tr>
      <w:tr w:rsidR="00524485" w:rsidRPr="00524485" w:rsidTr="00524485">
        <w:trPr>
          <w:trHeight w:val="432"/>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LCA</w:t>
            </w:r>
          </w:p>
        </w:tc>
        <w:tc>
          <w:tcPr>
            <w:tcW w:w="1426"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Greater Bay Area</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1.4</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47.1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12.1%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3.8</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84</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45.0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10.8%</w:t>
            </w:r>
          </w:p>
        </w:tc>
      </w:tr>
      <w:tr w:rsidR="00524485" w:rsidRPr="00524485" w:rsidTr="00524485">
        <w:trPr>
          <w:trHeight w:val="432"/>
          <w:jc w:val="center"/>
        </w:trPr>
        <w:tc>
          <w:tcPr>
            <w:tcW w:w="567" w:type="dxa"/>
            <w:vMerge/>
            <w:tcBorders>
              <w:top w:val="nil"/>
              <w:left w:val="single" w:sz="4" w:space="0" w:color="auto"/>
              <w:bottom w:val="single" w:sz="4" w:space="0" w:color="auto"/>
              <w:right w:val="single" w:sz="4" w:space="0" w:color="auto"/>
            </w:tcBorders>
            <w:vAlign w:val="center"/>
            <w:hideMark/>
          </w:tcPr>
          <w:p w:rsidR="00524485" w:rsidRPr="00524485" w:rsidRDefault="00524485" w:rsidP="00524485">
            <w:pPr>
              <w:pStyle w:val="TableText"/>
              <w:rPr>
                <w:rFonts w:eastAsia="Times New Roman"/>
              </w:rPr>
            </w:pPr>
          </w:p>
        </w:tc>
        <w:tc>
          <w:tcPr>
            <w:tcW w:w="1426"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Greater Fresno</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2.9</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45</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65.0</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29.9%</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4.5</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24</w:t>
            </w:r>
          </w:p>
        </w:tc>
        <w:tc>
          <w:tcPr>
            <w:tcW w:w="893"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189.6</w:t>
            </w:r>
          </w:p>
        </w:tc>
        <w:tc>
          <w:tcPr>
            <w:tcW w:w="927"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43.3%</w:t>
            </w:r>
          </w:p>
        </w:tc>
      </w:tr>
      <w:tr w:rsidR="00524485" w:rsidRPr="00524485" w:rsidTr="00524485">
        <w:trPr>
          <w:trHeight w:val="432"/>
          <w:jc w:val="center"/>
        </w:trPr>
        <w:tc>
          <w:tcPr>
            <w:tcW w:w="567" w:type="dxa"/>
            <w:vMerge/>
            <w:tcBorders>
              <w:top w:val="nil"/>
              <w:left w:val="single" w:sz="4" w:space="0" w:color="auto"/>
              <w:bottom w:val="single" w:sz="4" w:space="0" w:color="auto"/>
              <w:right w:val="single" w:sz="4" w:space="0" w:color="auto"/>
            </w:tcBorders>
            <w:vAlign w:val="center"/>
            <w:hideMark/>
          </w:tcPr>
          <w:p w:rsidR="00524485" w:rsidRPr="00524485" w:rsidRDefault="00524485" w:rsidP="00524485">
            <w:pPr>
              <w:pStyle w:val="TableText"/>
              <w:rPr>
                <w:rFonts w:eastAsia="Times New Roman"/>
              </w:rPr>
            </w:pPr>
          </w:p>
        </w:tc>
        <w:tc>
          <w:tcPr>
            <w:tcW w:w="1426"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Humboldt</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0.0</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4.6</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9.9%</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0.0</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w:t>
            </w:r>
          </w:p>
        </w:tc>
        <w:tc>
          <w:tcPr>
            <w:tcW w:w="893"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16.2</w:t>
            </w:r>
          </w:p>
        </w:tc>
        <w:tc>
          <w:tcPr>
            <w:tcW w:w="927"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9.7%</w:t>
            </w:r>
          </w:p>
        </w:tc>
      </w:tr>
      <w:tr w:rsidR="00524485" w:rsidRPr="00524485" w:rsidTr="00524485">
        <w:trPr>
          <w:trHeight w:val="432"/>
          <w:jc w:val="center"/>
        </w:trPr>
        <w:tc>
          <w:tcPr>
            <w:tcW w:w="567" w:type="dxa"/>
            <w:vMerge/>
            <w:tcBorders>
              <w:top w:val="nil"/>
              <w:left w:val="single" w:sz="4" w:space="0" w:color="auto"/>
              <w:bottom w:val="single" w:sz="4" w:space="0" w:color="auto"/>
              <w:right w:val="single" w:sz="4" w:space="0" w:color="auto"/>
            </w:tcBorders>
            <w:vAlign w:val="center"/>
            <w:hideMark/>
          </w:tcPr>
          <w:p w:rsidR="00524485" w:rsidRPr="00524485" w:rsidRDefault="00524485" w:rsidP="00524485">
            <w:pPr>
              <w:pStyle w:val="TableText"/>
              <w:rPr>
                <w:rFonts w:eastAsia="Times New Roman"/>
              </w:rPr>
            </w:pPr>
          </w:p>
        </w:tc>
        <w:tc>
          <w:tcPr>
            <w:tcW w:w="1426"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Kern</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2.2</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62</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35.7</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59.8%</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0.9</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14</w:t>
            </w:r>
          </w:p>
        </w:tc>
        <w:tc>
          <w:tcPr>
            <w:tcW w:w="893"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61.2</w:t>
            </w:r>
          </w:p>
        </w:tc>
        <w:tc>
          <w:tcPr>
            <w:tcW w:w="927"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21.7%</w:t>
            </w:r>
          </w:p>
        </w:tc>
      </w:tr>
      <w:tr w:rsidR="00524485" w:rsidRPr="00524485" w:rsidTr="00524485">
        <w:trPr>
          <w:trHeight w:val="432"/>
          <w:jc w:val="center"/>
        </w:trPr>
        <w:tc>
          <w:tcPr>
            <w:tcW w:w="567" w:type="dxa"/>
            <w:vMerge/>
            <w:tcBorders>
              <w:top w:val="nil"/>
              <w:left w:val="single" w:sz="4" w:space="0" w:color="auto"/>
              <w:bottom w:val="single" w:sz="4" w:space="0" w:color="auto"/>
              <w:right w:val="single" w:sz="4" w:space="0" w:color="auto"/>
            </w:tcBorders>
            <w:vAlign w:val="center"/>
            <w:hideMark/>
          </w:tcPr>
          <w:p w:rsidR="00524485" w:rsidRPr="00524485" w:rsidRDefault="00524485" w:rsidP="00524485">
            <w:pPr>
              <w:pStyle w:val="TableText"/>
              <w:rPr>
                <w:rFonts w:eastAsia="Times New Roman"/>
              </w:rPr>
            </w:pPr>
          </w:p>
        </w:tc>
        <w:tc>
          <w:tcPr>
            <w:tcW w:w="1426"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Northern Coast</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0.1</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5</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13.1</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1.5%</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1.5</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24</w:t>
            </w:r>
          </w:p>
        </w:tc>
        <w:tc>
          <w:tcPr>
            <w:tcW w:w="893"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60.6</w:t>
            </w:r>
          </w:p>
        </w:tc>
        <w:tc>
          <w:tcPr>
            <w:tcW w:w="927"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26.3%</w:t>
            </w:r>
          </w:p>
        </w:tc>
      </w:tr>
      <w:tr w:rsidR="00524485" w:rsidRPr="00524485" w:rsidTr="00524485">
        <w:trPr>
          <w:trHeight w:val="432"/>
          <w:jc w:val="center"/>
        </w:trPr>
        <w:tc>
          <w:tcPr>
            <w:tcW w:w="567" w:type="dxa"/>
            <w:vMerge/>
            <w:tcBorders>
              <w:top w:val="nil"/>
              <w:left w:val="single" w:sz="4" w:space="0" w:color="auto"/>
              <w:bottom w:val="single" w:sz="4" w:space="0" w:color="auto"/>
              <w:right w:val="single" w:sz="4" w:space="0" w:color="auto"/>
            </w:tcBorders>
            <w:vAlign w:val="center"/>
            <w:hideMark/>
          </w:tcPr>
          <w:p w:rsidR="00524485" w:rsidRPr="00524485" w:rsidRDefault="00524485" w:rsidP="00524485">
            <w:pPr>
              <w:pStyle w:val="TableText"/>
              <w:rPr>
                <w:rFonts w:eastAsia="Times New Roman"/>
              </w:rPr>
            </w:pPr>
          </w:p>
        </w:tc>
        <w:tc>
          <w:tcPr>
            <w:tcW w:w="1426"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Other</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5.4</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36</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151.1</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27.4%</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4.8</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49</w:t>
            </w:r>
          </w:p>
        </w:tc>
        <w:tc>
          <w:tcPr>
            <w:tcW w:w="893"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98.3</w:t>
            </w:r>
          </w:p>
        </w:tc>
        <w:tc>
          <w:tcPr>
            <w:tcW w:w="927"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26.2%</w:t>
            </w:r>
          </w:p>
        </w:tc>
      </w:tr>
      <w:tr w:rsidR="00524485" w:rsidRPr="00524485" w:rsidTr="00524485">
        <w:trPr>
          <w:trHeight w:val="432"/>
          <w:jc w:val="center"/>
        </w:trPr>
        <w:tc>
          <w:tcPr>
            <w:tcW w:w="567" w:type="dxa"/>
            <w:vMerge/>
            <w:tcBorders>
              <w:top w:val="nil"/>
              <w:left w:val="single" w:sz="4" w:space="0" w:color="auto"/>
              <w:bottom w:val="single" w:sz="4" w:space="0" w:color="auto"/>
              <w:right w:val="single" w:sz="4" w:space="0" w:color="auto"/>
            </w:tcBorders>
            <w:vAlign w:val="center"/>
            <w:hideMark/>
          </w:tcPr>
          <w:p w:rsidR="00524485" w:rsidRPr="00524485" w:rsidRDefault="00524485" w:rsidP="00524485">
            <w:pPr>
              <w:pStyle w:val="TableText"/>
              <w:rPr>
                <w:rFonts w:eastAsia="Times New Roman"/>
              </w:rPr>
            </w:pPr>
          </w:p>
        </w:tc>
        <w:tc>
          <w:tcPr>
            <w:tcW w:w="1426"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Sierra</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0.0</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5</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8.4</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6.1%</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1.6</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18</w:t>
            </w:r>
          </w:p>
        </w:tc>
        <w:tc>
          <w:tcPr>
            <w:tcW w:w="893"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86.7</w:t>
            </w:r>
          </w:p>
        </w:tc>
        <w:tc>
          <w:tcPr>
            <w:tcW w:w="927"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20.7%</w:t>
            </w:r>
          </w:p>
        </w:tc>
      </w:tr>
      <w:tr w:rsidR="00524485" w:rsidRPr="00524485" w:rsidTr="00524485">
        <w:trPr>
          <w:trHeight w:val="432"/>
          <w:jc w:val="center"/>
        </w:trPr>
        <w:tc>
          <w:tcPr>
            <w:tcW w:w="567" w:type="dxa"/>
            <w:vMerge/>
            <w:tcBorders>
              <w:top w:val="nil"/>
              <w:left w:val="single" w:sz="4" w:space="0" w:color="auto"/>
              <w:bottom w:val="single" w:sz="4" w:space="0" w:color="auto"/>
              <w:right w:val="single" w:sz="4" w:space="0" w:color="auto"/>
            </w:tcBorders>
            <w:vAlign w:val="center"/>
            <w:hideMark/>
          </w:tcPr>
          <w:p w:rsidR="00524485" w:rsidRPr="00524485" w:rsidRDefault="00524485" w:rsidP="00524485">
            <w:pPr>
              <w:pStyle w:val="TableText"/>
              <w:rPr>
                <w:rFonts w:eastAsia="Times New Roman"/>
              </w:rPr>
            </w:pPr>
          </w:p>
        </w:tc>
        <w:tc>
          <w:tcPr>
            <w:tcW w:w="1426"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Stockton</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0.0</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3</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3.8</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5.2%</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0.5</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7</w:t>
            </w:r>
          </w:p>
        </w:tc>
        <w:tc>
          <w:tcPr>
            <w:tcW w:w="893"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64.9</w:t>
            </w:r>
          </w:p>
        </w:tc>
        <w:tc>
          <w:tcPr>
            <w:tcW w:w="927"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14.7%</w:t>
            </w:r>
          </w:p>
        </w:tc>
      </w:tr>
      <w:tr w:rsidR="00524485" w:rsidRPr="00524485" w:rsidTr="00524485">
        <w:trPr>
          <w:trHeight w:val="432"/>
          <w:jc w:val="center"/>
        </w:trPr>
        <w:tc>
          <w:tcPr>
            <w:tcW w:w="5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Size</w:t>
            </w:r>
          </w:p>
        </w:tc>
        <w:tc>
          <w:tcPr>
            <w:tcW w:w="1426"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Greater than 200 kW</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10.0</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68</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146.9</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22.2%</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16.4</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179</w:t>
            </w:r>
          </w:p>
        </w:tc>
        <w:tc>
          <w:tcPr>
            <w:tcW w:w="893"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91.5</w:t>
            </w:r>
          </w:p>
        </w:tc>
        <w:tc>
          <w:tcPr>
            <w:tcW w:w="927"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20.6%</w:t>
            </w:r>
          </w:p>
        </w:tc>
      </w:tr>
      <w:tr w:rsidR="00524485" w:rsidRPr="00524485" w:rsidTr="00524485">
        <w:trPr>
          <w:trHeight w:val="432"/>
          <w:jc w:val="center"/>
        </w:trPr>
        <w:tc>
          <w:tcPr>
            <w:tcW w:w="567" w:type="dxa"/>
            <w:vMerge/>
            <w:tcBorders>
              <w:top w:val="nil"/>
              <w:left w:val="single" w:sz="4" w:space="0" w:color="auto"/>
              <w:bottom w:val="single" w:sz="4" w:space="0" w:color="auto"/>
              <w:right w:val="single" w:sz="4" w:space="0" w:color="auto"/>
            </w:tcBorders>
            <w:vAlign w:val="center"/>
            <w:hideMark/>
          </w:tcPr>
          <w:p w:rsidR="00524485" w:rsidRPr="00524485" w:rsidRDefault="00524485" w:rsidP="00524485">
            <w:pPr>
              <w:pStyle w:val="TableText"/>
              <w:rPr>
                <w:rFonts w:eastAsia="Times New Roman"/>
              </w:rPr>
            </w:pPr>
          </w:p>
        </w:tc>
        <w:tc>
          <w:tcPr>
            <w:tcW w:w="1426"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20 kW to 199.99 kW</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2.1</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66</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32.5</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42.9%</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0.9</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36</w:t>
            </w:r>
          </w:p>
        </w:tc>
        <w:tc>
          <w:tcPr>
            <w:tcW w:w="893"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24.4</w:t>
            </w:r>
          </w:p>
        </w:tc>
        <w:tc>
          <w:tcPr>
            <w:tcW w:w="927"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19.9%</w:t>
            </w:r>
          </w:p>
        </w:tc>
      </w:tr>
      <w:tr w:rsidR="00524485" w:rsidRPr="00524485" w:rsidTr="00524485">
        <w:trPr>
          <w:trHeight w:val="432"/>
          <w:jc w:val="center"/>
        </w:trPr>
        <w:tc>
          <w:tcPr>
            <w:tcW w:w="567" w:type="dxa"/>
            <w:vMerge/>
            <w:tcBorders>
              <w:top w:val="nil"/>
              <w:left w:val="single" w:sz="4" w:space="0" w:color="auto"/>
              <w:bottom w:val="single" w:sz="4" w:space="0" w:color="auto"/>
              <w:right w:val="single" w:sz="4" w:space="0" w:color="auto"/>
            </w:tcBorders>
            <w:vAlign w:val="center"/>
            <w:hideMark/>
          </w:tcPr>
          <w:p w:rsidR="00524485" w:rsidRPr="00524485" w:rsidRDefault="00524485" w:rsidP="00524485">
            <w:pPr>
              <w:pStyle w:val="TableText"/>
              <w:rPr>
                <w:rFonts w:eastAsia="Times New Roman"/>
              </w:rPr>
            </w:pPr>
          </w:p>
        </w:tc>
        <w:tc>
          <w:tcPr>
            <w:tcW w:w="1426"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Less than 20 kW</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-0.1</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51</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-1.4</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N/A</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0.2</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8</w:t>
            </w:r>
          </w:p>
        </w:tc>
        <w:tc>
          <w:tcPr>
            <w:tcW w:w="893"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30.2</w:t>
            </w:r>
          </w:p>
        </w:tc>
        <w:tc>
          <w:tcPr>
            <w:tcW w:w="927"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N/A</w:t>
            </w:r>
          </w:p>
        </w:tc>
      </w:tr>
      <w:tr w:rsidR="00524485" w:rsidRPr="00524485" w:rsidTr="00524485">
        <w:trPr>
          <w:trHeight w:val="432"/>
          <w:jc w:val="center"/>
        </w:trPr>
        <w:tc>
          <w:tcPr>
            <w:tcW w:w="1993"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All Customers</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12.1</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185</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65.2</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24.1%</w:t>
            </w:r>
          </w:p>
        </w:tc>
        <w:tc>
          <w:tcPr>
            <w:tcW w:w="90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17.5</w:t>
            </w:r>
          </w:p>
        </w:tc>
        <w:tc>
          <w:tcPr>
            <w:tcW w:w="990"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224</w:t>
            </w:r>
          </w:p>
        </w:tc>
        <w:tc>
          <w:tcPr>
            <w:tcW w:w="893"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78.1</w:t>
            </w:r>
          </w:p>
        </w:tc>
        <w:tc>
          <w:tcPr>
            <w:tcW w:w="927" w:type="dxa"/>
            <w:tcBorders>
              <w:top w:val="nil"/>
              <w:left w:val="nil"/>
              <w:bottom w:val="single" w:sz="4" w:space="0" w:color="auto"/>
              <w:right w:val="single" w:sz="4" w:space="0" w:color="auto"/>
            </w:tcBorders>
            <w:shd w:val="clear" w:color="auto" w:fill="auto"/>
            <w:noWrap/>
            <w:vAlign w:val="center"/>
            <w:hideMark/>
          </w:tcPr>
          <w:p w:rsidR="00524485" w:rsidRPr="00524485" w:rsidRDefault="00524485" w:rsidP="00524485">
            <w:pPr>
              <w:pStyle w:val="TableText"/>
              <w:rPr>
                <w:rFonts w:eastAsia="Times New Roman"/>
              </w:rPr>
            </w:pPr>
            <w:r w:rsidRPr="00524485">
              <w:rPr>
                <w:rFonts w:eastAsia="Times New Roman"/>
              </w:rPr>
              <w:t>20.8%</w:t>
            </w:r>
          </w:p>
        </w:tc>
      </w:tr>
    </w:tbl>
    <w:p w:rsidR="00E63E3D" w:rsidRDefault="00E63E3D" w:rsidP="0011027B">
      <w:pPr>
        <w:pStyle w:val="BodyParagraph"/>
      </w:pPr>
    </w:p>
    <w:p w:rsidR="00E63E3D" w:rsidRDefault="00E63E3D" w:rsidP="00E63E3D">
      <w:pPr>
        <w:pStyle w:val="Heading2"/>
      </w:pPr>
      <w:bookmarkStart w:id="386" w:name="_Toc326074040"/>
      <w:bookmarkStart w:id="387" w:name="_Toc324511271"/>
      <w:r>
        <w:rPr>
          <w:rStyle w:val="Heading2Char"/>
        </w:rPr>
        <w:t>Comparison with Previous Ex Ante Estimates</w:t>
      </w:r>
      <w:bookmarkEnd w:id="386"/>
    </w:p>
    <w:p w:rsidR="00F66D5E" w:rsidRDefault="009C71DA" w:rsidP="00F66D5E">
      <w:pPr>
        <w:pStyle w:val="BodyParagraph"/>
      </w:pPr>
      <w:r>
        <w:t xml:space="preserve">For the </w:t>
      </w:r>
      <w:r w:rsidR="006827F3">
        <w:t>201</w:t>
      </w:r>
      <w:r>
        <w:t>0 evaluation</w:t>
      </w:r>
      <w:r w:rsidR="006827F3">
        <w:t xml:space="preserve">, </w:t>
      </w:r>
      <w:r w:rsidR="00E63E3D">
        <w:t xml:space="preserve">Christensen Associates Energy Consulting </w:t>
      </w:r>
      <w:r w:rsidR="006827F3">
        <w:t>produced ex ante load impact estimates for PG&amp;E’s CBP and AMP programs</w:t>
      </w:r>
      <w:r w:rsidR="00E63E3D">
        <w:t>.</w:t>
      </w:r>
      <w:r w:rsidR="006827F3">
        <w:t xml:space="preserve">  </w:t>
      </w:r>
      <w:r w:rsidR="00C61D83">
        <w:fldChar w:fldCharType="begin"/>
      </w:r>
      <w:r w:rsidR="006827F3">
        <w:instrText xml:space="preserve"> REF _Ref325457138 \h </w:instrText>
      </w:r>
      <w:r w:rsidR="00380238">
        <w:instrText xml:space="preserve"> \* MERGEFORMAT </w:instrText>
      </w:r>
      <w:r w:rsidR="00C61D83">
        <w:fldChar w:fldCharType="separate"/>
      </w:r>
    </w:p>
    <w:p w:rsidR="009C71DA" w:rsidRDefault="00F66D5E" w:rsidP="00040046">
      <w:pPr>
        <w:pStyle w:val="BodyParagraph"/>
      </w:pPr>
      <w:r w:rsidRPr="009C71DA">
        <w:t xml:space="preserve">Table </w:t>
      </w:r>
      <w:r>
        <w:rPr>
          <w:noProof/>
        </w:rPr>
        <w:t>7</w:t>
      </w:r>
      <w:r>
        <w:noBreakHyphen/>
      </w:r>
      <w:r>
        <w:rPr>
          <w:noProof/>
        </w:rPr>
        <w:t>9</w:t>
      </w:r>
      <w:r w:rsidR="00C61D83">
        <w:fldChar w:fldCharType="end"/>
      </w:r>
      <w:r w:rsidR="006827F3">
        <w:t xml:space="preserve"> compares CAEC’s ex ante load impact estimates </w:t>
      </w:r>
      <w:r w:rsidR="009C71DA">
        <w:t xml:space="preserve">for 2012 </w:t>
      </w:r>
      <w:r w:rsidR="006827F3">
        <w:t xml:space="preserve">to those developed by FSC this year.  </w:t>
      </w:r>
      <w:r w:rsidR="009C71DA">
        <w:t>During the year that elapsed</w:t>
      </w:r>
      <w:r w:rsidR="006827F3">
        <w:t xml:space="preserve">, </w:t>
      </w:r>
      <w:r w:rsidR="009C71DA">
        <w:t>a</w:t>
      </w:r>
      <w:r w:rsidR="009C71DA" w:rsidRPr="009C71DA">
        <w:t xml:space="preserve"> substantial number of customers </w:t>
      </w:r>
      <w:r w:rsidR="00040046">
        <w:t>migrated</w:t>
      </w:r>
      <w:r w:rsidR="009C71DA" w:rsidRPr="009C71DA">
        <w:t xml:space="preserve"> between programs, with CBP</w:t>
      </w:r>
      <w:r w:rsidR="009C71DA">
        <w:t xml:space="preserve"> customers transferring to AMP.</w:t>
      </w:r>
      <w:r w:rsidR="006827F3">
        <w:t xml:space="preserve"> </w:t>
      </w:r>
      <w:r w:rsidR="00040046">
        <w:t xml:space="preserve"> </w:t>
      </w:r>
      <w:r w:rsidR="00040046" w:rsidRPr="009C71DA">
        <w:t>These customers are smaller than prior AMP customers but larger than remaining CBP customers—and so they cause AMP per-customer impacts to go down on average.</w:t>
      </w:r>
      <w:r w:rsidR="006827F3">
        <w:t xml:space="preserve">  This combination of changing enrollments and customer mix within each program are largely responsible for the changes in the ex ante aggregate impacts for each program.</w:t>
      </w:r>
    </w:p>
    <w:p w:rsidR="00040046" w:rsidRDefault="00040046" w:rsidP="00040046">
      <w:pPr>
        <w:pStyle w:val="BodyParagraph"/>
      </w:pPr>
      <w:r>
        <w:lastRenderedPageBreak/>
        <w:t>The ex ante estimates assumed that the customer mix would be similar</w:t>
      </w:r>
      <w:r w:rsidRPr="00040046">
        <w:t xml:space="preserve">. </w:t>
      </w:r>
      <w:r>
        <w:t xml:space="preserve"> Across all aggregator programs that is largely true.  However, the mix for specific program options changed with the migration of participants across options.  The ex ante results from this year factor in those shifts.  Across all aggregator programs, last year forecast predicted 243.5 MW for 2012 and this </w:t>
      </w:r>
      <w:r w:rsidR="00524485">
        <w:t>year’s forecast predicts 228.2</w:t>
      </w:r>
      <w:r>
        <w:t xml:space="preserve"> MW, or 94% of last year’s forecast, for 2012. </w:t>
      </w:r>
    </w:p>
    <w:p w:rsidR="009C71DA" w:rsidRDefault="009C71DA" w:rsidP="009C71DA">
      <w:pPr>
        <w:pStyle w:val="TableFigureCaption"/>
      </w:pPr>
      <w:bookmarkStart w:id="388" w:name="_Ref325457138"/>
    </w:p>
    <w:p w:rsidR="006827F3" w:rsidRDefault="006827F3" w:rsidP="009C71DA">
      <w:pPr>
        <w:pStyle w:val="TableFigureCaption"/>
        <w:rPr>
          <w:bCs/>
        </w:rPr>
      </w:pPr>
      <w:r w:rsidRPr="009C71DA">
        <w:t xml:space="preserve">Table </w:t>
      </w:r>
      <w:fldSimple w:instr=" STYLEREF 1 \s ">
        <w:r w:rsidR="00F66D5E">
          <w:rPr>
            <w:noProof/>
          </w:rPr>
          <w:t>7</w:t>
        </w:r>
      </w:fldSimple>
      <w:r w:rsidR="00F55000">
        <w:noBreakHyphen/>
      </w:r>
      <w:fldSimple w:instr=" SEQ Table \* ARABIC \s 1 ">
        <w:r w:rsidR="00F66D5E">
          <w:rPr>
            <w:noProof/>
          </w:rPr>
          <w:t>9</w:t>
        </w:r>
      </w:fldSimple>
      <w:bookmarkEnd w:id="388"/>
      <w:r w:rsidRPr="009C71DA">
        <w:t>:</w:t>
      </w:r>
    </w:p>
    <w:p w:rsidR="006827F3" w:rsidRPr="006827F3" w:rsidRDefault="006C6F3A" w:rsidP="009C71DA">
      <w:pPr>
        <w:pStyle w:val="TableFigureCaption"/>
        <w:rPr>
          <w:bCs/>
        </w:rPr>
      </w:pPr>
      <w:r>
        <w:t xml:space="preserve">Comparison of </w:t>
      </w:r>
      <w:r w:rsidR="006827F3" w:rsidRPr="00D666BC">
        <w:t>2012 Ex</w:t>
      </w:r>
      <w:r w:rsidR="006827F3" w:rsidRPr="0038124C">
        <w:t xml:space="preserve"> Ante </w:t>
      </w:r>
      <w:r w:rsidR="006827F3">
        <w:t>Load Impact Estimates for PG&amp;E</w:t>
      </w:r>
    </w:p>
    <w:tbl>
      <w:tblPr>
        <w:tblW w:w="7282" w:type="dxa"/>
        <w:jc w:val="center"/>
        <w:tblInd w:w="95" w:type="dxa"/>
        <w:tblLook w:val="04A0"/>
      </w:tblPr>
      <w:tblGrid>
        <w:gridCol w:w="1039"/>
        <w:gridCol w:w="1153"/>
        <w:gridCol w:w="1250"/>
        <w:gridCol w:w="960"/>
        <w:gridCol w:w="960"/>
        <w:gridCol w:w="960"/>
        <w:gridCol w:w="960"/>
      </w:tblGrid>
      <w:tr w:rsidR="00524485" w:rsidRPr="00524485" w:rsidTr="00863F0C">
        <w:trPr>
          <w:trHeight w:val="288"/>
          <w:jc w:val="center"/>
        </w:trPr>
        <w:tc>
          <w:tcPr>
            <w:tcW w:w="1039" w:type="dxa"/>
            <w:vMerge w:val="restart"/>
            <w:tcBorders>
              <w:top w:val="nil"/>
              <w:left w:val="nil"/>
              <w:bottom w:val="single" w:sz="4" w:space="0" w:color="FFFFFF"/>
              <w:right w:val="single" w:sz="4" w:space="0" w:color="FFFFFF"/>
            </w:tcBorders>
            <w:shd w:val="clear" w:color="000000" w:fill="1F497D"/>
            <w:noWrap/>
            <w:vAlign w:val="bottom"/>
            <w:hideMark/>
          </w:tcPr>
          <w:p w:rsidR="00524485" w:rsidRPr="00524485" w:rsidRDefault="00524485" w:rsidP="00524485">
            <w:pPr>
              <w:pStyle w:val="TableHeader"/>
              <w:rPr>
                <w:rFonts w:eastAsia="Times New Roman"/>
              </w:rPr>
            </w:pPr>
            <w:r w:rsidRPr="00524485">
              <w:rPr>
                <w:rFonts w:eastAsia="Times New Roman"/>
              </w:rPr>
              <w:t>Program</w:t>
            </w:r>
          </w:p>
        </w:tc>
        <w:tc>
          <w:tcPr>
            <w:tcW w:w="2403" w:type="dxa"/>
            <w:gridSpan w:val="2"/>
            <w:tcBorders>
              <w:top w:val="nil"/>
              <w:left w:val="nil"/>
              <w:bottom w:val="single" w:sz="4" w:space="0" w:color="FFFFFF"/>
              <w:right w:val="nil"/>
            </w:tcBorders>
            <w:shd w:val="clear" w:color="000000" w:fill="1F497D"/>
            <w:vAlign w:val="bottom"/>
            <w:hideMark/>
          </w:tcPr>
          <w:p w:rsidR="00524485" w:rsidRPr="00524485" w:rsidRDefault="00524485" w:rsidP="00524485">
            <w:pPr>
              <w:pStyle w:val="TableHeader"/>
              <w:rPr>
                <w:rFonts w:eastAsia="Times New Roman"/>
              </w:rPr>
            </w:pPr>
            <w:r w:rsidRPr="00524485">
              <w:rPr>
                <w:rFonts w:eastAsia="Times New Roman"/>
              </w:rPr>
              <w:t>2012 Per Customer Impacts (kW)</w:t>
            </w:r>
          </w:p>
        </w:tc>
        <w:tc>
          <w:tcPr>
            <w:tcW w:w="1920" w:type="dxa"/>
            <w:gridSpan w:val="2"/>
            <w:tcBorders>
              <w:top w:val="nil"/>
              <w:left w:val="single" w:sz="4" w:space="0" w:color="FFFFFF"/>
              <w:bottom w:val="single" w:sz="4" w:space="0" w:color="FFFFFF"/>
              <w:right w:val="single" w:sz="4" w:space="0" w:color="FFFFFF"/>
            </w:tcBorders>
            <w:shd w:val="clear" w:color="000000" w:fill="1F497D"/>
            <w:vAlign w:val="bottom"/>
            <w:hideMark/>
          </w:tcPr>
          <w:p w:rsidR="00524485" w:rsidRPr="00524485" w:rsidRDefault="00524485" w:rsidP="00524485">
            <w:pPr>
              <w:pStyle w:val="TableHeader"/>
              <w:rPr>
                <w:rFonts w:eastAsia="Times New Roman"/>
              </w:rPr>
            </w:pPr>
            <w:r w:rsidRPr="00524485">
              <w:rPr>
                <w:rFonts w:eastAsia="Times New Roman"/>
              </w:rPr>
              <w:t>2012 Nominations</w:t>
            </w:r>
          </w:p>
        </w:tc>
        <w:tc>
          <w:tcPr>
            <w:tcW w:w="1920" w:type="dxa"/>
            <w:gridSpan w:val="2"/>
            <w:tcBorders>
              <w:top w:val="nil"/>
              <w:left w:val="nil"/>
              <w:bottom w:val="single" w:sz="4" w:space="0" w:color="FFFFFF"/>
              <w:right w:val="nil"/>
            </w:tcBorders>
            <w:shd w:val="clear" w:color="000000" w:fill="1F497D"/>
            <w:vAlign w:val="bottom"/>
            <w:hideMark/>
          </w:tcPr>
          <w:p w:rsidR="00524485" w:rsidRPr="00524485" w:rsidRDefault="00524485" w:rsidP="00524485">
            <w:pPr>
              <w:pStyle w:val="TableHeader"/>
              <w:rPr>
                <w:rFonts w:eastAsia="Times New Roman"/>
              </w:rPr>
            </w:pPr>
            <w:r w:rsidRPr="00524485">
              <w:rPr>
                <w:rFonts w:eastAsia="Times New Roman"/>
              </w:rPr>
              <w:t>2012 Aggregate Impacts (MW)</w:t>
            </w:r>
          </w:p>
        </w:tc>
      </w:tr>
      <w:tr w:rsidR="00524485" w:rsidRPr="00524485" w:rsidTr="00863F0C">
        <w:trPr>
          <w:trHeight w:val="540"/>
          <w:jc w:val="center"/>
        </w:trPr>
        <w:tc>
          <w:tcPr>
            <w:tcW w:w="1039" w:type="dxa"/>
            <w:vMerge/>
            <w:tcBorders>
              <w:top w:val="nil"/>
              <w:left w:val="nil"/>
              <w:bottom w:val="single" w:sz="4" w:space="0" w:color="FFFFFF"/>
              <w:right w:val="single" w:sz="4" w:space="0" w:color="FFFFFF"/>
            </w:tcBorders>
            <w:vAlign w:val="center"/>
            <w:hideMark/>
          </w:tcPr>
          <w:p w:rsidR="00524485" w:rsidRPr="00524485" w:rsidRDefault="00524485" w:rsidP="00524485">
            <w:pPr>
              <w:pStyle w:val="TableHeader"/>
              <w:rPr>
                <w:rFonts w:eastAsia="Times New Roman"/>
              </w:rPr>
            </w:pPr>
          </w:p>
        </w:tc>
        <w:tc>
          <w:tcPr>
            <w:tcW w:w="1153" w:type="dxa"/>
            <w:tcBorders>
              <w:top w:val="nil"/>
              <w:left w:val="nil"/>
              <w:bottom w:val="nil"/>
              <w:right w:val="single" w:sz="4" w:space="0" w:color="FFFFFF"/>
            </w:tcBorders>
            <w:shd w:val="clear" w:color="000000" w:fill="1F497D"/>
            <w:vAlign w:val="bottom"/>
            <w:hideMark/>
          </w:tcPr>
          <w:p w:rsidR="00524485" w:rsidRPr="00524485" w:rsidRDefault="00524485" w:rsidP="00524485">
            <w:pPr>
              <w:pStyle w:val="TableHeader"/>
              <w:rPr>
                <w:rFonts w:eastAsia="Times New Roman"/>
              </w:rPr>
            </w:pPr>
            <w:r w:rsidRPr="00524485">
              <w:rPr>
                <w:rFonts w:eastAsia="Times New Roman"/>
              </w:rPr>
              <w:t>2010 CAEC</w:t>
            </w:r>
          </w:p>
        </w:tc>
        <w:tc>
          <w:tcPr>
            <w:tcW w:w="1250" w:type="dxa"/>
            <w:tcBorders>
              <w:top w:val="nil"/>
              <w:left w:val="nil"/>
              <w:bottom w:val="nil"/>
              <w:right w:val="single" w:sz="4" w:space="0" w:color="FFFFFF"/>
            </w:tcBorders>
            <w:shd w:val="clear" w:color="000000" w:fill="1F497D"/>
            <w:noWrap/>
            <w:vAlign w:val="bottom"/>
            <w:hideMark/>
          </w:tcPr>
          <w:p w:rsidR="00524485" w:rsidRPr="00524485" w:rsidRDefault="00524485" w:rsidP="00524485">
            <w:pPr>
              <w:pStyle w:val="TableHeader"/>
              <w:rPr>
                <w:rFonts w:eastAsia="Times New Roman"/>
              </w:rPr>
            </w:pPr>
            <w:r w:rsidRPr="00524485">
              <w:rPr>
                <w:rFonts w:eastAsia="Times New Roman"/>
              </w:rPr>
              <w:t>2011 FSC</w:t>
            </w:r>
          </w:p>
        </w:tc>
        <w:tc>
          <w:tcPr>
            <w:tcW w:w="960" w:type="dxa"/>
            <w:tcBorders>
              <w:top w:val="nil"/>
              <w:left w:val="nil"/>
              <w:bottom w:val="nil"/>
              <w:right w:val="single" w:sz="4" w:space="0" w:color="FFFFFF"/>
            </w:tcBorders>
            <w:shd w:val="clear" w:color="000000" w:fill="1F497D"/>
            <w:vAlign w:val="bottom"/>
            <w:hideMark/>
          </w:tcPr>
          <w:p w:rsidR="00524485" w:rsidRPr="00524485" w:rsidRDefault="00524485" w:rsidP="00524485">
            <w:pPr>
              <w:pStyle w:val="TableHeader"/>
              <w:rPr>
                <w:rFonts w:eastAsia="Times New Roman"/>
              </w:rPr>
            </w:pPr>
            <w:r w:rsidRPr="00524485">
              <w:rPr>
                <w:rFonts w:eastAsia="Times New Roman"/>
              </w:rPr>
              <w:t>2010 CAEC</w:t>
            </w:r>
          </w:p>
        </w:tc>
        <w:tc>
          <w:tcPr>
            <w:tcW w:w="960" w:type="dxa"/>
            <w:tcBorders>
              <w:top w:val="nil"/>
              <w:left w:val="nil"/>
              <w:bottom w:val="nil"/>
              <w:right w:val="single" w:sz="4" w:space="0" w:color="FFFFFF"/>
            </w:tcBorders>
            <w:shd w:val="clear" w:color="000000" w:fill="1F497D"/>
            <w:noWrap/>
            <w:vAlign w:val="bottom"/>
            <w:hideMark/>
          </w:tcPr>
          <w:p w:rsidR="00524485" w:rsidRPr="00524485" w:rsidRDefault="00524485" w:rsidP="00524485">
            <w:pPr>
              <w:pStyle w:val="TableHeader"/>
              <w:rPr>
                <w:rFonts w:eastAsia="Times New Roman"/>
              </w:rPr>
            </w:pPr>
            <w:r w:rsidRPr="00524485">
              <w:rPr>
                <w:rFonts w:eastAsia="Times New Roman"/>
              </w:rPr>
              <w:t>2011 FSC</w:t>
            </w:r>
          </w:p>
        </w:tc>
        <w:tc>
          <w:tcPr>
            <w:tcW w:w="960" w:type="dxa"/>
            <w:tcBorders>
              <w:top w:val="nil"/>
              <w:left w:val="nil"/>
              <w:bottom w:val="nil"/>
              <w:right w:val="single" w:sz="4" w:space="0" w:color="FFFFFF"/>
            </w:tcBorders>
            <w:shd w:val="clear" w:color="000000" w:fill="1F497D"/>
            <w:vAlign w:val="bottom"/>
            <w:hideMark/>
          </w:tcPr>
          <w:p w:rsidR="00524485" w:rsidRPr="00524485" w:rsidRDefault="00524485" w:rsidP="00524485">
            <w:pPr>
              <w:pStyle w:val="TableHeader"/>
              <w:rPr>
                <w:rFonts w:eastAsia="Times New Roman"/>
              </w:rPr>
            </w:pPr>
            <w:r w:rsidRPr="00524485">
              <w:rPr>
                <w:rFonts w:eastAsia="Times New Roman"/>
              </w:rPr>
              <w:t>2010 CAEC</w:t>
            </w:r>
          </w:p>
        </w:tc>
        <w:tc>
          <w:tcPr>
            <w:tcW w:w="960" w:type="dxa"/>
            <w:tcBorders>
              <w:top w:val="nil"/>
              <w:left w:val="nil"/>
              <w:bottom w:val="nil"/>
              <w:right w:val="single" w:sz="4" w:space="0" w:color="FFFFFF"/>
            </w:tcBorders>
            <w:shd w:val="clear" w:color="000000" w:fill="1F497D"/>
            <w:noWrap/>
            <w:vAlign w:val="bottom"/>
            <w:hideMark/>
          </w:tcPr>
          <w:p w:rsidR="00524485" w:rsidRPr="00524485" w:rsidRDefault="00524485" w:rsidP="00524485">
            <w:pPr>
              <w:pStyle w:val="TableHeader"/>
              <w:rPr>
                <w:rFonts w:eastAsia="Times New Roman"/>
              </w:rPr>
            </w:pPr>
            <w:r w:rsidRPr="00524485">
              <w:rPr>
                <w:rFonts w:eastAsia="Times New Roman"/>
              </w:rPr>
              <w:t>2011 FSC</w:t>
            </w:r>
          </w:p>
        </w:tc>
      </w:tr>
      <w:tr w:rsidR="00524485" w:rsidRPr="00524485" w:rsidTr="00863F0C">
        <w:trPr>
          <w:trHeight w:val="288"/>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AMP</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190.3</w:t>
            </w:r>
          </w:p>
        </w:tc>
        <w:tc>
          <w:tcPr>
            <w:tcW w:w="1250" w:type="dxa"/>
            <w:tcBorders>
              <w:top w:val="single" w:sz="4" w:space="0" w:color="auto"/>
              <w:left w:val="nil"/>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124.8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993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1591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189.0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198.6</w:t>
            </w:r>
          </w:p>
        </w:tc>
      </w:tr>
      <w:tr w:rsidR="00524485" w:rsidRPr="00524485" w:rsidTr="00863F0C">
        <w:trPr>
          <w:trHeight w:val="288"/>
          <w:jc w:val="center"/>
        </w:trPr>
        <w:tc>
          <w:tcPr>
            <w:tcW w:w="1039" w:type="dxa"/>
            <w:tcBorders>
              <w:top w:val="nil"/>
              <w:left w:val="single" w:sz="4" w:space="0" w:color="auto"/>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CBP</w:t>
            </w:r>
          </w:p>
        </w:tc>
        <w:tc>
          <w:tcPr>
            <w:tcW w:w="1153" w:type="dxa"/>
            <w:tcBorders>
              <w:top w:val="nil"/>
              <w:left w:val="nil"/>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50.0</w:t>
            </w:r>
          </w:p>
        </w:tc>
        <w:tc>
          <w:tcPr>
            <w:tcW w:w="1250" w:type="dxa"/>
            <w:tcBorders>
              <w:top w:val="nil"/>
              <w:left w:val="nil"/>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72.3</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1090</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409</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54.5</w:t>
            </w:r>
          </w:p>
        </w:tc>
        <w:tc>
          <w:tcPr>
            <w:tcW w:w="960" w:type="dxa"/>
            <w:tcBorders>
              <w:top w:val="nil"/>
              <w:left w:val="nil"/>
              <w:bottom w:val="single" w:sz="4" w:space="0" w:color="auto"/>
              <w:right w:val="single" w:sz="4" w:space="0" w:color="auto"/>
            </w:tcBorders>
            <w:shd w:val="clear" w:color="auto" w:fill="auto"/>
            <w:noWrap/>
            <w:vAlign w:val="bottom"/>
            <w:hideMark/>
          </w:tcPr>
          <w:p w:rsidR="00524485" w:rsidRPr="00863F0C" w:rsidRDefault="00524485" w:rsidP="00863F0C">
            <w:pPr>
              <w:pStyle w:val="TableText"/>
              <w:rPr>
                <w:szCs w:val="20"/>
              </w:rPr>
            </w:pPr>
            <w:r w:rsidRPr="00863F0C">
              <w:rPr>
                <w:szCs w:val="20"/>
              </w:rPr>
              <w:t>29.6</w:t>
            </w:r>
          </w:p>
        </w:tc>
      </w:tr>
    </w:tbl>
    <w:p w:rsidR="00E63E3D" w:rsidRDefault="00E63E3D" w:rsidP="00E63E3D">
      <w:pPr>
        <w:pStyle w:val="Heading2"/>
        <w:numPr>
          <w:ilvl w:val="0"/>
          <w:numId w:val="0"/>
        </w:numPr>
      </w:pPr>
    </w:p>
    <w:p w:rsidR="009C71DA" w:rsidRDefault="009C71DA" w:rsidP="009C71DA">
      <w:pPr>
        <w:rPr>
          <w:rFonts w:ascii="Calibri" w:eastAsiaTheme="minorHAnsi" w:hAnsi="Calibri" w:cs="Calibri"/>
        </w:rPr>
      </w:pPr>
    </w:p>
    <w:p w:rsidR="002070AB" w:rsidRPr="0011027B" w:rsidRDefault="002070AB" w:rsidP="0011027B">
      <w:pPr>
        <w:pStyle w:val="Heading1"/>
      </w:pPr>
      <w:r>
        <w:br w:type="column"/>
      </w:r>
      <w:bookmarkStart w:id="389" w:name="_Toc326074041"/>
      <w:r w:rsidRPr="0011027B">
        <w:lastRenderedPageBreak/>
        <w:t>Ex Ante Load Impact Estimates for SCE’s DRRC and CBP Programs</w:t>
      </w:r>
      <w:bookmarkEnd w:id="387"/>
      <w:bookmarkEnd w:id="389"/>
    </w:p>
    <w:p w:rsidR="002070AB" w:rsidRDefault="002070AB" w:rsidP="002070AB">
      <w:pPr>
        <w:pStyle w:val="BodyParagraph"/>
      </w:pPr>
      <w:r w:rsidRPr="007954D4">
        <w:t xml:space="preserve">This section presents ex ante load impact estimates for </w:t>
      </w:r>
      <w:r>
        <w:t>SCE's</w:t>
      </w:r>
      <w:r w:rsidRPr="007954D4">
        <w:t xml:space="preserve"> </w:t>
      </w:r>
      <w:r>
        <w:t xml:space="preserve">CBP and DRRC programs.  The main purpose of ex ante load impact estimates is to reflect the load reduction capability of a DR resource under a standard set of conditions that align with system planning.  These estimates are used in assessing alternatives for meeting peak demand, cost-effectiveness comparisons and long-term planning.  </w:t>
      </w:r>
    </w:p>
    <w:p w:rsidR="002070AB" w:rsidRDefault="002070AB" w:rsidP="002070AB">
      <w:pPr>
        <w:pStyle w:val="BodyParagraph"/>
      </w:pPr>
      <w:r>
        <w:t xml:space="preserve">The </w:t>
      </w:r>
      <w:r w:rsidRPr="00B73C21">
        <w:t xml:space="preserve">remainder of this section separately presents the ex ante load impact projections for </w:t>
      </w:r>
      <w:r>
        <w:t xml:space="preserve">DRRC and CBP </w:t>
      </w:r>
      <w:r w:rsidRPr="00B73C21">
        <w:t xml:space="preserve">customers projected to </w:t>
      </w:r>
      <w:r>
        <w:t>be nominated for DR resources</w:t>
      </w:r>
      <w:r w:rsidRPr="00B73C21">
        <w:t xml:space="preserve">.  </w:t>
      </w:r>
      <w:r>
        <w:t>T</w:t>
      </w:r>
      <w:r w:rsidRPr="00B73C21">
        <w:t>he load reduction capability is summarized during annual system peak day condition</w:t>
      </w:r>
      <w:r>
        <w:t>s for</w:t>
      </w:r>
      <w:r w:rsidRPr="00B73C21">
        <w:t xml:space="preserve"> </w:t>
      </w:r>
      <w:r>
        <w:t xml:space="preserve">a </w:t>
      </w:r>
      <w:r w:rsidRPr="00B73C21">
        <w:t>1-in-2 and a 1</w:t>
      </w:r>
      <w:r>
        <w:t>-in-10 weather year for the 2012 to 2022</w:t>
      </w:r>
      <w:r w:rsidRPr="00B73C21">
        <w:t xml:space="preserve"> period.  In addition, this section </w:t>
      </w:r>
      <w:r>
        <w:t xml:space="preserve">illustrates </w:t>
      </w:r>
      <w:r w:rsidRPr="00B73C21">
        <w:t xml:space="preserve">how impacts </w:t>
      </w:r>
      <w:r>
        <w:t xml:space="preserve">per customer </w:t>
      </w:r>
      <w:r w:rsidRPr="00B73C21">
        <w:t>vary by geographic location</w:t>
      </w:r>
      <w:r>
        <w:t>, customer size</w:t>
      </w:r>
      <w:r w:rsidRPr="00B73C21">
        <w:t xml:space="preserve"> and month under the standardized ex ante conditions.</w:t>
      </w:r>
    </w:p>
    <w:p w:rsidR="002070AB" w:rsidRDefault="002070AB" w:rsidP="002070AB">
      <w:pPr>
        <w:pStyle w:val="BodyParagraph"/>
      </w:pPr>
      <w:r>
        <w:t>Note that ex ante load impacts will differ from ex post load impacts.  Ex post estimates are based on actual DRRC and CBP events called in 2010 and 2011, which did not always solicit resources from every nominated account.  In contrast, ex ante estimates illustrate resources available when all nominated accounts are solicited for an event.</w:t>
      </w:r>
    </w:p>
    <w:p w:rsidR="002070AB" w:rsidRDefault="00FD558F" w:rsidP="002070AB">
      <w:pPr>
        <w:pStyle w:val="Heading2"/>
      </w:pPr>
      <w:bookmarkStart w:id="390" w:name="_Toc326074042"/>
      <w:r>
        <w:t>Ex Ante Load Impact Estimates for Demand Response Resource Contracts</w:t>
      </w:r>
      <w:bookmarkEnd w:id="390"/>
    </w:p>
    <w:p w:rsidR="002070AB" w:rsidRDefault="00C61D83" w:rsidP="002070AB">
      <w:pPr>
        <w:pStyle w:val="BodyParagraph"/>
      </w:pPr>
      <w:fldSimple w:instr=" REF _Ref323654806 ">
        <w:r w:rsidR="00F66D5E" w:rsidRPr="00AF1031">
          <w:t xml:space="preserve">Table </w:t>
        </w:r>
        <w:r w:rsidR="00F66D5E">
          <w:rPr>
            <w:noProof/>
          </w:rPr>
          <w:t>8</w:t>
        </w:r>
        <w:r w:rsidR="00F66D5E">
          <w:noBreakHyphen/>
        </w:r>
        <w:r w:rsidR="00F66D5E">
          <w:rPr>
            <w:noProof/>
          </w:rPr>
          <w:t>1</w:t>
        </w:r>
      </w:fldSimple>
      <w:r w:rsidR="002070AB">
        <w:t xml:space="preserve"> presents annual enrollment and nominations forecasts for the DRRC program through 2022.  </w:t>
      </w:r>
      <w:r w:rsidR="00053F5A">
        <w:t xml:space="preserve">SCE forecasts 10% growth in DRRC nominations through 2014, at which point enrollments remain unchanged.  We assume the growth comes from CBP products and customer segments proportional to those observed in 2011.  </w:t>
      </w:r>
      <w:r w:rsidR="002070AB">
        <w:t xml:space="preserve">We </w:t>
      </w:r>
      <w:r w:rsidR="00053F5A">
        <w:t xml:space="preserve">also </w:t>
      </w:r>
      <w:r w:rsidR="002070AB">
        <w:t xml:space="preserve">assume that the proportion of customers nominated for a given event will match the average proportion observed during events in 2010 and 2011. </w:t>
      </w:r>
    </w:p>
    <w:p w:rsidR="002070AB" w:rsidRDefault="002070AB" w:rsidP="002070AB">
      <w:pPr>
        <w:pStyle w:val="TableFigureCaption"/>
      </w:pPr>
      <w:bookmarkStart w:id="391" w:name="_Ref323654806"/>
      <w:r w:rsidRPr="00AF1031">
        <w:t xml:space="preserve">Table </w:t>
      </w:r>
      <w:fldSimple w:instr=" STYLEREF 1 \s ">
        <w:r w:rsidR="00F66D5E">
          <w:rPr>
            <w:noProof/>
          </w:rPr>
          <w:t>8</w:t>
        </w:r>
      </w:fldSimple>
      <w:r w:rsidR="00F55000">
        <w:noBreakHyphen/>
      </w:r>
      <w:fldSimple w:instr=" SEQ Table \* ARABIC \s 1 ">
        <w:r w:rsidR="00F66D5E">
          <w:rPr>
            <w:noProof/>
          </w:rPr>
          <w:t>1</w:t>
        </w:r>
      </w:fldSimple>
      <w:bookmarkEnd w:id="391"/>
      <w:r w:rsidRPr="00AF1031">
        <w:t>:</w:t>
      </w:r>
    </w:p>
    <w:p w:rsidR="002070AB" w:rsidRPr="00AF1031" w:rsidRDefault="002070AB" w:rsidP="002070AB">
      <w:pPr>
        <w:pStyle w:val="TableFigureCaption"/>
      </w:pPr>
      <w:r>
        <w:t>SC</w:t>
      </w:r>
      <w:r w:rsidRPr="00AF1031">
        <w:t xml:space="preserve">E’s </w:t>
      </w:r>
      <w:r w:rsidR="002F4C6B">
        <w:t xml:space="preserve">August </w:t>
      </w:r>
      <w:r>
        <w:t>Enrollment and Nominations</w:t>
      </w:r>
      <w:r w:rsidRPr="00AF1031">
        <w:t xml:space="preserve"> Projections for </w:t>
      </w:r>
      <w:r>
        <w:t>DRRC</w:t>
      </w:r>
      <w:r w:rsidRPr="00AF1031">
        <w:t xml:space="preserve"> </w:t>
      </w:r>
      <w:r>
        <w:t>by Forecast Year</w:t>
      </w:r>
    </w:p>
    <w:tbl>
      <w:tblPr>
        <w:tblW w:w="5460" w:type="dxa"/>
        <w:jc w:val="center"/>
        <w:tblInd w:w="95" w:type="dxa"/>
        <w:tblLook w:val="04A0"/>
      </w:tblPr>
      <w:tblGrid>
        <w:gridCol w:w="1620"/>
        <w:gridCol w:w="950"/>
        <w:gridCol w:w="1184"/>
        <w:gridCol w:w="950"/>
        <w:gridCol w:w="1184"/>
      </w:tblGrid>
      <w:tr w:rsidR="00603093" w:rsidRPr="00603093" w:rsidTr="00603093">
        <w:trPr>
          <w:trHeight w:val="300"/>
          <w:jc w:val="center"/>
        </w:trPr>
        <w:tc>
          <w:tcPr>
            <w:tcW w:w="1620" w:type="dxa"/>
            <w:vMerge w:val="restart"/>
            <w:tcBorders>
              <w:top w:val="nil"/>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20"/>
                <w:szCs w:val="20"/>
              </w:rPr>
            </w:pPr>
            <w:r w:rsidRPr="00603093">
              <w:rPr>
                <w:rFonts w:ascii="Arial" w:eastAsia="Times New Roman" w:hAnsi="Arial" w:cs="Arial"/>
                <w:color w:val="FFFFFF"/>
                <w:sz w:val="20"/>
                <w:szCs w:val="20"/>
              </w:rPr>
              <w:t>Forecast Year</w:t>
            </w:r>
          </w:p>
        </w:tc>
        <w:tc>
          <w:tcPr>
            <w:tcW w:w="3840" w:type="dxa"/>
            <w:gridSpan w:val="4"/>
            <w:tcBorders>
              <w:top w:val="nil"/>
              <w:left w:val="nil"/>
              <w:bottom w:val="single" w:sz="8" w:space="0" w:color="FFFFFF"/>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20"/>
                <w:szCs w:val="20"/>
              </w:rPr>
            </w:pPr>
            <w:r w:rsidRPr="00603093">
              <w:rPr>
                <w:rFonts w:ascii="Arial" w:eastAsia="Times New Roman" w:hAnsi="Arial" w:cs="Arial"/>
                <w:color w:val="FFFFFF"/>
                <w:sz w:val="20"/>
                <w:szCs w:val="20"/>
              </w:rPr>
              <w:t>DRRC</w:t>
            </w:r>
          </w:p>
        </w:tc>
      </w:tr>
      <w:tr w:rsidR="00603093" w:rsidRPr="00603093" w:rsidTr="00603093">
        <w:trPr>
          <w:trHeight w:val="300"/>
          <w:jc w:val="center"/>
        </w:trPr>
        <w:tc>
          <w:tcPr>
            <w:tcW w:w="1620" w:type="dxa"/>
            <w:vMerge/>
            <w:tcBorders>
              <w:top w:val="nil"/>
              <w:left w:val="nil"/>
              <w:bottom w:val="nil"/>
              <w:right w:val="single" w:sz="8" w:space="0" w:color="FFFFFF"/>
            </w:tcBorders>
            <w:vAlign w:val="center"/>
            <w:hideMark/>
          </w:tcPr>
          <w:p w:rsidR="00603093" w:rsidRPr="00603093" w:rsidRDefault="00603093" w:rsidP="00603093">
            <w:pPr>
              <w:spacing w:after="0" w:line="240" w:lineRule="auto"/>
              <w:rPr>
                <w:rFonts w:ascii="Arial" w:eastAsia="Times New Roman" w:hAnsi="Arial" w:cs="Arial"/>
                <w:color w:val="FFFFFF"/>
                <w:sz w:val="20"/>
                <w:szCs w:val="20"/>
              </w:rPr>
            </w:pPr>
          </w:p>
        </w:tc>
        <w:tc>
          <w:tcPr>
            <w:tcW w:w="1920" w:type="dxa"/>
            <w:gridSpan w:val="2"/>
            <w:tcBorders>
              <w:top w:val="single" w:sz="8" w:space="0" w:color="FFFFFF"/>
              <w:left w:val="nil"/>
              <w:bottom w:val="single" w:sz="8" w:space="0" w:color="FFFFFF"/>
              <w:right w:val="single" w:sz="8" w:space="0" w:color="FFFFFF"/>
            </w:tcBorders>
            <w:shd w:val="clear" w:color="000000" w:fill="1F497D"/>
            <w:noWrap/>
            <w:vAlign w:val="bottom"/>
            <w:hideMark/>
          </w:tcPr>
          <w:p w:rsidR="00603093" w:rsidRPr="00603093" w:rsidRDefault="00603093" w:rsidP="00603093">
            <w:pPr>
              <w:spacing w:after="0" w:line="240" w:lineRule="auto"/>
              <w:jc w:val="center"/>
              <w:rPr>
                <w:rFonts w:ascii="Arial" w:eastAsia="Times New Roman" w:hAnsi="Arial" w:cs="Arial"/>
                <w:color w:val="FFFFFF"/>
                <w:sz w:val="20"/>
                <w:szCs w:val="20"/>
              </w:rPr>
            </w:pPr>
            <w:r w:rsidRPr="00603093">
              <w:rPr>
                <w:rFonts w:ascii="Arial" w:eastAsia="Times New Roman" w:hAnsi="Arial" w:cs="Arial"/>
                <w:color w:val="FFFFFF"/>
                <w:sz w:val="20"/>
                <w:szCs w:val="20"/>
              </w:rPr>
              <w:t>DA</w:t>
            </w:r>
          </w:p>
        </w:tc>
        <w:tc>
          <w:tcPr>
            <w:tcW w:w="1920" w:type="dxa"/>
            <w:gridSpan w:val="2"/>
            <w:tcBorders>
              <w:top w:val="single" w:sz="8" w:space="0" w:color="FFFFFF"/>
              <w:left w:val="nil"/>
              <w:bottom w:val="single" w:sz="8" w:space="0" w:color="FFFFFF"/>
              <w:right w:val="single" w:sz="8" w:space="0" w:color="FFFFFF"/>
            </w:tcBorders>
            <w:shd w:val="clear" w:color="000000" w:fill="1F497D"/>
            <w:noWrap/>
            <w:vAlign w:val="bottom"/>
            <w:hideMark/>
          </w:tcPr>
          <w:p w:rsidR="00603093" w:rsidRPr="00603093" w:rsidRDefault="00603093" w:rsidP="00603093">
            <w:pPr>
              <w:spacing w:after="0" w:line="240" w:lineRule="auto"/>
              <w:jc w:val="center"/>
              <w:rPr>
                <w:rFonts w:ascii="Arial" w:eastAsia="Times New Roman" w:hAnsi="Arial" w:cs="Arial"/>
                <w:color w:val="FFFFFF"/>
                <w:sz w:val="20"/>
                <w:szCs w:val="20"/>
              </w:rPr>
            </w:pPr>
            <w:r w:rsidRPr="00603093">
              <w:rPr>
                <w:rFonts w:ascii="Arial" w:eastAsia="Times New Roman" w:hAnsi="Arial" w:cs="Arial"/>
                <w:color w:val="FFFFFF"/>
                <w:sz w:val="20"/>
                <w:szCs w:val="20"/>
              </w:rPr>
              <w:t>DO</w:t>
            </w:r>
          </w:p>
        </w:tc>
      </w:tr>
      <w:tr w:rsidR="00603093" w:rsidRPr="00603093" w:rsidTr="00603093">
        <w:trPr>
          <w:trHeight w:val="288"/>
          <w:jc w:val="center"/>
        </w:trPr>
        <w:tc>
          <w:tcPr>
            <w:tcW w:w="1620" w:type="dxa"/>
            <w:vMerge/>
            <w:tcBorders>
              <w:top w:val="nil"/>
              <w:left w:val="nil"/>
              <w:bottom w:val="nil"/>
              <w:right w:val="single" w:sz="8" w:space="0" w:color="FFFFFF"/>
            </w:tcBorders>
            <w:vAlign w:val="center"/>
            <w:hideMark/>
          </w:tcPr>
          <w:p w:rsidR="00603093" w:rsidRPr="00603093" w:rsidRDefault="00603093" w:rsidP="00603093">
            <w:pPr>
              <w:spacing w:after="0" w:line="240" w:lineRule="auto"/>
              <w:rPr>
                <w:rFonts w:ascii="Arial" w:eastAsia="Times New Roman" w:hAnsi="Arial" w:cs="Arial"/>
                <w:color w:val="FFFFFF"/>
                <w:sz w:val="20"/>
                <w:szCs w:val="20"/>
              </w:rPr>
            </w:pPr>
          </w:p>
        </w:tc>
        <w:tc>
          <w:tcPr>
            <w:tcW w:w="832" w:type="dxa"/>
            <w:tcBorders>
              <w:top w:val="nil"/>
              <w:left w:val="nil"/>
              <w:bottom w:val="nil"/>
              <w:right w:val="single" w:sz="8" w:space="0" w:color="FFFFFF"/>
            </w:tcBorders>
            <w:shd w:val="clear" w:color="000000" w:fill="1F497D"/>
            <w:noWrap/>
            <w:vAlign w:val="bottom"/>
            <w:hideMark/>
          </w:tcPr>
          <w:p w:rsidR="00603093" w:rsidRPr="00603093" w:rsidRDefault="00603093" w:rsidP="00603093">
            <w:pPr>
              <w:spacing w:after="0" w:line="240" w:lineRule="auto"/>
              <w:jc w:val="center"/>
              <w:rPr>
                <w:rFonts w:ascii="Arial" w:eastAsia="Times New Roman" w:hAnsi="Arial" w:cs="Arial"/>
                <w:color w:val="FFFFFF"/>
                <w:sz w:val="20"/>
                <w:szCs w:val="20"/>
              </w:rPr>
            </w:pPr>
            <w:r w:rsidRPr="00603093">
              <w:rPr>
                <w:rFonts w:ascii="Arial" w:eastAsia="Times New Roman" w:hAnsi="Arial" w:cs="Arial"/>
                <w:color w:val="FFFFFF"/>
                <w:sz w:val="20"/>
                <w:szCs w:val="20"/>
              </w:rPr>
              <w:t>Enrolled</w:t>
            </w:r>
          </w:p>
        </w:tc>
        <w:tc>
          <w:tcPr>
            <w:tcW w:w="1088" w:type="dxa"/>
            <w:tcBorders>
              <w:top w:val="nil"/>
              <w:left w:val="nil"/>
              <w:bottom w:val="nil"/>
              <w:right w:val="single" w:sz="8" w:space="0" w:color="FFFFFF"/>
            </w:tcBorders>
            <w:shd w:val="clear" w:color="000000" w:fill="1F497D"/>
            <w:noWrap/>
            <w:vAlign w:val="bottom"/>
            <w:hideMark/>
          </w:tcPr>
          <w:p w:rsidR="00603093" w:rsidRPr="00603093" w:rsidRDefault="00603093" w:rsidP="00603093">
            <w:pPr>
              <w:spacing w:after="0" w:line="240" w:lineRule="auto"/>
              <w:jc w:val="center"/>
              <w:rPr>
                <w:rFonts w:ascii="Arial" w:eastAsia="Times New Roman" w:hAnsi="Arial" w:cs="Arial"/>
                <w:color w:val="FFFFFF"/>
                <w:sz w:val="20"/>
                <w:szCs w:val="20"/>
              </w:rPr>
            </w:pPr>
            <w:r w:rsidRPr="00603093">
              <w:rPr>
                <w:rFonts w:ascii="Arial" w:eastAsia="Times New Roman" w:hAnsi="Arial" w:cs="Arial"/>
                <w:color w:val="FFFFFF"/>
                <w:sz w:val="20"/>
                <w:szCs w:val="20"/>
              </w:rPr>
              <w:t>Nominated</w:t>
            </w:r>
          </w:p>
        </w:tc>
        <w:tc>
          <w:tcPr>
            <w:tcW w:w="832" w:type="dxa"/>
            <w:tcBorders>
              <w:top w:val="nil"/>
              <w:left w:val="nil"/>
              <w:bottom w:val="nil"/>
              <w:right w:val="single" w:sz="8" w:space="0" w:color="FFFFFF"/>
            </w:tcBorders>
            <w:shd w:val="clear" w:color="000000" w:fill="1F497D"/>
            <w:noWrap/>
            <w:vAlign w:val="bottom"/>
            <w:hideMark/>
          </w:tcPr>
          <w:p w:rsidR="00603093" w:rsidRPr="00603093" w:rsidRDefault="00603093" w:rsidP="00603093">
            <w:pPr>
              <w:spacing w:after="0" w:line="240" w:lineRule="auto"/>
              <w:jc w:val="center"/>
              <w:rPr>
                <w:rFonts w:ascii="Arial" w:eastAsia="Times New Roman" w:hAnsi="Arial" w:cs="Arial"/>
                <w:color w:val="FFFFFF"/>
                <w:sz w:val="20"/>
                <w:szCs w:val="20"/>
              </w:rPr>
            </w:pPr>
            <w:r w:rsidRPr="00603093">
              <w:rPr>
                <w:rFonts w:ascii="Arial" w:eastAsia="Times New Roman" w:hAnsi="Arial" w:cs="Arial"/>
                <w:color w:val="FFFFFF"/>
                <w:sz w:val="20"/>
                <w:szCs w:val="20"/>
              </w:rPr>
              <w:t>Enrolled</w:t>
            </w:r>
          </w:p>
        </w:tc>
        <w:tc>
          <w:tcPr>
            <w:tcW w:w="1088" w:type="dxa"/>
            <w:tcBorders>
              <w:top w:val="nil"/>
              <w:left w:val="nil"/>
              <w:bottom w:val="nil"/>
              <w:right w:val="nil"/>
            </w:tcBorders>
            <w:shd w:val="clear" w:color="000000" w:fill="1F497D"/>
            <w:noWrap/>
            <w:vAlign w:val="bottom"/>
            <w:hideMark/>
          </w:tcPr>
          <w:p w:rsidR="00603093" w:rsidRPr="00603093" w:rsidRDefault="00603093" w:rsidP="00603093">
            <w:pPr>
              <w:spacing w:after="0" w:line="240" w:lineRule="auto"/>
              <w:jc w:val="center"/>
              <w:rPr>
                <w:rFonts w:ascii="Arial" w:eastAsia="Times New Roman" w:hAnsi="Arial" w:cs="Arial"/>
                <w:color w:val="FFFFFF"/>
                <w:sz w:val="20"/>
                <w:szCs w:val="20"/>
              </w:rPr>
            </w:pPr>
            <w:r w:rsidRPr="00603093">
              <w:rPr>
                <w:rFonts w:ascii="Arial" w:eastAsia="Times New Roman" w:hAnsi="Arial" w:cs="Arial"/>
                <w:color w:val="FFFFFF"/>
                <w:sz w:val="20"/>
                <w:szCs w:val="20"/>
              </w:rPr>
              <w:t>Nominated</w:t>
            </w:r>
          </w:p>
        </w:tc>
      </w:tr>
      <w:tr w:rsidR="00603093" w:rsidRPr="00603093" w:rsidTr="00603093">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2012</w:t>
            </w:r>
          </w:p>
        </w:tc>
        <w:tc>
          <w:tcPr>
            <w:tcW w:w="832" w:type="dxa"/>
            <w:tcBorders>
              <w:top w:val="nil"/>
              <w:left w:val="nil"/>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286</w:t>
            </w:r>
          </w:p>
        </w:tc>
        <w:tc>
          <w:tcPr>
            <w:tcW w:w="1088" w:type="dxa"/>
            <w:tcBorders>
              <w:top w:val="nil"/>
              <w:left w:val="nil"/>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214</w:t>
            </w:r>
          </w:p>
        </w:tc>
        <w:tc>
          <w:tcPr>
            <w:tcW w:w="832" w:type="dxa"/>
            <w:tcBorders>
              <w:top w:val="nil"/>
              <w:left w:val="nil"/>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2532</w:t>
            </w:r>
          </w:p>
        </w:tc>
        <w:tc>
          <w:tcPr>
            <w:tcW w:w="1088" w:type="dxa"/>
            <w:tcBorders>
              <w:top w:val="nil"/>
              <w:left w:val="nil"/>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1670</w:t>
            </w:r>
          </w:p>
        </w:tc>
      </w:tr>
      <w:tr w:rsidR="00603093" w:rsidRPr="00603093" w:rsidTr="00603093">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2013</w:t>
            </w:r>
          </w:p>
        </w:tc>
        <w:tc>
          <w:tcPr>
            <w:tcW w:w="832" w:type="dxa"/>
            <w:tcBorders>
              <w:top w:val="nil"/>
              <w:left w:val="nil"/>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286</w:t>
            </w:r>
          </w:p>
        </w:tc>
        <w:tc>
          <w:tcPr>
            <w:tcW w:w="1088" w:type="dxa"/>
            <w:tcBorders>
              <w:top w:val="nil"/>
              <w:left w:val="nil"/>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214</w:t>
            </w:r>
          </w:p>
        </w:tc>
        <w:tc>
          <w:tcPr>
            <w:tcW w:w="832" w:type="dxa"/>
            <w:tcBorders>
              <w:top w:val="nil"/>
              <w:left w:val="nil"/>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2786</w:t>
            </w:r>
          </w:p>
        </w:tc>
        <w:tc>
          <w:tcPr>
            <w:tcW w:w="1088" w:type="dxa"/>
            <w:tcBorders>
              <w:top w:val="nil"/>
              <w:left w:val="nil"/>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1837</w:t>
            </w:r>
          </w:p>
        </w:tc>
      </w:tr>
      <w:tr w:rsidR="00603093" w:rsidRPr="00603093" w:rsidTr="00603093">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2014 - 2022</w:t>
            </w:r>
          </w:p>
        </w:tc>
        <w:tc>
          <w:tcPr>
            <w:tcW w:w="832" w:type="dxa"/>
            <w:tcBorders>
              <w:top w:val="nil"/>
              <w:left w:val="nil"/>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286</w:t>
            </w:r>
          </w:p>
        </w:tc>
        <w:tc>
          <w:tcPr>
            <w:tcW w:w="1088" w:type="dxa"/>
            <w:tcBorders>
              <w:top w:val="nil"/>
              <w:left w:val="nil"/>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214</w:t>
            </w:r>
          </w:p>
        </w:tc>
        <w:tc>
          <w:tcPr>
            <w:tcW w:w="832" w:type="dxa"/>
            <w:tcBorders>
              <w:top w:val="nil"/>
              <w:left w:val="nil"/>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3065</w:t>
            </w:r>
          </w:p>
        </w:tc>
        <w:tc>
          <w:tcPr>
            <w:tcW w:w="1088" w:type="dxa"/>
            <w:tcBorders>
              <w:top w:val="nil"/>
              <w:left w:val="nil"/>
              <w:bottom w:val="single" w:sz="4" w:space="0" w:color="auto"/>
              <w:right w:val="single" w:sz="4" w:space="0" w:color="auto"/>
            </w:tcBorders>
            <w:shd w:val="clear" w:color="auto" w:fill="auto"/>
            <w:noWrap/>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2021</w:t>
            </w:r>
          </w:p>
        </w:tc>
      </w:tr>
    </w:tbl>
    <w:p w:rsidR="002070AB" w:rsidRDefault="00C61D83" w:rsidP="002070AB">
      <w:pPr>
        <w:pStyle w:val="BodyParaAfterTableFigure"/>
      </w:pPr>
      <w:fldSimple w:instr=" REF _Ref323719518  \* MERGEFORMAT ">
        <w:r w:rsidR="00F66D5E" w:rsidRPr="00AF1031">
          <w:t xml:space="preserve">Figure </w:t>
        </w:r>
        <w:r w:rsidR="00F66D5E">
          <w:t>8</w:t>
        </w:r>
        <w:r w:rsidR="00F66D5E" w:rsidRPr="00AF1031">
          <w:noBreakHyphen/>
        </w:r>
        <w:r w:rsidR="00F66D5E">
          <w:t>1</w:t>
        </w:r>
      </w:fldSimple>
      <w:r w:rsidR="002070AB">
        <w:t xml:space="preserve"> below illustrates predicted load impacts in 2012 for a typical August event day during a 1-in-2 weather year.  For both day-ahead and day-of notification, DRRC customers begin reducing loads an hour prior to the event window, and loads remain reduced for an hour following the event window.  There is not significant load shifting either </w:t>
      </w:r>
      <w:proofErr w:type="gramStart"/>
      <w:r w:rsidR="002070AB">
        <w:t>preceding</w:t>
      </w:r>
      <w:proofErr w:type="gramEnd"/>
      <w:r w:rsidR="002070AB">
        <w:t xml:space="preserve"> or following the event window.</w:t>
      </w:r>
    </w:p>
    <w:p w:rsidR="002070AB" w:rsidRDefault="002070AB" w:rsidP="002070AB">
      <w:pPr>
        <w:pStyle w:val="TableFigureCaption"/>
      </w:pPr>
      <w:bookmarkStart w:id="392" w:name="_Ref323719518"/>
      <w:r w:rsidRPr="00AF1031">
        <w:lastRenderedPageBreak/>
        <w:t xml:space="preserve">Figure </w:t>
      </w:r>
      <w:fldSimple w:instr=" STYLEREF 1 \s ">
        <w:r w:rsidR="00F66D5E">
          <w:rPr>
            <w:noProof/>
          </w:rPr>
          <w:t>8</w:t>
        </w:r>
      </w:fldSimple>
      <w:r w:rsidRPr="00AF1031">
        <w:noBreakHyphen/>
      </w:r>
      <w:fldSimple w:instr=" SEQ Figure \* ARABIC \s 1 ">
        <w:r w:rsidR="00F66D5E">
          <w:rPr>
            <w:noProof/>
          </w:rPr>
          <w:t>1</w:t>
        </w:r>
      </w:fldSimple>
      <w:bookmarkEnd w:id="392"/>
      <w:r w:rsidRPr="00AF1031">
        <w:t>:</w:t>
      </w:r>
    </w:p>
    <w:p w:rsidR="002070AB" w:rsidRDefault="002070AB" w:rsidP="002070AB">
      <w:pPr>
        <w:pStyle w:val="TableFigureCaption"/>
      </w:pPr>
      <w:r>
        <w:t>SCE DRRC Hourly Event Day Impacts for Typical Event Day</w:t>
      </w:r>
    </w:p>
    <w:p w:rsidR="002070AB" w:rsidRDefault="002070AB" w:rsidP="002070AB">
      <w:pPr>
        <w:pStyle w:val="TableFigureCaption"/>
      </w:pPr>
      <w:r>
        <w:t>1-in-2 Weather Year for August 2012</w:t>
      </w:r>
    </w:p>
    <w:p w:rsidR="002070AB" w:rsidRPr="00AF1031" w:rsidRDefault="002070AB" w:rsidP="002070AB">
      <w:pPr>
        <w:pStyle w:val="TableFigureCaption"/>
      </w:pPr>
      <w:r>
        <w:t>DRRC-DA</w:t>
      </w:r>
      <w:r>
        <w:tab/>
      </w:r>
      <w:r>
        <w:tab/>
      </w:r>
      <w:r>
        <w:tab/>
      </w:r>
      <w:r>
        <w:tab/>
      </w:r>
      <w:r>
        <w:tab/>
        <w:t>DRRC-DO</w:t>
      </w:r>
    </w:p>
    <w:p w:rsidR="005D560E" w:rsidRDefault="00053F5A" w:rsidP="002070AB">
      <w:pPr>
        <w:pStyle w:val="BodyParaAfterTableFigure"/>
      </w:pPr>
      <w:r>
        <w:rPr>
          <w:noProof/>
        </w:rPr>
        <w:drawing>
          <wp:inline distT="0" distB="0" distL="0" distR="0">
            <wp:extent cx="2926080" cy="1968690"/>
            <wp:effectExtent l="19050" t="0" r="7620" b="0"/>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2926080" cy="1968690"/>
                    </a:xfrm>
                    <a:prstGeom prst="rect">
                      <a:avLst/>
                    </a:prstGeom>
                    <a:noFill/>
                  </pic:spPr>
                </pic:pic>
              </a:graphicData>
            </a:graphic>
          </wp:inline>
        </w:drawing>
      </w:r>
      <w:r>
        <w:rPr>
          <w:noProof/>
        </w:rPr>
        <w:drawing>
          <wp:inline distT="0" distB="0" distL="0" distR="0">
            <wp:extent cx="2926080" cy="1968690"/>
            <wp:effectExtent l="19050" t="0" r="762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926080" cy="1968690"/>
                    </a:xfrm>
                    <a:prstGeom prst="rect">
                      <a:avLst/>
                    </a:prstGeom>
                    <a:noFill/>
                  </pic:spPr>
                </pic:pic>
              </a:graphicData>
            </a:graphic>
          </wp:inline>
        </w:drawing>
      </w:r>
      <w:r w:rsidR="002070AB">
        <w:br/>
      </w:r>
    </w:p>
    <w:p w:rsidR="002070AB" w:rsidRPr="00D916AC" w:rsidRDefault="00C61D83" w:rsidP="002070AB">
      <w:pPr>
        <w:pStyle w:val="BodyParaAfterTableFigure"/>
      </w:pPr>
      <w:fldSimple w:instr=" REF _Ref323719768  \* MERGEFORMAT ">
        <w:r w:rsidR="00F66D5E" w:rsidRPr="0038124C">
          <w:t xml:space="preserve">Table </w:t>
        </w:r>
        <w:r w:rsidR="00F66D5E">
          <w:t>8</w:t>
        </w:r>
        <w:r w:rsidR="00F66D5E">
          <w:noBreakHyphen/>
          <w:t>2</w:t>
        </w:r>
      </w:fldSimple>
      <w:r w:rsidR="002070AB">
        <w:t xml:space="preserve"> presents the ex ante aggregate peak day load impacts for DRRC customers for years 2012 to 2022.  The event day period is assumed as starting at 1 PM and ending at 6 PM.  Results are presented for </w:t>
      </w:r>
      <w:r w:rsidR="00E7404E">
        <w:t>the annual peak day (August)</w:t>
      </w:r>
      <w:r w:rsidR="002070AB">
        <w:t xml:space="preserve"> under 1-in-2 system peaking conditions.  On a given event day, DRRC </w:t>
      </w:r>
      <w:r w:rsidR="00E7404E">
        <w:t xml:space="preserve">same-day notification </w:t>
      </w:r>
      <w:r w:rsidR="002070AB">
        <w:t>customers can provide a</w:t>
      </w:r>
      <w:r w:rsidR="00053F5A">
        <w:t>pproximately a</w:t>
      </w:r>
      <w:r w:rsidR="002070AB">
        <w:t xml:space="preserve"> 23% load reduction</w:t>
      </w:r>
      <w:r w:rsidR="00053F5A">
        <w:t>;</w:t>
      </w:r>
      <w:r w:rsidR="00E7404E">
        <w:t xml:space="preserve"> day-ahead notification typically reduce demand by 18%.  Overall,</w:t>
      </w:r>
      <w:r w:rsidR="000D2B81">
        <w:t xml:space="preserve"> DRRC resources </w:t>
      </w:r>
      <w:r w:rsidR="00E7404E">
        <w:t xml:space="preserve">are expected to increase </w:t>
      </w:r>
      <w:r w:rsidR="000D2B81">
        <w:t>from 1</w:t>
      </w:r>
      <w:r w:rsidR="007E6409">
        <w:t>67</w:t>
      </w:r>
      <w:r w:rsidR="002070AB">
        <w:t xml:space="preserve"> MW </w:t>
      </w:r>
      <w:r w:rsidR="000D2B81">
        <w:t xml:space="preserve">in 2012 </w:t>
      </w:r>
      <w:r w:rsidR="007E6409">
        <w:t xml:space="preserve">to 199 MW in 2014, due to program growth. </w:t>
      </w:r>
    </w:p>
    <w:p w:rsidR="002070AB" w:rsidRDefault="002070AB" w:rsidP="002070AB">
      <w:pPr>
        <w:pStyle w:val="TableFigureCaption"/>
      </w:pPr>
      <w:bookmarkStart w:id="393" w:name="_Ref323719768"/>
      <w:r w:rsidRPr="0038124C">
        <w:t xml:space="preserve">Table </w:t>
      </w:r>
      <w:fldSimple w:instr=" STYLEREF 1 \s ">
        <w:r w:rsidR="00F66D5E">
          <w:rPr>
            <w:noProof/>
          </w:rPr>
          <w:t>8</w:t>
        </w:r>
      </w:fldSimple>
      <w:r w:rsidR="00F55000">
        <w:noBreakHyphen/>
      </w:r>
      <w:fldSimple w:instr=" SEQ Table \* ARABIC \s 1 ">
        <w:r w:rsidR="00F66D5E">
          <w:rPr>
            <w:noProof/>
          </w:rPr>
          <w:t>2</w:t>
        </w:r>
      </w:fldSimple>
      <w:bookmarkEnd w:id="393"/>
      <w:r w:rsidRPr="0038124C">
        <w:t>:</w:t>
      </w:r>
    </w:p>
    <w:p w:rsidR="002070AB" w:rsidRDefault="002070AB" w:rsidP="002070AB">
      <w:pPr>
        <w:pStyle w:val="TableFigureCaption"/>
      </w:pPr>
      <w:r w:rsidRPr="0038124C">
        <w:t xml:space="preserve">Aggregate Ex Ante Annual Peak Day Load </w:t>
      </w:r>
      <w:r>
        <w:t xml:space="preserve">Impacts for SCE DRRC </w:t>
      </w:r>
    </w:p>
    <w:p w:rsidR="002070AB" w:rsidRPr="0038124C" w:rsidRDefault="002070AB" w:rsidP="002070AB">
      <w:pPr>
        <w:pStyle w:val="TableFigureCaption"/>
      </w:pPr>
      <w:r>
        <w:t>(Hourly Average Reduction from 1 to 6 PM)</w:t>
      </w:r>
    </w:p>
    <w:tbl>
      <w:tblPr>
        <w:tblW w:w="8836" w:type="dxa"/>
        <w:jc w:val="center"/>
        <w:tblInd w:w="95" w:type="dxa"/>
        <w:tblLook w:val="04A0"/>
      </w:tblPr>
      <w:tblGrid>
        <w:gridCol w:w="897"/>
        <w:gridCol w:w="1681"/>
        <w:gridCol w:w="1087"/>
        <w:gridCol w:w="1047"/>
        <w:gridCol w:w="1017"/>
        <w:gridCol w:w="980"/>
        <w:gridCol w:w="1027"/>
        <w:gridCol w:w="1100"/>
      </w:tblGrid>
      <w:tr w:rsidR="00603093" w:rsidRPr="00603093" w:rsidTr="00603093">
        <w:trPr>
          <w:trHeight w:val="936"/>
          <w:jc w:val="center"/>
        </w:trPr>
        <w:tc>
          <w:tcPr>
            <w:tcW w:w="897" w:type="dxa"/>
            <w:tcBorders>
              <w:top w:val="single" w:sz="8" w:space="0" w:color="auto"/>
              <w:left w:val="single" w:sz="8" w:space="0" w:color="auto"/>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Weather Year</w:t>
            </w:r>
          </w:p>
        </w:tc>
        <w:tc>
          <w:tcPr>
            <w:tcW w:w="1681"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Year</w:t>
            </w:r>
          </w:p>
        </w:tc>
        <w:tc>
          <w:tcPr>
            <w:tcW w:w="1087"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Nominated Accts (Forecast)</w:t>
            </w:r>
          </w:p>
        </w:tc>
        <w:tc>
          <w:tcPr>
            <w:tcW w:w="1047"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proofErr w:type="spellStart"/>
            <w:r w:rsidRPr="00603093">
              <w:rPr>
                <w:rFonts w:ascii="Arial" w:eastAsia="Times New Roman" w:hAnsi="Arial" w:cs="Arial"/>
                <w:color w:val="FFFFFF"/>
                <w:sz w:val="18"/>
                <w:szCs w:val="18"/>
              </w:rPr>
              <w:t>Agg</w:t>
            </w:r>
            <w:proofErr w:type="spellEnd"/>
            <w:r w:rsidRPr="00603093">
              <w:rPr>
                <w:rFonts w:ascii="Arial" w:eastAsia="Times New Roman" w:hAnsi="Arial" w:cs="Arial"/>
                <w:color w:val="FFFFFF"/>
                <w:sz w:val="18"/>
                <w:szCs w:val="18"/>
              </w:rPr>
              <w:t>. Reference Load (MW)</w:t>
            </w:r>
          </w:p>
        </w:tc>
        <w:tc>
          <w:tcPr>
            <w:tcW w:w="1017"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proofErr w:type="spellStart"/>
            <w:r w:rsidRPr="00603093">
              <w:rPr>
                <w:rFonts w:ascii="Arial" w:eastAsia="Times New Roman" w:hAnsi="Arial" w:cs="Arial"/>
                <w:color w:val="FFFFFF"/>
                <w:sz w:val="18"/>
                <w:szCs w:val="18"/>
              </w:rPr>
              <w:t>Agg</w:t>
            </w:r>
            <w:proofErr w:type="spellEnd"/>
            <w:r w:rsidRPr="00603093">
              <w:rPr>
                <w:rFonts w:ascii="Arial" w:eastAsia="Times New Roman" w:hAnsi="Arial" w:cs="Arial"/>
                <w:color w:val="FFFFFF"/>
                <w:sz w:val="18"/>
                <w:szCs w:val="18"/>
              </w:rPr>
              <w:t>. Estimated Load w DR (MW)</w:t>
            </w:r>
          </w:p>
        </w:tc>
        <w:tc>
          <w:tcPr>
            <w:tcW w:w="980"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proofErr w:type="spellStart"/>
            <w:r w:rsidRPr="00603093">
              <w:rPr>
                <w:rFonts w:ascii="Arial" w:eastAsia="Times New Roman" w:hAnsi="Arial" w:cs="Arial"/>
                <w:color w:val="FFFFFF"/>
                <w:sz w:val="18"/>
                <w:szCs w:val="18"/>
              </w:rPr>
              <w:t>Agg</w:t>
            </w:r>
            <w:proofErr w:type="spellEnd"/>
            <w:r w:rsidRPr="00603093">
              <w:rPr>
                <w:rFonts w:ascii="Arial" w:eastAsia="Times New Roman" w:hAnsi="Arial" w:cs="Arial"/>
                <w:color w:val="FFFFFF"/>
                <w:sz w:val="18"/>
                <w:szCs w:val="18"/>
              </w:rPr>
              <w:t>. Load Impact (MW)</w:t>
            </w:r>
          </w:p>
        </w:tc>
        <w:tc>
          <w:tcPr>
            <w:tcW w:w="1027"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 Load Reduction</w:t>
            </w:r>
          </w:p>
        </w:tc>
        <w:tc>
          <w:tcPr>
            <w:tcW w:w="1100" w:type="dxa"/>
            <w:tcBorders>
              <w:top w:val="single" w:sz="8" w:space="0" w:color="auto"/>
              <w:left w:val="nil"/>
              <w:bottom w:val="nil"/>
              <w:right w:val="single" w:sz="8" w:space="0" w:color="auto"/>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Weighted Temp (F)</w:t>
            </w:r>
          </w:p>
        </w:tc>
      </w:tr>
      <w:tr w:rsidR="00603093" w:rsidRPr="00603093" w:rsidTr="00603093">
        <w:trPr>
          <w:trHeight w:val="312"/>
          <w:jc w:val="center"/>
        </w:trPr>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DRRC-DA</w:t>
            </w:r>
          </w:p>
        </w:tc>
        <w:tc>
          <w:tcPr>
            <w:tcW w:w="1681"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2012</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214</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76.5</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63.0</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13.5</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17.7%</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93.1</w:t>
            </w:r>
          </w:p>
        </w:tc>
      </w:tr>
      <w:tr w:rsidR="00603093" w:rsidRPr="00603093" w:rsidTr="00603093">
        <w:trPr>
          <w:trHeight w:val="288"/>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603093" w:rsidRPr="00603093" w:rsidRDefault="00603093" w:rsidP="00603093">
            <w:pPr>
              <w:spacing w:after="0" w:line="240" w:lineRule="auto"/>
              <w:rPr>
                <w:rFonts w:ascii="Arial" w:eastAsia="Times New Roman" w:hAnsi="Arial" w:cs="Arial"/>
                <w:color w:val="000000"/>
                <w:sz w:val="18"/>
                <w:szCs w:val="18"/>
              </w:rPr>
            </w:pPr>
          </w:p>
        </w:tc>
        <w:tc>
          <w:tcPr>
            <w:tcW w:w="1681"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2013</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214</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76.5</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63.0</w:t>
            </w:r>
          </w:p>
        </w:tc>
        <w:tc>
          <w:tcPr>
            <w:tcW w:w="98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13.5</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17.7%</w:t>
            </w:r>
          </w:p>
        </w:tc>
        <w:tc>
          <w:tcPr>
            <w:tcW w:w="110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93.1</w:t>
            </w:r>
          </w:p>
        </w:tc>
      </w:tr>
      <w:tr w:rsidR="00603093" w:rsidRPr="00603093" w:rsidTr="00603093">
        <w:trPr>
          <w:trHeight w:val="288"/>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603093" w:rsidRPr="00603093" w:rsidRDefault="00603093" w:rsidP="00603093">
            <w:pPr>
              <w:spacing w:after="0" w:line="240" w:lineRule="auto"/>
              <w:rPr>
                <w:rFonts w:ascii="Arial" w:eastAsia="Times New Roman" w:hAnsi="Arial" w:cs="Arial"/>
                <w:color w:val="000000"/>
                <w:sz w:val="18"/>
                <w:szCs w:val="18"/>
              </w:rPr>
            </w:pPr>
          </w:p>
        </w:tc>
        <w:tc>
          <w:tcPr>
            <w:tcW w:w="1681"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2014 - 2022</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214</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76.5</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63.0</w:t>
            </w:r>
          </w:p>
        </w:tc>
        <w:tc>
          <w:tcPr>
            <w:tcW w:w="98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13.5</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17.7%</w:t>
            </w:r>
          </w:p>
        </w:tc>
        <w:tc>
          <w:tcPr>
            <w:tcW w:w="110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93.1</w:t>
            </w:r>
          </w:p>
        </w:tc>
      </w:tr>
      <w:tr w:rsidR="00603093" w:rsidRPr="00603093" w:rsidTr="00603093">
        <w:trPr>
          <w:trHeight w:val="288"/>
          <w:jc w:val="center"/>
        </w:trPr>
        <w:tc>
          <w:tcPr>
            <w:tcW w:w="897" w:type="dxa"/>
            <w:vMerge w:val="restart"/>
            <w:tcBorders>
              <w:top w:val="nil"/>
              <w:left w:val="single" w:sz="4" w:space="0" w:color="auto"/>
              <w:bottom w:val="single" w:sz="4" w:space="0" w:color="auto"/>
              <w:right w:val="single" w:sz="4" w:space="0" w:color="auto"/>
            </w:tcBorders>
            <w:shd w:val="clear" w:color="auto" w:fill="auto"/>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DRRC-DO</w:t>
            </w:r>
          </w:p>
        </w:tc>
        <w:tc>
          <w:tcPr>
            <w:tcW w:w="1681"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2012</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1670</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657.2</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503.7</w:t>
            </w:r>
          </w:p>
        </w:tc>
        <w:tc>
          <w:tcPr>
            <w:tcW w:w="98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153.5</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23.4%</w:t>
            </w:r>
          </w:p>
        </w:tc>
        <w:tc>
          <w:tcPr>
            <w:tcW w:w="110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97.2</w:t>
            </w:r>
          </w:p>
        </w:tc>
      </w:tr>
      <w:tr w:rsidR="00603093" w:rsidRPr="00603093" w:rsidTr="00603093">
        <w:trPr>
          <w:trHeight w:val="288"/>
          <w:jc w:val="center"/>
        </w:trPr>
        <w:tc>
          <w:tcPr>
            <w:tcW w:w="897" w:type="dxa"/>
            <w:vMerge/>
            <w:tcBorders>
              <w:top w:val="nil"/>
              <w:left w:val="single" w:sz="4" w:space="0" w:color="auto"/>
              <w:bottom w:val="single" w:sz="4" w:space="0" w:color="auto"/>
              <w:right w:val="single" w:sz="4" w:space="0" w:color="auto"/>
            </w:tcBorders>
            <w:vAlign w:val="center"/>
            <w:hideMark/>
          </w:tcPr>
          <w:p w:rsidR="00603093" w:rsidRPr="00603093" w:rsidRDefault="00603093" w:rsidP="00603093">
            <w:pPr>
              <w:spacing w:after="0" w:line="240" w:lineRule="auto"/>
              <w:rPr>
                <w:rFonts w:ascii="Arial" w:eastAsia="Times New Roman" w:hAnsi="Arial" w:cs="Arial"/>
                <w:color w:val="000000"/>
                <w:sz w:val="18"/>
                <w:szCs w:val="18"/>
              </w:rPr>
            </w:pPr>
          </w:p>
        </w:tc>
        <w:tc>
          <w:tcPr>
            <w:tcW w:w="1681"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2013</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1837</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723.0</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554.1</w:t>
            </w:r>
          </w:p>
        </w:tc>
        <w:tc>
          <w:tcPr>
            <w:tcW w:w="98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168.9</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23.4%</w:t>
            </w:r>
          </w:p>
        </w:tc>
        <w:tc>
          <w:tcPr>
            <w:tcW w:w="110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97.2</w:t>
            </w:r>
          </w:p>
        </w:tc>
      </w:tr>
      <w:tr w:rsidR="00603093" w:rsidRPr="00603093" w:rsidTr="00603093">
        <w:trPr>
          <w:trHeight w:val="288"/>
          <w:jc w:val="center"/>
        </w:trPr>
        <w:tc>
          <w:tcPr>
            <w:tcW w:w="897" w:type="dxa"/>
            <w:vMerge/>
            <w:tcBorders>
              <w:top w:val="nil"/>
              <w:left w:val="single" w:sz="4" w:space="0" w:color="auto"/>
              <w:bottom w:val="single" w:sz="4" w:space="0" w:color="auto"/>
              <w:right w:val="single" w:sz="4" w:space="0" w:color="auto"/>
            </w:tcBorders>
            <w:vAlign w:val="center"/>
            <w:hideMark/>
          </w:tcPr>
          <w:p w:rsidR="00603093" w:rsidRPr="00603093" w:rsidRDefault="00603093" w:rsidP="00603093">
            <w:pPr>
              <w:spacing w:after="0" w:line="240" w:lineRule="auto"/>
              <w:rPr>
                <w:rFonts w:ascii="Arial" w:eastAsia="Times New Roman" w:hAnsi="Arial" w:cs="Arial"/>
                <w:color w:val="000000"/>
                <w:sz w:val="18"/>
                <w:szCs w:val="18"/>
              </w:rPr>
            </w:pPr>
          </w:p>
        </w:tc>
        <w:tc>
          <w:tcPr>
            <w:tcW w:w="1681"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2014 - 2022</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2021</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795.4</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609.6</w:t>
            </w:r>
          </w:p>
        </w:tc>
        <w:tc>
          <w:tcPr>
            <w:tcW w:w="98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185.8</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23.4%</w:t>
            </w:r>
          </w:p>
        </w:tc>
        <w:tc>
          <w:tcPr>
            <w:tcW w:w="110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97.2</w:t>
            </w:r>
          </w:p>
        </w:tc>
      </w:tr>
    </w:tbl>
    <w:p w:rsidR="000D2B81" w:rsidRDefault="002070AB" w:rsidP="000D2B81">
      <w:pPr>
        <w:pStyle w:val="BodyParaAfterTableFigure"/>
      </w:pPr>
      <w:r>
        <w:t xml:space="preserve">The average load impact is an estimate, based on predictions informed by the ex post model.  </w:t>
      </w:r>
      <w:r w:rsidR="00C61D83">
        <w:fldChar w:fldCharType="begin"/>
      </w:r>
      <w:r w:rsidR="000D2B81">
        <w:instrText xml:space="preserve"> REF _Ref325377607 \h </w:instrText>
      </w:r>
      <w:r w:rsidR="00C61D83">
        <w:fldChar w:fldCharType="separate"/>
      </w:r>
      <w:r w:rsidR="00F66D5E" w:rsidRPr="0038124C">
        <w:t xml:space="preserve">Table </w:t>
      </w:r>
      <w:r w:rsidR="00F66D5E">
        <w:rPr>
          <w:noProof/>
        </w:rPr>
        <w:t>8</w:t>
      </w:r>
      <w:r w:rsidR="00F66D5E">
        <w:noBreakHyphen/>
      </w:r>
      <w:r w:rsidR="00F66D5E">
        <w:rPr>
          <w:noProof/>
        </w:rPr>
        <w:t>3</w:t>
      </w:r>
      <w:r w:rsidR="00C61D83">
        <w:fldChar w:fldCharType="end"/>
      </w:r>
      <w:r w:rsidR="000D2B81">
        <w:t xml:space="preserve"> presents uncertainty around ex ante load impacts between years 2012 and 2022.  Incorporating model error and performance variability, we find that in an 80% confidence interval aggregate ex ante load impacts range by ±7%.  Note that this range does not incorporate enrollment forecast uncertainty.</w:t>
      </w:r>
      <w:r w:rsidR="007E6409">
        <w:t xml:space="preserve">  SCE will be requesting bids from aggregator contracts over the next few years. It will </w:t>
      </w:r>
      <w:r w:rsidR="007E6409">
        <w:lastRenderedPageBreak/>
        <w:t xml:space="preserve">both allow aggregator to realign their bids to their existing demand reduction capabilities and allow SCE to procure additional cost-effective DR from aggregators, as directed by the CPUC.  </w:t>
      </w:r>
    </w:p>
    <w:p w:rsidR="000D2B81" w:rsidRDefault="000D2B81" w:rsidP="000D2B81">
      <w:pPr>
        <w:pStyle w:val="TableFigureCaption"/>
      </w:pPr>
      <w:bookmarkStart w:id="394" w:name="_Ref325377607"/>
      <w:r w:rsidRPr="0038124C">
        <w:t xml:space="preserve">Table </w:t>
      </w:r>
      <w:fldSimple w:instr=" STYLEREF 1 \s ">
        <w:r w:rsidR="00F66D5E">
          <w:rPr>
            <w:noProof/>
          </w:rPr>
          <w:t>8</w:t>
        </w:r>
      </w:fldSimple>
      <w:r w:rsidR="00F55000">
        <w:noBreakHyphen/>
      </w:r>
      <w:fldSimple w:instr=" SEQ Table \* ARABIC \s 1 ">
        <w:r w:rsidR="00F66D5E">
          <w:rPr>
            <w:noProof/>
          </w:rPr>
          <w:t>3</w:t>
        </w:r>
      </w:fldSimple>
      <w:bookmarkEnd w:id="394"/>
      <w:r w:rsidRPr="0038124C">
        <w:t>:</w:t>
      </w:r>
    </w:p>
    <w:p w:rsidR="000D2B81" w:rsidRDefault="000D2B81" w:rsidP="000D2B81">
      <w:pPr>
        <w:pStyle w:val="TableFigureCaption"/>
      </w:pPr>
      <w:r w:rsidRPr="0038124C">
        <w:t xml:space="preserve">Aggregate Ex Ante Annual Peak Day Load </w:t>
      </w:r>
      <w:r>
        <w:t xml:space="preserve">Impact Uncertainty for SCE CBP </w:t>
      </w:r>
    </w:p>
    <w:p w:rsidR="000D2B81" w:rsidRPr="000D2B81" w:rsidRDefault="000D2B81" w:rsidP="000D2B81">
      <w:pPr>
        <w:pStyle w:val="TableFigureCaption"/>
      </w:pPr>
      <w:r>
        <w:t>(Hourly Average Reduction from 1 to 6 PM)</w:t>
      </w:r>
    </w:p>
    <w:tbl>
      <w:tblPr>
        <w:tblW w:w="4947" w:type="dxa"/>
        <w:jc w:val="center"/>
        <w:tblInd w:w="95" w:type="dxa"/>
        <w:tblLook w:val="04A0"/>
      </w:tblPr>
      <w:tblGrid>
        <w:gridCol w:w="1498"/>
        <w:gridCol w:w="1455"/>
        <w:gridCol w:w="997"/>
        <w:gridCol w:w="997"/>
      </w:tblGrid>
      <w:tr w:rsidR="00603093" w:rsidRPr="00603093" w:rsidTr="00603093">
        <w:trPr>
          <w:trHeight w:val="300"/>
          <w:jc w:val="center"/>
        </w:trPr>
        <w:tc>
          <w:tcPr>
            <w:tcW w:w="1498" w:type="dxa"/>
            <w:vMerge w:val="restart"/>
            <w:tcBorders>
              <w:top w:val="nil"/>
              <w:left w:val="single" w:sz="8" w:space="0" w:color="FFFFFF"/>
              <w:bottom w:val="single" w:sz="8" w:space="0" w:color="FFFFFF"/>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Year</w:t>
            </w:r>
          </w:p>
        </w:tc>
        <w:tc>
          <w:tcPr>
            <w:tcW w:w="1455" w:type="dxa"/>
            <w:vMerge w:val="restart"/>
            <w:tcBorders>
              <w:top w:val="nil"/>
              <w:left w:val="single" w:sz="8" w:space="0" w:color="FFFFFF"/>
              <w:bottom w:val="single" w:sz="8" w:space="0" w:color="FFFFFF"/>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proofErr w:type="spellStart"/>
            <w:r w:rsidRPr="00603093">
              <w:rPr>
                <w:rFonts w:ascii="Arial" w:eastAsia="Times New Roman" w:hAnsi="Arial" w:cs="Arial"/>
                <w:color w:val="FFFFFF"/>
                <w:sz w:val="18"/>
                <w:szCs w:val="18"/>
              </w:rPr>
              <w:t>Agg</w:t>
            </w:r>
            <w:proofErr w:type="spellEnd"/>
            <w:r w:rsidRPr="00603093">
              <w:rPr>
                <w:rFonts w:ascii="Arial" w:eastAsia="Times New Roman" w:hAnsi="Arial" w:cs="Arial"/>
                <w:color w:val="FFFFFF"/>
                <w:sz w:val="18"/>
                <w:szCs w:val="18"/>
              </w:rPr>
              <w:t>. Load Impact (MW)</w:t>
            </w:r>
          </w:p>
        </w:tc>
        <w:tc>
          <w:tcPr>
            <w:tcW w:w="1994" w:type="dxa"/>
            <w:gridSpan w:val="2"/>
            <w:tcBorders>
              <w:top w:val="nil"/>
              <w:left w:val="nil"/>
              <w:bottom w:val="single" w:sz="8" w:space="0" w:color="FFFFFF"/>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Impact Uncertainty</w:t>
            </w:r>
          </w:p>
        </w:tc>
      </w:tr>
      <w:tr w:rsidR="00603093" w:rsidRPr="00603093" w:rsidTr="00603093">
        <w:trPr>
          <w:trHeight w:val="936"/>
          <w:jc w:val="center"/>
        </w:trPr>
        <w:tc>
          <w:tcPr>
            <w:tcW w:w="1498" w:type="dxa"/>
            <w:vMerge/>
            <w:tcBorders>
              <w:top w:val="nil"/>
              <w:left w:val="single" w:sz="8" w:space="0" w:color="FFFFFF"/>
              <w:bottom w:val="single" w:sz="8" w:space="0" w:color="FFFFFF"/>
              <w:right w:val="single" w:sz="8" w:space="0" w:color="FFFFFF"/>
            </w:tcBorders>
            <w:vAlign w:val="center"/>
            <w:hideMark/>
          </w:tcPr>
          <w:p w:rsidR="00603093" w:rsidRPr="00603093" w:rsidRDefault="00603093" w:rsidP="00603093">
            <w:pPr>
              <w:spacing w:after="0" w:line="240" w:lineRule="auto"/>
              <w:rPr>
                <w:rFonts w:ascii="Arial" w:eastAsia="Times New Roman" w:hAnsi="Arial" w:cs="Arial"/>
                <w:color w:val="FFFFFF"/>
                <w:sz w:val="18"/>
                <w:szCs w:val="18"/>
              </w:rPr>
            </w:pPr>
          </w:p>
        </w:tc>
        <w:tc>
          <w:tcPr>
            <w:tcW w:w="1455" w:type="dxa"/>
            <w:vMerge/>
            <w:tcBorders>
              <w:top w:val="nil"/>
              <w:left w:val="single" w:sz="8" w:space="0" w:color="FFFFFF"/>
              <w:bottom w:val="single" w:sz="8" w:space="0" w:color="FFFFFF"/>
              <w:right w:val="single" w:sz="8" w:space="0" w:color="FFFFFF"/>
            </w:tcBorders>
            <w:vAlign w:val="center"/>
            <w:hideMark/>
          </w:tcPr>
          <w:p w:rsidR="00603093" w:rsidRPr="00603093" w:rsidRDefault="00603093" w:rsidP="00603093">
            <w:pPr>
              <w:spacing w:after="0" w:line="240" w:lineRule="auto"/>
              <w:rPr>
                <w:rFonts w:ascii="Arial" w:eastAsia="Times New Roman" w:hAnsi="Arial" w:cs="Arial"/>
                <w:color w:val="FFFFFF"/>
                <w:sz w:val="18"/>
                <w:szCs w:val="18"/>
              </w:rPr>
            </w:pPr>
          </w:p>
        </w:tc>
        <w:tc>
          <w:tcPr>
            <w:tcW w:w="997" w:type="dxa"/>
            <w:tcBorders>
              <w:top w:val="nil"/>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10th percentile</w:t>
            </w:r>
          </w:p>
        </w:tc>
        <w:tc>
          <w:tcPr>
            <w:tcW w:w="997" w:type="dxa"/>
            <w:tcBorders>
              <w:top w:val="nil"/>
              <w:left w:val="nil"/>
              <w:bottom w:val="nil"/>
              <w:right w:val="nil"/>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90th percentile</w:t>
            </w:r>
          </w:p>
        </w:tc>
      </w:tr>
      <w:tr w:rsidR="00603093" w:rsidRPr="00603093" w:rsidTr="00603093">
        <w:trPr>
          <w:trHeight w:val="312"/>
          <w:jc w:val="center"/>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2012</w:t>
            </w:r>
          </w:p>
        </w:tc>
        <w:tc>
          <w:tcPr>
            <w:tcW w:w="1455"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167.1</w:t>
            </w:r>
          </w:p>
        </w:tc>
        <w:tc>
          <w:tcPr>
            <w:tcW w:w="99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156.1</w:t>
            </w:r>
          </w:p>
        </w:tc>
        <w:tc>
          <w:tcPr>
            <w:tcW w:w="99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178.0</w:t>
            </w:r>
          </w:p>
        </w:tc>
      </w:tr>
      <w:tr w:rsidR="00603093" w:rsidRPr="00603093" w:rsidTr="00603093">
        <w:trPr>
          <w:trHeight w:val="288"/>
          <w:jc w:val="center"/>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2013</w:t>
            </w:r>
          </w:p>
        </w:tc>
        <w:tc>
          <w:tcPr>
            <w:tcW w:w="1455"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182.4</w:t>
            </w:r>
          </w:p>
        </w:tc>
        <w:tc>
          <w:tcPr>
            <w:tcW w:w="99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170.4</w:t>
            </w:r>
          </w:p>
        </w:tc>
        <w:tc>
          <w:tcPr>
            <w:tcW w:w="99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194.4</w:t>
            </w:r>
          </w:p>
        </w:tc>
      </w:tr>
      <w:tr w:rsidR="00603093" w:rsidRPr="00603093" w:rsidTr="00603093">
        <w:trPr>
          <w:trHeight w:val="288"/>
          <w:jc w:val="center"/>
        </w:trPr>
        <w:tc>
          <w:tcPr>
            <w:tcW w:w="1498" w:type="dxa"/>
            <w:tcBorders>
              <w:top w:val="nil"/>
              <w:left w:val="single" w:sz="4" w:space="0" w:color="auto"/>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2014 - 2022</w:t>
            </w:r>
          </w:p>
        </w:tc>
        <w:tc>
          <w:tcPr>
            <w:tcW w:w="1455"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199.3</w:t>
            </w:r>
          </w:p>
        </w:tc>
        <w:tc>
          <w:tcPr>
            <w:tcW w:w="99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186.2</w:t>
            </w:r>
          </w:p>
        </w:tc>
        <w:tc>
          <w:tcPr>
            <w:tcW w:w="99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212.4</w:t>
            </w:r>
          </w:p>
        </w:tc>
      </w:tr>
    </w:tbl>
    <w:p w:rsidR="000D2B81" w:rsidRPr="000D2B81" w:rsidRDefault="000D2B81" w:rsidP="000D2B81">
      <w:pPr>
        <w:pStyle w:val="BodyParagraph"/>
      </w:pPr>
    </w:p>
    <w:p w:rsidR="002070AB" w:rsidRPr="00E52775" w:rsidRDefault="002070AB" w:rsidP="002070AB">
      <w:pPr>
        <w:pStyle w:val="BodyParagraph"/>
      </w:pPr>
      <w:r>
        <w:t>SCE</w:t>
      </w:r>
      <w:r w:rsidRPr="00E84E74">
        <w:t xml:space="preserve"> is compr</w:t>
      </w:r>
      <w:r>
        <w:t xml:space="preserve">ised of several </w:t>
      </w:r>
      <w:r w:rsidRPr="00E84E74">
        <w:t>geographic planning zones known as local capacity areas (LCAs).</w:t>
      </w:r>
      <w:r w:rsidR="007E6409">
        <w:t xml:space="preserve"> SCE expects a reduction of 63 kW and 92 kW per customer for customers enrolled in day-ahead and same-day resources, respectively.  </w:t>
      </w:r>
      <w:r>
        <w:t>The ex ante load impacts differ</w:t>
      </w:r>
      <w:r w:rsidRPr="00E84E74">
        <w:t xml:space="preserve"> </w:t>
      </w:r>
      <w:r>
        <w:t>by geographic location due to differences in the total population, industry mix and, to a lesser extent, climate.</w:t>
      </w:r>
      <w:r w:rsidR="007E6409">
        <w:t xml:space="preserve"> The impacts vary by geographic location and size and reflect the patterns observed in demand reductions during actual historical events.  </w:t>
      </w:r>
      <w:fldSimple w:instr=" REF _Ref323827709  \* MERGEFORMAT ">
        <w:r w:rsidR="00F66D5E" w:rsidRPr="0038124C">
          <w:t xml:space="preserve">Table </w:t>
        </w:r>
        <w:r w:rsidR="00F66D5E">
          <w:t>8</w:t>
        </w:r>
        <w:r w:rsidR="00F66D5E">
          <w:noBreakHyphen/>
          <w:t>4</w:t>
        </w:r>
      </w:fldSimple>
      <w:r>
        <w:t xml:space="preserve"> summarizes the ex ante load reduction capability of DRRC customers by LCA and customer size during an August system peak day in 2012</w:t>
      </w:r>
      <w:r w:rsidR="007E6409">
        <w:t xml:space="preserve"> under 1-in-2 weather conditions</w:t>
      </w:r>
      <w:r>
        <w:t>.</w:t>
      </w:r>
    </w:p>
    <w:p w:rsidR="002070AB" w:rsidRDefault="002070AB" w:rsidP="002070AB">
      <w:pPr>
        <w:pStyle w:val="TableFigureCaption"/>
      </w:pPr>
      <w:bookmarkStart w:id="395" w:name="_Ref323827709"/>
      <w:r w:rsidRPr="0038124C">
        <w:t xml:space="preserve">Table </w:t>
      </w:r>
      <w:fldSimple w:instr=" STYLEREF 1 \s ">
        <w:r w:rsidR="00F66D5E">
          <w:rPr>
            <w:noProof/>
          </w:rPr>
          <w:t>8</w:t>
        </w:r>
      </w:fldSimple>
      <w:r w:rsidR="00F55000">
        <w:noBreakHyphen/>
      </w:r>
      <w:fldSimple w:instr=" SEQ Table \* ARABIC \s 1 ">
        <w:r w:rsidR="00F66D5E">
          <w:rPr>
            <w:noProof/>
          </w:rPr>
          <w:t>4</w:t>
        </w:r>
      </w:fldSimple>
      <w:bookmarkEnd w:id="395"/>
      <w:r w:rsidRPr="0038124C">
        <w:t>:</w:t>
      </w:r>
    </w:p>
    <w:p w:rsidR="002070AB" w:rsidRPr="00DC66F9" w:rsidRDefault="002070AB" w:rsidP="002070AB">
      <w:pPr>
        <w:pStyle w:val="TableFigureCaption"/>
      </w:pPr>
      <w:r>
        <w:t xml:space="preserve">2012 </w:t>
      </w:r>
      <w:r w:rsidRPr="0038124C">
        <w:t xml:space="preserve">Ex Ante Annual Peak Day Load </w:t>
      </w:r>
      <w:r>
        <w:t>Impacts for SCE DRRC</w:t>
      </w:r>
      <w:r w:rsidR="007E6409">
        <w:t xml:space="preserve"> b</w:t>
      </w:r>
      <w:r>
        <w:t>y LCA and Customer Size</w:t>
      </w:r>
    </w:p>
    <w:p w:rsidR="002070AB" w:rsidRPr="00E52775" w:rsidRDefault="002070AB" w:rsidP="002070AB">
      <w:pPr>
        <w:pStyle w:val="TableFigureCaption"/>
      </w:pPr>
      <w:r>
        <w:t>(Hourly Average Reduction from 1 to 6 PM)</w:t>
      </w:r>
    </w:p>
    <w:tbl>
      <w:tblPr>
        <w:tblW w:w="0" w:type="auto"/>
        <w:tblLayout w:type="fixed"/>
        <w:tblLook w:val="04A0"/>
      </w:tblPr>
      <w:tblGrid>
        <w:gridCol w:w="440"/>
        <w:gridCol w:w="1544"/>
        <w:gridCol w:w="935"/>
        <w:gridCol w:w="975"/>
        <w:gridCol w:w="888"/>
        <w:gridCol w:w="918"/>
        <w:gridCol w:w="936"/>
        <w:gridCol w:w="976"/>
        <w:gridCol w:w="889"/>
        <w:gridCol w:w="917"/>
      </w:tblGrid>
      <w:tr w:rsidR="00B16AB3" w:rsidRPr="007E6409" w:rsidTr="007E6409">
        <w:trPr>
          <w:trHeight w:val="288"/>
        </w:trPr>
        <w:tc>
          <w:tcPr>
            <w:tcW w:w="1984" w:type="dxa"/>
            <w:gridSpan w:val="2"/>
            <w:vMerge w:val="restart"/>
            <w:tcBorders>
              <w:top w:val="nil"/>
              <w:left w:val="nil"/>
              <w:bottom w:val="nil"/>
              <w:right w:val="single" w:sz="4" w:space="0" w:color="FFFFFF"/>
            </w:tcBorders>
            <w:shd w:val="clear" w:color="000000" w:fill="1F497D"/>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FFFFFF"/>
                <w:sz w:val="16"/>
                <w:szCs w:val="16"/>
              </w:rPr>
            </w:pPr>
            <w:r w:rsidRPr="007E6409">
              <w:rPr>
                <w:rFonts w:ascii="Arial" w:eastAsia="Times New Roman" w:hAnsi="Arial" w:cs="Arial"/>
                <w:color w:val="FFFFFF"/>
                <w:sz w:val="16"/>
                <w:szCs w:val="16"/>
              </w:rPr>
              <w:t>Customer Subcategory</w:t>
            </w:r>
          </w:p>
        </w:tc>
        <w:tc>
          <w:tcPr>
            <w:tcW w:w="3716" w:type="dxa"/>
            <w:gridSpan w:val="4"/>
            <w:tcBorders>
              <w:top w:val="nil"/>
              <w:left w:val="nil"/>
              <w:bottom w:val="single" w:sz="4" w:space="0" w:color="FFFFFF"/>
              <w:right w:val="nil"/>
            </w:tcBorders>
            <w:shd w:val="clear" w:color="000000" w:fill="1F497D"/>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FFFFFF"/>
                <w:sz w:val="16"/>
                <w:szCs w:val="16"/>
              </w:rPr>
            </w:pPr>
            <w:r w:rsidRPr="007E6409">
              <w:rPr>
                <w:rFonts w:ascii="Arial" w:eastAsia="Times New Roman" w:hAnsi="Arial" w:cs="Arial"/>
                <w:color w:val="FFFFFF"/>
                <w:sz w:val="16"/>
                <w:szCs w:val="16"/>
              </w:rPr>
              <w:t>DRRC-DA</w:t>
            </w:r>
          </w:p>
        </w:tc>
        <w:tc>
          <w:tcPr>
            <w:tcW w:w="3718" w:type="dxa"/>
            <w:gridSpan w:val="4"/>
            <w:tcBorders>
              <w:top w:val="nil"/>
              <w:left w:val="single" w:sz="4" w:space="0" w:color="FFFFFF"/>
              <w:bottom w:val="single" w:sz="4" w:space="0" w:color="FFFFFF"/>
              <w:right w:val="nil"/>
            </w:tcBorders>
            <w:shd w:val="clear" w:color="000000" w:fill="1F497D"/>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FFFFFF"/>
                <w:sz w:val="16"/>
                <w:szCs w:val="16"/>
              </w:rPr>
            </w:pPr>
            <w:r w:rsidRPr="007E6409">
              <w:rPr>
                <w:rFonts w:ascii="Arial" w:eastAsia="Times New Roman" w:hAnsi="Arial" w:cs="Arial"/>
                <w:color w:val="FFFFFF"/>
                <w:sz w:val="16"/>
                <w:szCs w:val="16"/>
              </w:rPr>
              <w:t>DRRC-DO</w:t>
            </w:r>
          </w:p>
        </w:tc>
      </w:tr>
      <w:tr w:rsidR="007E6409" w:rsidRPr="007E6409" w:rsidTr="007E6409">
        <w:trPr>
          <w:trHeight w:val="1224"/>
        </w:trPr>
        <w:tc>
          <w:tcPr>
            <w:tcW w:w="1984" w:type="dxa"/>
            <w:gridSpan w:val="2"/>
            <w:vMerge/>
            <w:tcBorders>
              <w:top w:val="nil"/>
              <w:left w:val="nil"/>
              <w:bottom w:val="nil"/>
              <w:right w:val="single" w:sz="4" w:space="0" w:color="FFFFFF"/>
            </w:tcBorders>
            <w:tcMar>
              <w:left w:w="29" w:type="dxa"/>
              <w:right w:w="29" w:type="dxa"/>
            </w:tcMar>
            <w:vAlign w:val="center"/>
            <w:hideMark/>
          </w:tcPr>
          <w:p w:rsidR="007E6409" w:rsidRPr="007E6409" w:rsidRDefault="007E6409" w:rsidP="00B16AB3">
            <w:pPr>
              <w:spacing w:after="0" w:line="240" w:lineRule="auto"/>
              <w:rPr>
                <w:rFonts w:ascii="Arial" w:eastAsia="Times New Roman" w:hAnsi="Arial" w:cs="Arial"/>
                <w:color w:val="FFFFFF"/>
                <w:sz w:val="16"/>
                <w:szCs w:val="16"/>
              </w:rPr>
            </w:pPr>
          </w:p>
        </w:tc>
        <w:tc>
          <w:tcPr>
            <w:tcW w:w="935" w:type="dxa"/>
            <w:tcBorders>
              <w:top w:val="nil"/>
              <w:left w:val="nil"/>
              <w:bottom w:val="nil"/>
              <w:right w:val="single" w:sz="4" w:space="0" w:color="FFFFFF"/>
            </w:tcBorders>
            <w:shd w:val="clear" w:color="000000" w:fill="1F497D"/>
            <w:tcMar>
              <w:left w:w="29" w:type="dxa"/>
              <w:right w:w="29" w:type="dxa"/>
            </w:tcMar>
            <w:vAlign w:val="bottom"/>
            <w:hideMark/>
          </w:tcPr>
          <w:p w:rsidR="007E6409" w:rsidRPr="007E6409" w:rsidRDefault="007E6409" w:rsidP="00B16AB3">
            <w:pPr>
              <w:spacing w:after="0" w:line="240" w:lineRule="auto"/>
              <w:jc w:val="center"/>
              <w:rPr>
                <w:rFonts w:ascii="Arial" w:eastAsia="Times New Roman" w:hAnsi="Arial" w:cs="Arial"/>
                <w:color w:val="FFFFFF"/>
                <w:sz w:val="16"/>
                <w:szCs w:val="16"/>
              </w:rPr>
            </w:pPr>
            <w:r w:rsidRPr="007E6409">
              <w:rPr>
                <w:rFonts w:ascii="Arial" w:eastAsia="Times New Roman" w:hAnsi="Arial" w:cs="Arial"/>
                <w:color w:val="FFFFFF"/>
                <w:sz w:val="16"/>
                <w:szCs w:val="16"/>
              </w:rPr>
              <w:t>Aggregate Load Impact (MW)</w:t>
            </w:r>
          </w:p>
        </w:tc>
        <w:tc>
          <w:tcPr>
            <w:tcW w:w="975" w:type="dxa"/>
            <w:tcBorders>
              <w:top w:val="nil"/>
              <w:left w:val="nil"/>
              <w:bottom w:val="nil"/>
              <w:right w:val="single" w:sz="4" w:space="0" w:color="FFFFFF"/>
            </w:tcBorders>
            <w:shd w:val="clear" w:color="000000" w:fill="1F497D"/>
            <w:tcMar>
              <w:left w:w="29" w:type="dxa"/>
              <w:right w:w="29" w:type="dxa"/>
            </w:tcMar>
            <w:vAlign w:val="bottom"/>
            <w:hideMark/>
          </w:tcPr>
          <w:p w:rsidR="007E6409" w:rsidRPr="007E6409" w:rsidRDefault="007E6409" w:rsidP="00B16AB3">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Nominated Accts</w:t>
            </w:r>
          </w:p>
        </w:tc>
        <w:tc>
          <w:tcPr>
            <w:tcW w:w="888" w:type="dxa"/>
            <w:tcBorders>
              <w:top w:val="nil"/>
              <w:left w:val="nil"/>
              <w:bottom w:val="nil"/>
              <w:right w:val="single" w:sz="4" w:space="0" w:color="FFFFFF"/>
            </w:tcBorders>
            <w:shd w:val="clear" w:color="000000" w:fill="1F497D"/>
            <w:tcMar>
              <w:left w:w="29" w:type="dxa"/>
              <w:right w:w="29" w:type="dxa"/>
            </w:tcMar>
            <w:vAlign w:val="bottom"/>
            <w:hideMark/>
          </w:tcPr>
          <w:p w:rsidR="007E6409" w:rsidRDefault="007E6409" w:rsidP="00B16AB3">
            <w:pPr>
              <w:spacing w:after="0" w:line="240" w:lineRule="auto"/>
              <w:jc w:val="center"/>
              <w:rPr>
                <w:rFonts w:ascii="Arial" w:eastAsia="Times New Roman" w:hAnsi="Arial" w:cs="Arial"/>
                <w:color w:val="FFFFFF"/>
                <w:sz w:val="16"/>
                <w:szCs w:val="16"/>
              </w:rPr>
            </w:pPr>
            <w:r w:rsidRPr="007E6409">
              <w:rPr>
                <w:rFonts w:ascii="Arial" w:eastAsia="Times New Roman" w:hAnsi="Arial" w:cs="Arial"/>
                <w:color w:val="FFFFFF"/>
                <w:sz w:val="16"/>
                <w:szCs w:val="16"/>
              </w:rPr>
              <w:t>Avg. Load Impact</w:t>
            </w:r>
            <w:r>
              <w:rPr>
                <w:rFonts w:ascii="Arial" w:eastAsia="Times New Roman" w:hAnsi="Arial" w:cs="Arial"/>
                <w:color w:val="FFFFFF"/>
                <w:sz w:val="16"/>
                <w:szCs w:val="16"/>
              </w:rPr>
              <w:t xml:space="preserve"> </w:t>
            </w:r>
          </w:p>
          <w:p w:rsidR="007E6409" w:rsidRDefault="007E6409" w:rsidP="00B16AB3">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per Acct</w:t>
            </w:r>
          </w:p>
          <w:p w:rsidR="007E6409" w:rsidRPr="007E6409" w:rsidRDefault="007E6409" w:rsidP="00B16AB3">
            <w:pPr>
              <w:spacing w:after="0" w:line="240" w:lineRule="auto"/>
              <w:jc w:val="center"/>
              <w:rPr>
                <w:rFonts w:ascii="Arial" w:eastAsia="Times New Roman" w:hAnsi="Arial" w:cs="Arial"/>
                <w:color w:val="FFFFFF"/>
                <w:sz w:val="16"/>
                <w:szCs w:val="16"/>
              </w:rPr>
            </w:pPr>
            <w:r w:rsidRPr="007E6409">
              <w:rPr>
                <w:rFonts w:ascii="Arial" w:eastAsia="Times New Roman" w:hAnsi="Arial" w:cs="Arial"/>
                <w:color w:val="FFFFFF"/>
                <w:sz w:val="16"/>
                <w:szCs w:val="16"/>
              </w:rPr>
              <w:t xml:space="preserve"> (kW)</w:t>
            </w:r>
          </w:p>
        </w:tc>
        <w:tc>
          <w:tcPr>
            <w:tcW w:w="918" w:type="dxa"/>
            <w:tcBorders>
              <w:top w:val="nil"/>
              <w:left w:val="nil"/>
              <w:bottom w:val="nil"/>
              <w:right w:val="single" w:sz="4" w:space="0" w:color="FFFFFF"/>
            </w:tcBorders>
            <w:shd w:val="clear" w:color="000000" w:fill="1F497D"/>
            <w:tcMar>
              <w:left w:w="29" w:type="dxa"/>
              <w:right w:w="29" w:type="dxa"/>
            </w:tcMar>
            <w:vAlign w:val="bottom"/>
            <w:hideMark/>
          </w:tcPr>
          <w:p w:rsidR="007E6409" w:rsidRPr="007E6409" w:rsidRDefault="007E6409" w:rsidP="00B16AB3">
            <w:pPr>
              <w:spacing w:after="0" w:line="240" w:lineRule="auto"/>
              <w:jc w:val="center"/>
              <w:rPr>
                <w:rFonts w:ascii="Arial" w:eastAsia="Times New Roman" w:hAnsi="Arial" w:cs="Arial"/>
                <w:color w:val="FFFFFF"/>
                <w:sz w:val="16"/>
                <w:szCs w:val="16"/>
              </w:rPr>
            </w:pPr>
            <w:r w:rsidRPr="007E6409">
              <w:rPr>
                <w:rFonts w:ascii="Arial" w:eastAsia="Times New Roman" w:hAnsi="Arial" w:cs="Arial"/>
                <w:color w:val="FFFFFF"/>
                <w:sz w:val="16"/>
                <w:szCs w:val="16"/>
              </w:rPr>
              <w:t>% Load Reduction</w:t>
            </w:r>
          </w:p>
        </w:tc>
        <w:tc>
          <w:tcPr>
            <w:tcW w:w="936" w:type="dxa"/>
            <w:tcBorders>
              <w:top w:val="nil"/>
              <w:left w:val="nil"/>
              <w:bottom w:val="nil"/>
              <w:right w:val="single" w:sz="4" w:space="0" w:color="FFFFFF"/>
            </w:tcBorders>
            <w:shd w:val="clear" w:color="000000" w:fill="1F497D"/>
            <w:tcMar>
              <w:left w:w="29" w:type="dxa"/>
              <w:right w:w="29" w:type="dxa"/>
            </w:tcMar>
            <w:vAlign w:val="bottom"/>
            <w:hideMark/>
          </w:tcPr>
          <w:p w:rsidR="007E6409" w:rsidRPr="007E6409" w:rsidRDefault="007E6409" w:rsidP="0063770C">
            <w:pPr>
              <w:spacing w:after="0" w:line="240" w:lineRule="auto"/>
              <w:jc w:val="center"/>
              <w:rPr>
                <w:rFonts w:ascii="Arial" w:eastAsia="Times New Roman" w:hAnsi="Arial" w:cs="Arial"/>
                <w:color w:val="FFFFFF"/>
                <w:sz w:val="16"/>
                <w:szCs w:val="16"/>
              </w:rPr>
            </w:pPr>
            <w:r w:rsidRPr="007E6409">
              <w:rPr>
                <w:rFonts w:ascii="Arial" w:eastAsia="Times New Roman" w:hAnsi="Arial" w:cs="Arial"/>
                <w:color w:val="FFFFFF"/>
                <w:sz w:val="16"/>
                <w:szCs w:val="16"/>
              </w:rPr>
              <w:t>Aggregate Load Impact (MW)</w:t>
            </w:r>
          </w:p>
        </w:tc>
        <w:tc>
          <w:tcPr>
            <w:tcW w:w="976" w:type="dxa"/>
            <w:tcBorders>
              <w:top w:val="nil"/>
              <w:left w:val="nil"/>
              <w:bottom w:val="nil"/>
              <w:right w:val="single" w:sz="4" w:space="0" w:color="FFFFFF"/>
            </w:tcBorders>
            <w:shd w:val="clear" w:color="000000" w:fill="1F497D"/>
            <w:tcMar>
              <w:left w:w="29" w:type="dxa"/>
              <w:right w:w="29" w:type="dxa"/>
            </w:tcMar>
            <w:vAlign w:val="bottom"/>
            <w:hideMark/>
          </w:tcPr>
          <w:p w:rsidR="007E6409" w:rsidRPr="007E6409" w:rsidRDefault="007E6409" w:rsidP="0063770C">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Nominated Accts</w:t>
            </w:r>
          </w:p>
        </w:tc>
        <w:tc>
          <w:tcPr>
            <w:tcW w:w="889" w:type="dxa"/>
            <w:tcBorders>
              <w:top w:val="nil"/>
              <w:left w:val="nil"/>
              <w:bottom w:val="nil"/>
              <w:right w:val="single" w:sz="4" w:space="0" w:color="FFFFFF"/>
            </w:tcBorders>
            <w:shd w:val="clear" w:color="000000" w:fill="1F497D"/>
            <w:tcMar>
              <w:left w:w="29" w:type="dxa"/>
              <w:right w:w="29" w:type="dxa"/>
            </w:tcMar>
            <w:vAlign w:val="bottom"/>
            <w:hideMark/>
          </w:tcPr>
          <w:p w:rsidR="007E6409" w:rsidRDefault="007E6409" w:rsidP="0063770C">
            <w:pPr>
              <w:spacing w:after="0" w:line="240" w:lineRule="auto"/>
              <w:jc w:val="center"/>
              <w:rPr>
                <w:rFonts w:ascii="Arial" w:eastAsia="Times New Roman" w:hAnsi="Arial" w:cs="Arial"/>
                <w:color w:val="FFFFFF"/>
                <w:sz w:val="16"/>
                <w:szCs w:val="16"/>
              </w:rPr>
            </w:pPr>
            <w:r w:rsidRPr="007E6409">
              <w:rPr>
                <w:rFonts w:ascii="Arial" w:eastAsia="Times New Roman" w:hAnsi="Arial" w:cs="Arial"/>
                <w:color w:val="FFFFFF"/>
                <w:sz w:val="16"/>
                <w:szCs w:val="16"/>
              </w:rPr>
              <w:t>Avg. Load Impact</w:t>
            </w:r>
            <w:r>
              <w:rPr>
                <w:rFonts w:ascii="Arial" w:eastAsia="Times New Roman" w:hAnsi="Arial" w:cs="Arial"/>
                <w:color w:val="FFFFFF"/>
                <w:sz w:val="16"/>
                <w:szCs w:val="16"/>
              </w:rPr>
              <w:t xml:space="preserve"> </w:t>
            </w:r>
          </w:p>
          <w:p w:rsidR="007E6409" w:rsidRDefault="007E6409" w:rsidP="0063770C">
            <w:pPr>
              <w:spacing w:after="0" w:line="240" w:lineRule="auto"/>
              <w:jc w:val="center"/>
              <w:rPr>
                <w:rFonts w:ascii="Arial" w:eastAsia="Times New Roman" w:hAnsi="Arial" w:cs="Arial"/>
                <w:color w:val="FFFFFF"/>
                <w:sz w:val="16"/>
                <w:szCs w:val="16"/>
              </w:rPr>
            </w:pPr>
            <w:r>
              <w:rPr>
                <w:rFonts w:ascii="Arial" w:eastAsia="Times New Roman" w:hAnsi="Arial" w:cs="Arial"/>
                <w:color w:val="FFFFFF"/>
                <w:sz w:val="16"/>
                <w:szCs w:val="16"/>
              </w:rPr>
              <w:t>per Acct</w:t>
            </w:r>
          </w:p>
          <w:p w:rsidR="007E6409" w:rsidRPr="007E6409" w:rsidRDefault="007E6409" w:rsidP="0063770C">
            <w:pPr>
              <w:spacing w:after="0" w:line="240" w:lineRule="auto"/>
              <w:jc w:val="center"/>
              <w:rPr>
                <w:rFonts w:ascii="Arial" w:eastAsia="Times New Roman" w:hAnsi="Arial" w:cs="Arial"/>
                <w:color w:val="FFFFFF"/>
                <w:sz w:val="16"/>
                <w:szCs w:val="16"/>
              </w:rPr>
            </w:pPr>
            <w:r w:rsidRPr="007E6409">
              <w:rPr>
                <w:rFonts w:ascii="Arial" w:eastAsia="Times New Roman" w:hAnsi="Arial" w:cs="Arial"/>
                <w:color w:val="FFFFFF"/>
                <w:sz w:val="16"/>
                <w:szCs w:val="16"/>
              </w:rPr>
              <w:t xml:space="preserve"> (kW)</w:t>
            </w:r>
          </w:p>
        </w:tc>
        <w:tc>
          <w:tcPr>
            <w:tcW w:w="917" w:type="dxa"/>
            <w:tcBorders>
              <w:top w:val="nil"/>
              <w:left w:val="nil"/>
              <w:bottom w:val="nil"/>
              <w:right w:val="single" w:sz="4" w:space="0" w:color="FFFFFF"/>
            </w:tcBorders>
            <w:shd w:val="clear" w:color="000000" w:fill="1F497D"/>
            <w:tcMar>
              <w:left w:w="29" w:type="dxa"/>
              <w:right w:w="29" w:type="dxa"/>
            </w:tcMar>
            <w:vAlign w:val="bottom"/>
            <w:hideMark/>
          </w:tcPr>
          <w:p w:rsidR="007E6409" w:rsidRPr="007E6409" w:rsidRDefault="007E6409" w:rsidP="0063770C">
            <w:pPr>
              <w:spacing w:after="0" w:line="240" w:lineRule="auto"/>
              <w:jc w:val="center"/>
              <w:rPr>
                <w:rFonts w:ascii="Arial" w:eastAsia="Times New Roman" w:hAnsi="Arial" w:cs="Arial"/>
                <w:color w:val="FFFFFF"/>
                <w:sz w:val="16"/>
                <w:szCs w:val="16"/>
              </w:rPr>
            </w:pPr>
            <w:r w:rsidRPr="007E6409">
              <w:rPr>
                <w:rFonts w:ascii="Arial" w:eastAsia="Times New Roman" w:hAnsi="Arial" w:cs="Arial"/>
                <w:color w:val="FFFFFF"/>
                <w:sz w:val="16"/>
                <w:szCs w:val="16"/>
              </w:rPr>
              <w:t>% Load Reduction</w:t>
            </w:r>
          </w:p>
        </w:tc>
      </w:tr>
      <w:tr w:rsidR="00B16AB3" w:rsidRPr="007E6409" w:rsidTr="007E6409">
        <w:trPr>
          <w:trHeight w:val="288"/>
        </w:trPr>
        <w:tc>
          <w:tcPr>
            <w:tcW w:w="440" w:type="dxa"/>
            <w:vMerge w:val="restart"/>
            <w:tcBorders>
              <w:top w:val="nil"/>
              <w:left w:val="single" w:sz="4" w:space="0" w:color="auto"/>
              <w:bottom w:val="single" w:sz="4" w:space="0" w:color="000000"/>
              <w:right w:val="single" w:sz="4" w:space="0" w:color="auto"/>
            </w:tcBorders>
            <w:shd w:val="clear" w:color="auto" w:fill="auto"/>
            <w:noWrap/>
            <w:tcMar>
              <w:left w:w="29" w:type="dxa"/>
              <w:right w:w="29" w:type="dxa"/>
            </w:tcMar>
            <w:vAlign w:val="center"/>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LCA</w:t>
            </w:r>
          </w:p>
        </w:tc>
        <w:tc>
          <w:tcPr>
            <w:tcW w:w="1544"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LA Basin</w:t>
            </w:r>
          </w:p>
        </w:tc>
        <w:tc>
          <w:tcPr>
            <w:tcW w:w="93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9.8</w:t>
            </w:r>
          </w:p>
        </w:tc>
        <w:tc>
          <w:tcPr>
            <w:tcW w:w="975"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130</w:t>
            </w:r>
          </w:p>
        </w:tc>
        <w:tc>
          <w:tcPr>
            <w:tcW w:w="888"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75.3</w:t>
            </w:r>
          </w:p>
        </w:tc>
        <w:tc>
          <w:tcPr>
            <w:tcW w:w="918"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19.5%</w:t>
            </w:r>
          </w:p>
        </w:tc>
        <w:tc>
          <w:tcPr>
            <w:tcW w:w="936"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121.0</w:t>
            </w:r>
          </w:p>
        </w:tc>
        <w:tc>
          <w:tcPr>
            <w:tcW w:w="976"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1300</w:t>
            </w:r>
          </w:p>
        </w:tc>
        <w:tc>
          <w:tcPr>
            <w:tcW w:w="889"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93.1</w:t>
            </w:r>
          </w:p>
        </w:tc>
        <w:tc>
          <w:tcPr>
            <w:tcW w:w="917" w:type="dxa"/>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23.3%</w:t>
            </w:r>
          </w:p>
        </w:tc>
      </w:tr>
      <w:tr w:rsidR="00B16AB3" w:rsidRPr="007E6409" w:rsidTr="007E6409">
        <w:trPr>
          <w:trHeight w:val="288"/>
        </w:trPr>
        <w:tc>
          <w:tcPr>
            <w:tcW w:w="440" w:type="dxa"/>
            <w:vMerge/>
            <w:tcBorders>
              <w:top w:val="nil"/>
              <w:left w:val="single" w:sz="4" w:space="0" w:color="auto"/>
              <w:bottom w:val="single" w:sz="4" w:space="0" w:color="000000"/>
              <w:right w:val="single" w:sz="4" w:space="0" w:color="auto"/>
            </w:tcBorders>
            <w:tcMar>
              <w:left w:w="29" w:type="dxa"/>
              <w:right w:w="29" w:type="dxa"/>
            </w:tcMar>
            <w:vAlign w:val="center"/>
            <w:hideMark/>
          </w:tcPr>
          <w:p w:rsidR="00B16AB3" w:rsidRPr="007E6409" w:rsidRDefault="00B16AB3" w:rsidP="00B16AB3">
            <w:pPr>
              <w:spacing w:after="0" w:line="240" w:lineRule="auto"/>
              <w:rPr>
                <w:rFonts w:ascii="Arial" w:eastAsia="Times New Roman" w:hAnsi="Arial" w:cs="Arial"/>
                <w:color w:val="000000"/>
                <w:sz w:val="16"/>
                <w:szCs w:val="16"/>
              </w:rPr>
            </w:pPr>
          </w:p>
        </w:tc>
        <w:tc>
          <w:tcPr>
            <w:tcW w:w="15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Outside LA</w:t>
            </w:r>
          </w:p>
        </w:tc>
        <w:tc>
          <w:tcPr>
            <w:tcW w:w="93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0.3</w:t>
            </w:r>
          </w:p>
        </w:tc>
        <w:tc>
          <w:tcPr>
            <w:tcW w:w="9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8</w:t>
            </w:r>
          </w:p>
        </w:tc>
        <w:tc>
          <w:tcPr>
            <w:tcW w:w="88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39.8</w:t>
            </w:r>
          </w:p>
        </w:tc>
        <w:tc>
          <w:tcPr>
            <w:tcW w:w="91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22.6%</w:t>
            </w:r>
          </w:p>
        </w:tc>
        <w:tc>
          <w:tcPr>
            <w:tcW w:w="9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10.3</w:t>
            </w:r>
          </w:p>
        </w:tc>
        <w:tc>
          <w:tcPr>
            <w:tcW w:w="97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154</w:t>
            </w:r>
          </w:p>
        </w:tc>
        <w:tc>
          <w:tcPr>
            <w:tcW w:w="889"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66.8</w:t>
            </w:r>
          </w:p>
        </w:tc>
        <w:tc>
          <w:tcPr>
            <w:tcW w:w="91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32.3%</w:t>
            </w:r>
          </w:p>
        </w:tc>
      </w:tr>
      <w:tr w:rsidR="00B16AB3" w:rsidRPr="007E6409" w:rsidTr="007E6409">
        <w:trPr>
          <w:trHeight w:val="288"/>
        </w:trPr>
        <w:tc>
          <w:tcPr>
            <w:tcW w:w="440" w:type="dxa"/>
            <w:vMerge/>
            <w:tcBorders>
              <w:top w:val="nil"/>
              <w:left w:val="single" w:sz="4" w:space="0" w:color="auto"/>
              <w:bottom w:val="single" w:sz="4" w:space="0" w:color="000000"/>
              <w:right w:val="single" w:sz="4" w:space="0" w:color="auto"/>
            </w:tcBorders>
            <w:tcMar>
              <w:left w:w="29" w:type="dxa"/>
              <w:right w:w="29" w:type="dxa"/>
            </w:tcMar>
            <w:vAlign w:val="center"/>
            <w:hideMark/>
          </w:tcPr>
          <w:p w:rsidR="00B16AB3" w:rsidRPr="007E6409" w:rsidRDefault="00B16AB3" w:rsidP="00B16AB3">
            <w:pPr>
              <w:spacing w:after="0" w:line="240" w:lineRule="auto"/>
              <w:rPr>
                <w:rFonts w:ascii="Arial" w:eastAsia="Times New Roman" w:hAnsi="Arial" w:cs="Arial"/>
                <w:color w:val="000000"/>
                <w:sz w:val="16"/>
                <w:szCs w:val="16"/>
              </w:rPr>
            </w:pPr>
          </w:p>
        </w:tc>
        <w:tc>
          <w:tcPr>
            <w:tcW w:w="15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Ventura</w:t>
            </w:r>
          </w:p>
        </w:tc>
        <w:tc>
          <w:tcPr>
            <w:tcW w:w="93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3.4</w:t>
            </w:r>
          </w:p>
        </w:tc>
        <w:tc>
          <w:tcPr>
            <w:tcW w:w="9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75</w:t>
            </w:r>
          </w:p>
        </w:tc>
        <w:tc>
          <w:tcPr>
            <w:tcW w:w="88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45.2</w:t>
            </w:r>
          </w:p>
        </w:tc>
        <w:tc>
          <w:tcPr>
            <w:tcW w:w="91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19.1%</w:t>
            </w:r>
          </w:p>
        </w:tc>
        <w:tc>
          <w:tcPr>
            <w:tcW w:w="9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22.4</w:t>
            </w:r>
          </w:p>
        </w:tc>
        <w:tc>
          <w:tcPr>
            <w:tcW w:w="97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216</w:t>
            </w:r>
          </w:p>
        </w:tc>
        <w:tc>
          <w:tcPr>
            <w:tcW w:w="889"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103.6</w:t>
            </w:r>
          </w:p>
        </w:tc>
        <w:tc>
          <w:tcPr>
            <w:tcW w:w="91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19.9%</w:t>
            </w:r>
          </w:p>
        </w:tc>
      </w:tr>
      <w:tr w:rsidR="00B16AB3" w:rsidRPr="007E6409" w:rsidTr="007E6409">
        <w:trPr>
          <w:trHeight w:val="288"/>
        </w:trPr>
        <w:tc>
          <w:tcPr>
            <w:tcW w:w="440" w:type="dxa"/>
            <w:vMerge w:val="restart"/>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Size</w:t>
            </w:r>
          </w:p>
        </w:tc>
        <w:tc>
          <w:tcPr>
            <w:tcW w:w="15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Greater than 200 kW</w:t>
            </w:r>
          </w:p>
        </w:tc>
        <w:tc>
          <w:tcPr>
            <w:tcW w:w="93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9.1</w:t>
            </w:r>
          </w:p>
        </w:tc>
        <w:tc>
          <w:tcPr>
            <w:tcW w:w="9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92</w:t>
            </w:r>
          </w:p>
        </w:tc>
        <w:tc>
          <w:tcPr>
            <w:tcW w:w="88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99.4</w:t>
            </w:r>
          </w:p>
        </w:tc>
        <w:tc>
          <w:tcPr>
            <w:tcW w:w="91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20.6%</w:t>
            </w:r>
          </w:p>
        </w:tc>
        <w:tc>
          <w:tcPr>
            <w:tcW w:w="9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136.1</w:t>
            </w:r>
          </w:p>
        </w:tc>
        <w:tc>
          <w:tcPr>
            <w:tcW w:w="97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1216</w:t>
            </w:r>
          </w:p>
        </w:tc>
        <w:tc>
          <w:tcPr>
            <w:tcW w:w="889"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111.9</w:t>
            </w:r>
          </w:p>
        </w:tc>
        <w:tc>
          <w:tcPr>
            <w:tcW w:w="91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22.4%</w:t>
            </w:r>
          </w:p>
        </w:tc>
      </w:tr>
      <w:tr w:rsidR="00B16AB3" w:rsidRPr="007E6409" w:rsidTr="007E6409">
        <w:trPr>
          <w:trHeight w:val="288"/>
        </w:trPr>
        <w:tc>
          <w:tcPr>
            <w:tcW w:w="440" w:type="dxa"/>
            <w:vMerge/>
            <w:tcBorders>
              <w:top w:val="nil"/>
              <w:left w:val="single" w:sz="4" w:space="0" w:color="auto"/>
              <w:bottom w:val="single" w:sz="4" w:space="0" w:color="auto"/>
              <w:right w:val="single" w:sz="4" w:space="0" w:color="auto"/>
            </w:tcBorders>
            <w:tcMar>
              <w:left w:w="29" w:type="dxa"/>
              <w:right w:w="29" w:type="dxa"/>
            </w:tcMar>
            <w:vAlign w:val="center"/>
            <w:hideMark/>
          </w:tcPr>
          <w:p w:rsidR="00B16AB3" w:rsidRPr="007E6409" w:rsidRDefault="00B16AB3" w:rsidP="00B16AB3">
            <w:pPr>
              <w:spacing w:after="0" w:line="240" w:lineRule="auto"/>
              <w:rPr>
                <w:rFonts w:ascii="Arial" w:eastAsia="Times New Roman" w:hAnsi="Arial" w:cs="Arial"/>
                <w:color w:val="000000"/>
                <w:sz w:val="16"/>
                <w:szCs w:val="16"/>
              </w:rPr>
            </w:pPr>
          </w:p>
        </w:tc>
        <w:tc>
          <w:tcPr>
            <w:tcW w:w="15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20 kW to 199.99 kW</w:t>
            </w:r>
          </w:p>
        </w:tc>
        <w:tc>
          <w:tcPr>
            <w:tcW w:w="93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4.4</w:t>
            </w:r>
          </w:p>
        </w:tc>
        <w:tc>
          <w:tcPr>
            <w:tcW w:w="9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119</w:t>
            </w:r>
          </w:p>
        </w:tc>
        <w:tc>
          <w:tcPr>
            <w:tcW w:w="88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36.6</w:t>
            </w:r>
          </w:p>
        </w:tc>
        <w:tc>
          <w:tcPr>
            <w:tcW w:w="91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47.4%</w:t>
            </w:r>
          </w:p>
        </w:tc>
        <w:tc>
          <w:tcPr>
            <w:tcW w:w="9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16.0</w:t>
            </w:r>
          </w:p>
        </w:tc>
        <w:tc>
          <w:tcPr>
            <w:tcW w:w="97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442</w:t>
            </w:r>
          </w:p>
        </w:tc>
        <w:tc>
          <w:tcPr>
            <w:tcW w:w="889"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36.2</w:t>
            </w:r>
          </w:p>
        </w:tc>
        <w:tc>
          <w:tcPr>
            <w:tcW w:w="91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45.1%</w:t>
            </w:r>
          </w:p>
        </w:tc>
      </w:tr>
      <w:tr w:rsidR="00B16AB3" w:rsidRPr="007E6409" w:rsidTr="007E6409">
        <w:trPr>
          <w:trHeight w:val="288"/>
        </w:trPr>
        <w:tc>
          <w:tcPr>
            <w:tcW w:w="440" w:type="dxa"/>
            <w:vMerge/>
            <w:tcBorders>
              <w:top w:val="nil"/>
              <w:left w:val="single" w:sz="4" w:space="0" w:color="auto"/>
              <w:bottom w:val="single" w:sz="4" w:space="0" w:color="auto"/>
              <w:right w:val="single" w:sz="4" w:space="0" w:color="auto"/>
            </w:tcBorders>
            <w:tcMar>
              <w:left w:w="29" w:type="dxa"/>
              <w:right w:w="29" w:type="dxa"/>
            </w:tcMar>
            <w:vAlign w:val="center"/>
            <w:hideMark/>
          </w:tcPr>
          <w:p w:rsidR="00B16AB3" w:rsidRPr="007E6409" w:rsidRDefault="00B16AB3" w:rsidP="00B16AB3">
            <w:pPr>
              <w:spacing w:after="0" w:line="240" w:lineRule="auto"/>
              <w:rPr>
                <w:rFonts w:ascii="Arial" w:eastAsia="Times New Roman" w:hAnsi="Arial" w:cs="Arial"/>
                <w:color w:val="000000"/>
                <w:sz w:val="16"/>
                <w:szCs w:val="16"/>
              </w:rPr>
            </w:pPr>
          </w:p>
        </w:tc>
        <w:tc>
          <w:tcPr>
            <w:tcW w:w="1544"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Less than 20 kW</w:t>
            </w:r>
          </w:p>
        </w:tc>
        <w:tc>
          <w:tcPr>
            <w:tcW w:w="93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0.0</w:t>
            </w:r>
          </w:p>
        </w:tc>
        <w:tc>
          <w:tcPr>
            <w:tcW w:w="9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0</w:t>
            </w:r>
          </w:p>
        </w:tc>
        <w:tc>
          <w:tcPr>
            <w:tcW w:w="88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0.0</w:t>
            </w:r>
          </w:p>
        </w:tc>
        <w:tc>
          <w:tcPr>
            <w:tcW w:w="91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0.0%</w:t>
            </w:r>
          </w:p>
        </w:tc>
        <w:tc>
          <w:tcPr>
            <w:tcW w:w="9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0.0</w:t>
            </w:r>
          </w:p>
        </w:tc>
        <w:tc>
          <w:tcPr>
            <w:tcW w:w="97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12</w:t>
            </w:r>
          </w:p>
        </w:tc>
        <w:tc>
          <w:tcPr>
            <w:tcW w:w="889"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0.2</w:t>
            </w:r>
          </w:p>
        </w:tc>
        <w:tc>
          <w:tcPr>
            <w:tcW w:w="91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84.2%</w:t>
            </w:r>
          </w:p>
        </w:tc>
      </w:tr>
      <w:tr w:rsidR="00B16AB3" w:rsidRPr="007E6409" w:rsidTr="007E6409">
        <w:trPr>
          <w:trHeight w:val="288"/>
        </w:trPr>
        <w:tc>
          <w:tcPr>
            <w:tcW w:w="1984" w:type="dxa"/>
            <w:gridSpan w:val="2"/>
            <w:tcBorders>
              <w:top w:val="single" w:sz="4" w:space="0" w:color="auto"/>
              <w:left w:val="single" w:sz="4" w:space="0" w:color="auto"/>
              <w:bottom w:val="single" w:sz="4" w:space="0" w:color="auto"/>
              <w:right w:val="single" w:sz="4" w:space="0" w:color="000000"/>
            </w:tcBorders>
            <w:shd w:val="clear" w:color="auto" w:fill="auto"/>
            <w:noWrap/>
            <w:tcMar>
              <w:left w:w="29" w:type="dxa"/>
              <w:right w:w="29" w:type="dxa"/>
            </w:tcMar>
            <w:vAlign w:val="center"/>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All Customers</w:t>
            </w:r>
          </w:p>
        </w:tc>
        <w:tc>
          <w:tcPr>
            <w:tcW w:w="93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13.5</w:t>
            </w:r>
          </w:p>
        </w:tc>
        <w:tc>
          <w:tcPr>
            <w:tcW w:w="975"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214</w:t>
            </w:r>
          </w:p>
        </w:tc>
        <w:tc>
          <w:tcPr>
            <w:tcW w:w="88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63.2</w:t>
            </w:r>
          </w:p>
        </w:tc>
        <w:tc>
          <w:tcPr>
            <w:tcW w:w="918"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17.7%</w:t>
            </w:r>
          </w:p>
        </w:tc>
        <w:tc>
          <w:tcPr>
            <w:tcW w:w="93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153.5</w:t>
            </w:r>
          </w:p>
        </w:tc>
        <w:tc>
          <w:tcPr>
            <w:tcW w:w="976"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1670</w:t>
            </w:r>
          </w:p>
        </w:tc>
        <w:tc>
          <w:tcPr>
            <w:tcW w:w="889"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91.9</w:t>
            </w:r>
          </w:p>
        </w:tc>
        <w:tc>
          <w:tcPr>
            <w:tcW w:w="917" w:type="dxa"/>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7E6409" w:rsidRDefault="00B16AB3" w:rsidP="00B16AB3">
            <w:pPr>
              <w:spacing w:after="0" w:line="240" w:lineRule="auto"/>
              <w:jc w:val="center"/>
              <w:rPr>
                <w:rFonts w:ascii="Arial" w:eastAsia="Times New Roman" w:hAnsi="Arial" w:cs="Arial"/>
                <w:color w:val="000000"/>
                <w:sz w:val="16"/>
                <w:szCs w:val="16"/>
              </w:rPr>
            </w:pPr>
            <w:r w:rsidRPr="007E6409">
              <w:rPr>
                <w:rFonts w:ascii="Arial" w:eastAsia="Times New Roman" w:hAnsi="Arial" w:cs="Arial"/>
                <w:color w:val="000000"/>
                <w:sz w:val="16"/>
                <w:szCs w:val="16"/>
              </w:rPr>
              <w:t>23.4%</w:t>
            </w:r>
          </w:p>
        </w:tc>
      </w:tr>
    </w:tbl>
    <w:p w:rsidR="002070AB" w:rsidRPr="00E52775" w:rsidRDefault="002070AB" w:rsidP="002070AB">
      <w:pPr>
        <w:pStyle w:val="BodyParagraph"/>
      </w:pPr>
    </w:p>
    <w:p w:rsidR="00FD558F" w:rsidRDefault="00FD558F" w:rsidP="00FD558F">
      <w:pPr>
        <w:pStyle w:val="Heading2"/>
      </w:pPr>
      <w:bookmarkStart w:id="396" w:name="_Toc326074043"/>
      <w:r>
        <w:t>Ex Ante Load Impact Estimates for the Capacity Bidding Program</w:t>
      </w:r>
      <w:bookmarkEnd w:id="396"/>
    </w:p>
    <w:p w:rsidR="002070AB" w:rsidRDefault="00C61D83" w:rsidP="002070AB">
      <w:pPr>
        <w:pStyle w:val="BodyParagraph"/>
      </w:pPr>
      <w:fldSimple w:instr=" REF _Ref323891075 ">
        <w:r w:rsidR="00F66D5E" w:rsidRPr="00AF1031">
          <w:t xml:space="preserve">Table </w:t>
        </w:r>
        <w:r w:rsidR="00F66D5E">
          <w:rPr>
            <w:noProof/>
          </w:rPr>
          <w:t>8</w:t>
        </w:r>
        <w:r w:rsidR="00F66D5E">
          <w:noBreakHyphen/>
        </w:r>
        <w:r w:rsidR="00F66D5E">
          <w:rPr>
            <w:noProof/>
          </w:rPr>
          <w:t>5</w:t>
        </w:r>
      </w:fldSimple>
      <w:r w:rsidR="002070AB">
        <w:t xml:space="preserve"> presents annual enrollment and nominations forecasts for </w:t>
      </w:r>
      <w:r w:rsidR="00FD558F">
        <w:t>SCE’s</w:t>
      </w:r>
      <w:r w:rsidR="002070AB">
        <w:t xml:space="preserve"> CBP program through 2022.  </w:t>
      </w:r>
      <w:r w:rsidR="007E6409">
        <w:t>SCE</w:t>
      </w:r>
      <w:r w:rsidR="002070AB">
        <w:t xml:space="preserve"> forecast</w:t>
      </w:r>
      <w:r w:rsidR="007E6409">
        <w:t>s</w:t>
      </w:r>
      <w:r w:rsidR="002070AB">
        <w:t xml:space="preserve"> a 3% growth in CBP enrollments 2012 to 2013 and a 6% growth 2013 to 2014, at which point enrollments remain unchanged.  We assume the growth comes from CBP products and customer </w:t>
      </w:r>
      <w:r w:rsidR="002070AB">
        <w:lastRenderedPageBreak/>
        <w:t xml:space="preserve">segments proportional to those observed in 2011.  We also assume that the proportion of customers nominated for a given event will match the average proportion observed during events in 2010 and 2011. </w:t>
      </w:r>
    </w:p>
    <w:p w:rsidR="002070AB" w:rsidRDefault="002070AB" w:rsidP="002070AB">
      <w:pPr>
        <w:pStyle w:val="TableFigureCaption"/>
      </w:pPr>
      <w:bookmarkStart w:id="397" w:name="_Ref323891075"/>
      <w:r w:rsidRPr="00AF1031">
        <w:t xml:space="preserve">Table </w:t>
      </w:r>
      <w:fldSimple w:instr=" STYLEREF 1 \s ">
        <w:r w:rsidR="00F66D5E">
          <w:rPr>
            <w:noProof/>
          </w:rPr>
          <w:t>8</w:t>
        </w:r>
      </w:fldSimple>
      <w:r w:rsidR="00F55000">
        <w:noBreakHyphen/>
      </w:r>
      <w:fldSimple w:instr=" SEQ Table \* ARABIC \s 1 ">
        <w:r w:rsidR="00F66D5E">
          <w:rPr>
            <w:noProof/>
          </w:rPr>
          <w:t>5</w:t>
        </w:r>
      </w:fldSimple>
      <w:bookmarkEnd w:id="397"/>
      <w:r w:rsidRPr="00AF1031">
        <w:t>:</w:t>
      </w:r>
    </w:p>
    <w:p w:rsidR="002070AB" w:rsidRPr="00AF1031" w:rsidRDefault="002070AB" w:rsidP="002070AB">
      <w:pPr>
        <w:pStyle w:val="TableFigureCaption"/>
      </w:pPr>
      <w:r>
        <w:t>SC</w:t>
      </w:r>
      <w:r w:rsidRPr="00AF1031">
        <w:t xml:space="preserve">E’s </w:t>
      </w:r>
      <w:r>
        <w:t>Enrollment and Nominations</w:t>
      </w:r>
      <w:r w:rsidRPr="00AF1031">
        <w:t xml:space="preserve"> Projections for </w:t>
      </w:r>
      <w:r>
        <w:t>CBP</w:t>
      </w:r>
      <w:r w:rsidRPr="00AF1031">
        <w:t xml:space="preserve"> </w:t>
      </w:r>
      <w:r>
        <w:t>by Forecast Year</w:t>
      </w:r>
    </w:p>
    <w:tbl>
      <w:tblPr>
        <w:tblW w:w="5460" w:type="dxa"/>
        <w:jc w:val="center"/>
        <w:tblInd w:w="97" w:type="dxa"/>
        <w:tblLook w:val="04A0"/>
      </w:tblPr>
      <w:tblGrid>
        <w:gridCol w:w="1620"/>
        <w:gridCol w:w="950"/>
        <w:gridCol w:w="1184"/>
        <w:gridCol w:w="950"/>
        <w:gridCol w:w="1184"/>
      </w:tblGrid>
      <w:tr w:rsidR="002070AB" w:rsidRPr="00E86919" w:rsidTr="009E2132">
        <w:trPr>
          <w:trHeight w:val="300"/>
          <w:jc w:val="center"/>
        </w:trPr>
        <w:tc>
          <w:tcPr>
            <w:tcW w:w="1620" w:type="dxa"/>
            <w:vMerge w:val="restart"/>
            <w:tcBorders>
              <w:top w:val="nil"/>
              <w:left w:val="nil"/>
              <w:bottom w:val="nil"/>
              <w:right w:val="single" w:sz="8" w:space="0" w:color="FFFFFF"/>
            </w:tcBorders>
            <w:shd w:val="clear" w:color="000000" w:fill="1F497D"/>
            <w:vAlign w:val="bottom"/>
            <w:hideMark/>
          </w:tcPr>
          <w:p w:rsidR="002070AB" w:rsidRPr="00E86919" w:rsidRDefault="002070AB" w:rsidP="009E2132">
            <w:pPr>
              <w:spacing w:after="0" w:line="240" w:lineRule="auto"/>
              <w:jc w:val="center"/>
              <w:rPr>
                <w:rFonts w:ascii="Arial" w:eastAsia="Times New Roman" w:hAnsi="Arial" w:cs="Arial"/>
                <w:color w:val="FFFFFF"/>
                <w:sz w:val="20"/>
                <w:szCs w:val="20"/>
              </w:rPr>
            </w:pPr>
            <w:r w:rsidRPr="00E86919">
              <w:rPr>
                <w:rFonts w:ascii="Arial" w:eastAsia="Times New Roman" w:hAnsi="Arial" w:cs="Arial"/>
                <w:color w:val="FFFFFF"/>
                <w:sz w:val="20"/>
                <w:szCs w:val="20"/>
              </w:rPr>
              <w:t>Forecast Year</w:t>
            </w:r>
          </w:p>
        </w:tc>
        <w:tc>
          <w:tcPr>
            <w:tcW w:w="3840" w:type="dxa"/>
            <w:gridSpan w:val="4"/>
            <w:tcBorders>
              <w:top w:val="nil"/>
              <w:left w:val="nil"/>
              <w:bottom w:val="single" w:sz="8" w:space="0" w:color="FFFFFF"/>
              <w:right w:val="single" w:sz="8" w:space="0" w:color="FFFFFF"/>
            </w:tcBorders>
            <w:shd w:val="clear" w:color="000000" w:fill="1F497D"/>
            <w:vAlign w:val="bottom"/>
            <w:hideMark/>
          </w:tcPr>
          <w:p w:rsidR="002070AB" w:rsidRPr="00E86919" w:rsidRDefault="002070AB" w:rsidP="009E2132">
            <w:pPr>
              <w:spacing w:after="0" w:line="240" w:lineRule="auto"/>
              <w:jc w:val="center"/>
              <w:rPr>
                <w:rFonts w:ascii="Arial" w:eastAsia="Times New Roman" w:hAnsi="Arial" w:cs="Arial"/>
                <w:color w:val="FFFFFF"/>
                <w:sz w:val="20"/>
                <w:szCs w:val="20"/>
              </w:rPr>
            </w:pPr>
            <w:r w:rsidRPr="00E86919">
              <w:rPr>
                <w:rFonts w:ascii="Arial" w:eastAsia="Times New Roman" w:hAnsi="Arial" w:cs="Arial"/>
                <w:color w:val="FFFFFF"/>
                <w:sz w:val="20"/>
                <w:szCs w:val="20"/>
              </w:rPr>
              <w:t>CBP</w:t>
            </w:r>
          </w:p>
        </w:tc>
      </w:tr>
      <w:tr w:rsidR="002070AB" w:rsidRPr="00E86919" w:rsidTr="009E2132">
        <w:trPr>
          <w:trHeight w:val="300"/>
          <w:jc w:val="center"/>
        </w:trPr>
        <w:tc>
          <w:tcPr>
            <w:tcW w:w="1620" w:type="dxa"/>
            <w:vMerge/>
            <w:tcBorders>
              <w:top w:val="nil"/>
              <w:left w:val="nil"/>
              <w:bottom w:val="nil"/>
              <w:right w:val="single" w:sz="8" w:space="0" w:color="FFFFFF"/>
            </w:tcBorders>
            <w:vAlign w:val="center"/>
            <w:hideMark/>
          </w:tcPr>
          <w:p w:rsidR="002070AB" w:rsidRPr="00E86919" w:rsidRDefault="002070AB" w:rsidP="009E2132">
            <w:pPr>
              <w:spacing w:after="0" w:line="240" w:lineRule="auto"/>
              <w:rPr>
                <w:rFonts w:ascii="Arial" w:eastAsia="Times New Roman" w:hAnsi="Arial" w:cs="Arial"/>
                <w:color w:val="FFFFFF"/>
                <w:sz w:val="20"/>
                <w:szCs w:val="20"/>
              </w:rPr>
            </w:pPr>
          </w:p>
        </w:tc>
        <w:tc>
          <w:tcPr>
            <w:tcW w:w="1920" w:type="dxa"/>
            <w:gridSpan w:val="2"/>
            <w:tcBorders>
              <w:top w:val="single" w:sz="8" w:space="0" w:color="FFFFFF"/>
              <w:left w:val="nil"/>
              <w:bottom w:val="single" w:sz="8" w:space="0" w:color="FFFFFF"/>
              <w:right w:val="single" w:sz="8" w:space="0" w:color="FFFFFF"/>
            </w:tcBorders>
            <w:shd w:val="clear" w:color="000000" w:fill="1F497D"/>
            <w:noWrap/>
            <w:vAlign w:val="bottom"/>
            <w:hideMark/>
          </w:tcPr>
          <w:p w:rsidR="002070AB" w:rsidRPr="00E86919" w:rsidRDefault="002070AB" w:rsidP="009E2132">
            <w:pPr>
              <w:spacing w:after="0" w:line="240" w:lineRule="auto"/>
              <w:jc w:val="center"/>
              <w:rPr>
                <w:rFonts w:ascii="Arial" w:eastAsia="Times New Roman" w:hAnsi="Arial" w:cs="Arial"/>
                <w:color w:val="FFFFFF"/>
                <w:sz w:val="20"/>
                <w:szCs w:val="20"/>
              </w:rPr>
            </w:pPr>
            <w:r w:rsidRPr="00E86919">
              <w:rPr>
                <w:rFonts w:ascii="Arial" w:eastAsia="Times New Roman" w:hAnsi="Arial" w:cs="Arial"/>
                <w:color w:val="FFFFFF"/>
                <w:sz w:val="20"/>
                <w:szCs w:val="20"/>
              </w:rPr>
              <w:t>DA</w:t>
            </w:r>
          </w:p>
        </w:tc>
        <w:tc>
          <w:tcPr>
            <w:tcW w:w="1920" w:type="dxa"/>
            <w:gridSpan w:val="2"/>
            <w:tcBorders>
              <w:top w:val="single" w:sz="8" w:space="0" w:color="FFFFFF"/>
              <w:left w:val="nil"/>
              <w:bottom w:val="single" w:sz="8" w:space="0" w:color="FFFFFF"/>
              <w:right w:val="single" w:sz="8" w:space="0" w:color="FFFFFF"/>
            </w:tcBorders>
            <w:shd w:val="clear" w:color="000000" w:fill="1F497D"/>
            <w:noWrap/>
            <w:vAlign w:val="bottom"/>
            <w:hideMark/>
          </w:tcPr>
          <w:p w:rsidR="002070AB" w:rsidRPr="00E86919" w:rsidRDefault="002070AB" w:rsidP="009E2132">
            <w:pPr>
              <w:spacing w:after="0" w:line="240" w:lineRule="auto"/>
              <w:jc w:val="center"/>
              <w:rPr>
                <w:rFonts w:ascii="Arial" w:eastAsia="Times New Roman" w:hAnsi="Arial" w:cs="Arial"/>
                <w:color w:val="FFFFFF"/>
                <w:sz w:val="20"/>
                <w:szCs w:val="20"/>
              </w:rPr>
            </w:pPr>
            <w:r w:rsidRPr="00E86919">
              <w:rPr>
                <w:rFonts w:ascii="Arial" w:eastAsia="Times New Roman" w:hAnsi="Arial" w:cs="Arial"/>
                <w:color w:val="FFFFFF"/>
                <w:sz w:val="20"/>
                <w:szCs w:val="20"/>
              </w:rPr>
              <w:t>DO</w:t>
            </w:r>
          </w:p>
        </w:tc>
      </w:tr>
      <w:tr w:rsidR="002070AB" w:rsidRPr="00E86919" w:rsidTr="009E2132">
        <w:trPr>
          <w:trHeight w:val="288"/>
          <w:jc w:val="center"/>
        </w:trPr>
        <w:tc>
          <w:tcPr>
            <w:tcW w:w="1620" w:type="dxa"/>
            <w:vMerge/>
            <w:tcBorders>
              <w:top w:val="nil"/>
              <w:left w:val="nil"/>
              <w:bottom w:val="nil"/>
              <w:right w:val="single" w:sz="8" w:space="0" w:color="FFFFFF"/>
            </w:tcBorders>
            <w:vAlign w:val="center"/>
            <w:hideMark/>
          </w:tcPr>
          <w:p w:rsidR="002070AB" w:rsidRPr="00E86919" w:rsidRDefault="002070AB" w:rsidP="009E2132">
            <w:pPr>
              <w:spacing w:after="0" w:line="240" w:lineRule="auto"/>
              <w:rPr>
                <w:rFonts w:ascii="Arial" w:eastAsia="Times New Roman" w:hAnsi="Arial" w:cs="Arial"/>
                <w:color w:val="FFFFFF"/>
                <w:sz w:val="20"/>
                <w:szCs w:val="20"/>
              </w:rPr>
            </w:pPr>
          </w:p>
        </w:tc>
        <w:tc>
          <w:tcPr>
            <w:tcW w:w="831" w:type="dxa"/>
            <w:tcBorders>
              <w:top w:val="nil"/>
              <w:left w:val="nil"/>
              <w:bottom w:val="nil"/>
              <w:right w:val="single" w:sz="8" w:space="0" w:color="FFFFFF"/>
            </w:tcBorders>
            <w:shd w:val="clear" w:color="000000" w:fill="1F497D"/>
            <w:noWrap/>
            <w:vAlign w:val="bottom"/>
            <w:hideMark/>
          </w:tcPr>
          <w:p w:rsidR="002070AB" w:rsidRPr="00E86919" w:rsidRDefault="002070AB" w:rsidP="009E2132">
            <w:pPr>
              <w:spacing w:after="0" w:line="240" w:lineRule="auto"/>
              <w:jc w:val="center"/>
              <w:rPr>
                <w:rFonts w:ascii="Arial" w:eastAsia="Times New Roman" w:hAnsi="Arial" w:cs="Arial"/>
                <w:color w:val="FFFFFF"/>
                <w:sz w:val="20"/>
                <w:szCs w:val="20"/>
              </w:rPr>
            </w:pPr>
            <w:r w:rsidRPr="00E86919">
              <w:rPr>
                <w:rFonts w:ascii="Arial" w:eastAsia="Times New Roman" w:hAnsi="Arial" w:cs="Arial"/>
                <w:color w:val="FFFFFF"/>
                <w:sz w:val="20"/>
                <w:szCs w:val="20"/>
              </w:rPr>
              <w:t>Enrolled</w:t>
            </w:r>
          </w:p>
        </w:tc>
        <w:tc>
          <w:tcPr>
            <w:tcW w:w="1089" w:type="dxa"/>
            <w:tcBorders>
              <w:top w:val="nil"/>
              <w:left w:val="nil"/>
              <w:bottom w:val="nil"/>
              <w:right w:val="single" w:sz="8" w:space="0" w:color="FFFFFF"/>
            </w:tcBorders>
            <w:shd w:val="clear" w:color="000000" w:fill="1F497D"/>
            <w:noWrap/>
            <w:vAlign w:val="bottom"/>
            <w:hideMark/>
          </w:tcPr>
          <w:p w:rsidR="002070AB" w:rsidRPr="00E86919" w:rsidRDefault="002070AB" w:rsidP="009E2132">
            <w:pPr>
              <w:spacing w:after="0" w:line="240" w:lineRule="auto"/>
              <w:jc w:val="center"/>
              <w:rPr>
                <w:rFonts w:ascii="Arial" w:eastAsia="Times New Roman" w:hAnsi="Arial" w:cs="Arial"/>
                <w:color w:val="FFFFFF"/>
                <w:sz w:val="20"/>
                <w:szCs w:val="20"/>
              </w:rPr>
            </w:pPr>
            <w:r w:rsidRPr="00E86919">
              <w:rPr>
                <w:rFonts w:ascii="Arial" w:eastAsia="Times New Roman" w:hAnsi="Arial" w:cs="Arial"/>
                <w:color w:val="FFFFFF"/>
                <w:sz w:val="20"/>
                <w:szCs w:val="20"/>
              </w:rPr>
              <w:t>Nominated</w:t>
            </w:r>
          </w:p>
        </w:tc>
        <w:tc>
          <w:tcPr>
            <w:tcW w:w="831" w:type="dxa"/>
            <w:tcBorders>
              <w:top w:val="nil"/>
              <w:left w:val="nil"/>
              <w:bottom w:val="nil"/>
              <w:right w:val="single" w:sz="8" w:space="0" w:color="FFFFFF"/>
            </w:tcBorders>
            <w:shd w:val="clear" w:color="000000" w:fill="1F497D"/>
            <w:noWrap/>
            <w:vAlign w:val="bottom"/>
            <w:hideMark/>
          </w:tcPr>
          <w:p w:rsidR="002070AB" w:rsidRPr="00E86919" w:rsidRDefault="002070AB" w:rsidP="009E2132">
            <w:pPr>
              <w:spacing w:after="0" w:line="240" w:lineRule="auto"/>
              <w:jc w:val="center"/>
              <w:rPr>
                <w:rFonts w:ascii="Arial" w:eastAsia="Times New Roman" w:hAnsi="Arial" w:cs="Arial"/>
                <w:color w:val="FFFFFF"/>
                <w:sz w:val="20"/>
                <w:szCs w:val="20"/>
              </w:rPr>
            </w:pPr>
            <w:r w:rsidRPr="00E86919">
              <w:rPr>
                <w:rFonts w:ascii="Arial" w:eastAsia="Times New Roman" w:hAnsi="Arial" w:cs="Arial"/>
                <w:color w:val="FFFFFF"/>
                <w:sz w:val="20"/>
                <w:szCs w:val="20"/>
              </w:rPr>
              <w:t>Enrolled</w:t>
            </w:r>
          </w:p>
        </w:tc>
        <w:tc>
          <w:tcPr>
            <w:tcW w:w="1089" w:type="dxa"/>
            <w:tcBorders>
              <w:top w:val="nil"/>
              <w:left w:val="nil"/>
              <w:bottom w:val="nil"/>
              <w:right w:val="nil"/>
            </w:tcBorders>
            <w:shd w:val="clear" w:color="000000" w:fill="1F497D"/>
            <w:noWrap/>
            <w:vAlign w:val="bottom"/>
            <w:hideMark/>
          </w:tcPr>
          <w:p w:rsidR="002070AB" w:rsidRPr="00E86919" w:rsidRDefault="002070AB" w:rsidP="009E2132">
            <w:pPr>
              <w:spacing w:after="0" w:line="240" w:lineRule="auto"/>
              <w:jc w:val="center"/>
              <w:rPr>
                <w:rFonts w:ascii="Arial" w:eastAsia="Times New Roman" w:hAnsi="Arial" w:cs="Arial"/>
                <w:color w:val="FFFFFF"/>
                <w:sz w:val="20"/>
                <w:szCs w:val="20"/>
              </w:rPr>
            </w:pPr>
            <w:r w:rsidRPr="00E86919">
              <w:rPr>
                <w:rFonts w:ascii="Arial" w:eastAsia="Times New Roman" w:hAnsi="Arial" w:cs="Arial"/>
                <w:color w:val="FFFFFF"/>
                <w:sz w:val="20"/>
                <w:szCs w:val="20"/>
              </w:rPr>
              <w:t>Nominated</w:t>
            </w:r>
          </w:p>
        </w:tc>
      </w:tr>
      <w:tr w:rsidR="002070AB" w:rsidRPr="00E86919" w:rsidTr="009E2132">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2012</w:t>
            </w:r>
          </w:p>
        </w:tc>
        <w:tc>
          <w:tcPr>
            <w:tcW w:w="831" w:type="dxa"/>
            <w:tcBorders>
              <w:top w:val="nil"/>
              <w:left w:val="nil"/>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117</w:t>
            </w:r>
          </w:p>
        </w:tc>
        <w:tc>
          <w:tcPr>
            <w:tcW w:w="1089" w:type="dxa"/>
            <w:tcBorders>
              <w:top w:val="nil"/>
              <w:left w:val="nil"/>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116</w:t>
            </w:r>
          </w:p>
        </w:tc>
        <w:tc>
          <w:tcPr>
            <w:tcW w:w="831" w:type="dxa"/>
            <w:tcBorders>
              <w:top w:val="nil"/>
              <w:left w:val="nil"/>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453</w:t>
            </w:r>
          </w:p>
        </w:tc>
        <w:tc>
          <w:tcPr>
            <w:tcW w:w="1089" w:type="dxa"/>
            <w:tcBorders>
              <w:top w:val="nil"/>
              <w:left w:val="nil"/>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448</w:t>
            </w:r>
          </w:p>
        </w:tc>
      </w:tr>
      <w:tr w:rsidR="002070AB" w:rsidRPr="00E86919" w:rsidTr="009E2132">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2013</w:t>
            </w:r>
          </w:p>
        </w:tc>
        <w:tc>
          <w:tcPr>
            <w:tcW w:w="831" w:type="dxa"/>
            <w:tcBorders>
              <w:top w:val="nil"/>
              <w:left w:val="nil"/>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124</w:t>
            </w:r>
          </w:p>
        </w:tc>
        <w:tc>
          <w:tcPr>
            <w:tcW w:w="1089" w:type="dxa"/>
            <w:tcBorders>
              <w:top w:val="nil"/>
              <w:left w:val="nil"/>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123</w:t>
            </w:r>
          </w:p>
        </w:tc>
        <w:tc>
          <w:tcPr>
            <w:tcW w:w="831" w:type="dxa"/>
            <w:tcBorders>
              <w:top w:val="nil"/>
              <w:left w:val="nil"/>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480</w:t>
            </w:r>
          </w:p>
        </w:tc>
        <w:tc>
          <w:tcPr>
            <w:tcW w:w="1089" w:type="dxa"/>
            <w:tcBorders>
              <w:top w:val="nil"/>
              <w:left w:val="nil"/>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475</w:t>
            </w:r>
          </w:p>
        </w:tc>
      </w:tr>
      <w:tr w:rsidR="002070AB" w:rsidRPr="00E86919" w:rsidTr="009E2132">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2014 - 2022</w:t>
            </w:r>
          </w:p>
        </w:tc>
        <w:tc>
          <w:tcPr>
            <w:tcW w:w="831" w:type="dxa"/>
            <w:tcBorders>
              <w:top w:val="nil"/>
              <w:left w:val="nil"/>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124</w:t>
            </w:r>
          </w:p>
        </w:tc>
        <w:tc>
          <w:tcPr>
            <w:tcW w:w="1089" w:type="dxa"/>
            <w:tcBorders>
              <w:top w:val="nil"/>
              <w:left w:val="nil"/>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123</w:t>
            </w:r>
          </w:p>
        </w:tc>
        <w:tc>
          <w:tcPr>
            <w:tcW w:w="831" w:type="dxa"/>
            <w:tcBorders>
              <w:top w:val="nil"/>
              <w:left w:val="nil"/>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480</w:t>
            </w:r>
          </w:p>
        </w:tc>
        <w:tc>
          <w:tcPr>
            <w:tcW w:w="1089" w:type="dxa"/>
            <w:tcBorders>
              <w:top w:val="nil"/>
              <w:left w:val="nil"/>
              <w:bottom w:val="single" w:sz="4" w:space="0" w:color="auto"/>
              <w:right w:val="single" w:sz="4" w:space="0" w:color="auto"/>
            </w:tcBorders>
            <w:shd w:val="clear" w:color="auto" w:fill="auto"/>
            <w:noWrap/>
            <w:vAlign w:val="center"/>
            <w:hideMark/>
          </w:tcPr>
          <w:p w:rsidR="002070AB" w:rsidRPr="00E86919" w:rsidRDefault="002070AB" w:rsidP="009E2132">
            <w:pPr>
              <w:spacing w:after="0" w:line="240" w:lineRule="auto"/>
              <w:jc w:val="center"/>
              <w:rPr>
                <w:rFonts w:ascii="Arial" w:eastAsia="Times New Roman" w:hAnsi="Arial" w:cs="Arial"/>
                <w:color w:val="000000"/>
                <w:sz w:val="18"/>
                <w:szCs w:val="18"/>
              </w:rPr>
            </w:pPr>
            <w:r w:rsidRPr="00E86919">
              <w:rPr>
                <w:rFonts w:ascii="Arial" w:eastAsia="Times New Roman" w:hAnsi="Arial" w:cs="Arial"/>
                <w:color w:val="000000"/>
                <w:sz w:val="18"/>
                <w:szCs w:val="18"/>
              </w:rPr>
              <w:t>475</w:t>
            </w:r>
          </w:p>
        </w:tc>
      </w:tr>
    </w:tbl>
    <w:p w:rsidR="002070AB" w:rsidRDefault="00C61D83" w:rsidP="002070AB">
      <w:pPr>
        <w:pStyle w:val="BodyParaAfterTableFigure"/>
      </w:pPr>
      <w:fldSimple w:instr=" REF _Ref323891056  \* MERGEFORMAT ">
        <w:r w:rsidR="00F66D5E" w:rsidRPr="00AF1031">
          <w:t xml:space="preserve">Figure </w:t>
        </w:r>
        <w:r w:rsidR="00F66D5E">
          <w:t>8</w:t>
        </w:r>
        <w:r w:rsidR="00F66D5E" w:rsidRPr="00AF1031">
          <w:noBreakHyphen/>
        </w:r>
        <w:r w:rsidR="00F66D5E">
          <w:t>2</w:t>
        </w:r>
      </w:fldSimple>
      <w:r w:rsidR="002070AB">
        <w:t xml:space="preserve"> below illustrates predicted load impacts in 2012 for a typical August event day during a 1-in-2 weather year.  For both day-ahead and day-of notification, CBP customers reduce loads precisely within the event window.  There is a small but noticeable amount of load shifting in the hour prior to the event window and no significant load shifting following the event window.</w:t>
      </w:r>
    </w:p>
    <w:p w:rsidR="002070AB" w:rsidRDefault="002070AB" w:rsidP="002070AB">
      <w:pPr>
        <w:pStyle w:val="TableFigureCaption"/>
      </w:pPr>
      <w:bookmarkStart w:id="398" w:name="_Ref323891056"/>
      <w:r w:rsidRPr="00AF1031">
        <w:t xml:space="preserve">Figure </w:t>
      </w:r>
      <w:fldSimple w:instr=" STYLEREF 1 \s ">
        <w:r w:rsidR="00F66D5E">
          <w:rPr>
            <w:noProof/>
          </w:rPr>
          <w:t>8</w:t>
        </w:r>
      </w:fldSimple>
      <w:r w:rsidRPr="00AF1031">
        <w:noBreakHyphen/>
      </w:r>
      <w:fldSimple w:instr=" SEQ Figure \* ARABIC \s 1 ">
        <w:r w:rsidR="00F66D5E">
          <w:rPr>
            <w:noProof/>
          </w:rPr>
          <w:t>2</w:t>
        </w:r>
      </w:fldSimple>
      <w:bookmarkEnd w:id="398"/>
      <w:r w:rsidRPr="00AF1031">
        <w:t>:</w:t>
      </w:r>
    </w:p>
    <w:p w:rsidR="002070AB" w:rsidRDefault="002070AB" w:rsidP="002070AB">
      <w:pPr>
        <w:pStyle w:val="TableFigureCaption"/>
      </w:pPr>
      <w:r>
        <w:t>SCE CBP Hourly Event Day Impacts for Typical Event Day</w:t>
      </w:r>
    </w:p>
    <w:p w:rsidR="002070AB" w:rsidRDefault="002070AB" w:rsidP="002070AB">
      <w:pPr>
        <w:pStyle w:val="TableFigureCaption"/>
      </w:pPr>
      <w:r>
        <w:t>1-in-2 Weather Year for August 2012</w:t>
      </w:r>
    </w:p>
    <w:p w:rsidR="002070AB" w:rsidRPr="00AF1031" w:rsidRDefault="002070AB" w:rsidP="002070AB">
      <w:pPr>
        <w:pStyle w:val="TableFigureCaption"/>
      </w:pPr>
      <w:r>
        <w:t>CBP-DA</w:t>
      </w:r>
      <w:r>
        <w:tab/>
      </w:r>
      <w:r>
        <w:tab/>
      </w:r>
      <w:r>
        <w:tab/>
      </w:r>
      <w:r>
        <w:tab/>
      </w:r>
      <w:r>
        <w:tab/>
        <w:t>CBP-DO</w:t>
      </w:r>
    </w:p>
    <w:p w:rsidR="005D560E" w:rsidRDefault="002070AB" w:rsidP="002070AB">
      <w:pPr>
        <w:pStyle w:val="BodyParaAfterTableFigure"/>
        <w:tabs>
          <w:tab w:val="left" w:pos="6210"/>
        </w:tabs>
      </w:pPr>
      <w:r>
        <w:rPr>
          <w:noProof/>
        </w:rPr>
        <w:drawing>
          <wp:inline distT="0" distB="0" distL="0" distR="0">
            <wp:extent cx="2926080" cy="1970875"/>
            <wp:effectExtent l="19050" t="0" r="7620"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2926080" cy="1970875"/>
                    </a:xfrm>
                    <a:prstGeom prst="rect">
                      <a:avLst/>
                    </a:prstGeom>
                    <a:noFill/>
                  </pic:spPr>
                </pic:pic>
              </a:graphicData>
            </a:graphic>
          </wp:inline>
        </w:drawing>
      </w:r>
      <w:r>
        <w:rPr>
          <w:noProof/>
        </w:rPr>
        <w:drawing>
          <wp:inline distT="0" distB="0" distL="0" distR="0">
            <wp:extent cx="2926080" cy="1970875"/>
            <wp:effectExtent l="19050" t="0" r="7620" b="0"/>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srcRect/>
                    <a:stretch>
                      <a:fillRect/>
                    </a:stretch>
                  </pic:blipFill>
                  <pic:spPr bwMode="auto">
                    <a:xfrm>
                      <a:off x="0" y="0"/>
                      <a:ext cx="2926080" cy="1970875"/>
                    </a:xfrm>
                    <a:prstGeom prst="rect">
                      <a:avLst/>
                    </a:prstGeom>
                    <a:noFill/>
                  </pic:spPr>
                </pic:pic>
              </a:graphicData>
            </a:graphic>
          </wp:inline>
        </w:drawing>
      </w:r>
      <w:r>
        <w:br/>
      </w:r>
    </w:p>
    <w:p w:rsidR="002070AB" w:rsidRPr="00D916AC" w:rsidRDefault="00C61D83" w:rsidP="002070AB">
      <w:pPr>
        <w:pStyle w:val="BodyParaAfterTableFigure"/>
        <w:tabs>
          <w:tab w:val="left" w:pos="6210"/>
        </w:tabs>
      </w:pPr>
      <w:fldSimple w:instr=" REF _Ref323891086  \* MERGEFORMAT ">
        <w:r w:rsidR="00F66D5E" w:rsidRPr="0038124C">
          <w:t xml:space="preserve">Table </w:t>
        </w:r>
        <w:r w:rsidR="00F66D5E">
          <w:t>8</w:t>
        </w:r>
        <w:r w:rsidR="00F66D5E">
          <w:noBreakHyphen/>
          <w:t>6</w:t>
        </w:r>
      </w:fldSimple>
      <w:r w:rsidR="002070AB">
        <w:t xml:space="preserve"> </w:t>
      </w:r>
      <w:r w:rsidR="002070AB" w:rsidRPr="008666CE">
        <w:t xml:space="preserve">presents the ex ante aggregate peak day load impacts for </w:t>
      </w:r>
      <w:r w:rsidR="002070AB">
        <w:t>CBP</w:t>
      </w:r>
      <w:r w:rsidR="002070AB" w:rsidRPr="008666CE">
        <w:t xml:space="preserve"> customers for years 2012 to 2022.  The event day period is assumed as starting at 1 PM and ending at 6 PM.  Results are presented for typical event days under 1-in-2 and 1-in-10 system peaking conditions.</w:t>
      </w:r>
      <w:r w:rsidR="0063770C">
        <w:t xml:space="preserve"> Most of the CBP resources can be dispatched with same day notice. </w:t>
      </w:r>
      <w:r w:rsidR="002070AB" w:rsidRPr="008666CE">
        <w:t xml:space="preserve"> </w:t>
      </w:r>
      <w:r w:rsidR="0063770C">
        <w:t>In aggregate</w:t>
      </w:r>
      <w:r w:rsidR="002070AB" w:rsidRPr="008666CE">
        <w:t xml:space="preserve">, </w:t>
      </w:r>
      <w:r w:rsidR="002070AB">
        <w:t>CBP</w:t>
      </w:r>
      <w:r w:rsidR="002070AB" w:rsidRPr="008666CE">
        <w:t xml:space="preserve"> customers can provide a 2</w:t>
      </w:r>
      <w:r w:rsidR="002070AB">
        <w:t>0</w:t>
      </w:r>
      <w:r w:rsidR="002070AB" w:rsidRPr="008666CE">
        <w:t>% l</w:t>
      </w:r>
      <w:r w:rsidR="002070AB">
        <w:t>oad reduction; as a result of program growth over time, CBP resources increase from 26.2 MW in 2012 to 27.8 MW in 2014.</w:t>
      </w:r>
    </w:p>
    <w:p w:rsidR="002070AB" w:rsidRDefault="002070AB" w:rsidP="002070AB">
      <w:pPr>
        <w:pStyle w:val="TableFigureCaption"/>
      </w:pPr>
      <w:bookmarkStart w:id="399" w:name="_Ref323891086"/>
      <w:r w:rsidRPr="0038124C">
        <w:lastRenderedPageBreak/>
        <w:t xml:space="preserve">Table </w:t>
      </w:r>
      <w:fldSimple w:instr=" STYLEREF 1 \s ">
        <w:r w:rsidR="00F66D5E">
          <w:rPr>
            <w:noProof/>
          </w:rPr>
          <w:t>8</w:t>
        </w:r>
      </w:fldSimple>
      <w:r w:rsidR="00F55000">
        <w:noBreakHyphen/>
      </w:r>
      <w:fldSimple w:instr=" SEQ Table \* ARABIC \s 1 ">
        <w:r w:rsidR="00F66D5E">
          <w:rPr>
            <w:noProof/>
          </w:rPr>
          <w:t>6</w:t>
        </w:r>
      </w:fldSimple>
      <w:bookmarkEnd w:id="399"/>
      <w:r w:rsidRPr="0038124C">
        <w:t>:</w:t>
      </w:r>
    </w:p>
    <w:p w:rsidR="002070AB" w:rsidRDefault="002070AB" w:rsidP="002070AB">
      <w:pPr>
        <w:pStyle w:val="TableFigureCaption"/>
      </w:pPr>
      <w:r w:rsidRPr="0038124C">
        <w:t xml:space="preserve">Aggregate Ex Ante Annual Peak Day Load </w:t>
      </w:r>
      <w:r>
        <w:t xml:space="preserve">Impacts for SCE CBP </w:t>
      </w:r>
    </w:p>
    <w:p w:rsidR="002070AB" w:rsidRPr="0038124C" w:rsidRDefault="002070AB" w:rsidP="002070AB">
      <w:pPr>
        <w:pStyle w:val="TableFigureCaption"/>
      </w:pPr>
      <w:r>
        <w:t>(Hourly Average Reduction from 1 to 6 PM)</w:t>
      </w:r>
    </w:p>
    <w:tbl>
      <w:tblPr>
        <w:tblW w:w="8761" w:type="dxa"/>
        <w:jc w:val="center"/>
        <w:tblInd w:w="95" w:type="dxa"/>
        <w:tblLook w:val="04A0"/>
      </w:tblPr>
      <w:tblGrid>
        <w:gridCol w:w="897"/>
        <w:gridCol w:w="1749"/>
        <w:gridCol w:w="1087"/>
        <w:gridCol w:w="1047"/>
        <w:gridCol w:w="1017"/>
        <w:gridCol w:w="960"/>
        <w:gridCol w:w="1027"/>
        <w:gridCol w:w="977"/>
      </w:tblGrid>
      <w:tr w:rsidR="00603093" w:rsidRPr="00603093" w:rsidTr="00603093">
        <w:trPr>
          <w:trHeight w:val="936"/>
          <w:jc w:val="center"/>
        </w:trPr>
        <w:tc>
          <w:tcPr>
            <w:tcW w:w="897" w:type="dxa"/>
            <w:tcBorders>
              <w:top w:val="single" w:sz="8" w:space="0" w:color="auto"/>
              <w:left w:val="single" w:sz="8" w:space="0" w:color="auto"/>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Weather Year</w:t>
            </w:r>
          </w:p>
        </w:tc>
        <w:tc>
          <w:tcPr>
            <w:tcW w:w="1749"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Year</w:t>
            </w:r>
          </w:p>
        </w:tc>
        <w:tc>
          <w:tcPr>
            <w:tcW w:w="1087"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Nominated Accts (Forecast)</w:t>
            </w:r>
          </w:p>
        </w:tc>
        <w:tc>
          <w:tcPr>
            <w:tcW w:w="1047"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Avg. Reference Load (MW)</w:t>
            </w:r>
          </w:p>
        </w:tc>
        <w:tc>
          <w:tcPr>
            <w:tcW w:w="1017"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Avg. Estimated Load w DR (MW)</w:t>
            </w:r>
          </w:p>
        </w:tc>
        <w:tc>
          <w:tcPr>
            <w:tcW w:w="960"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3770C">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Load Impact</w:t>
            </w:r>
            <w:r w:rsidR="0063770C">
              <w:rPr>
                <w:rFonts w:ascii="Arial" w:eastAsia="Times New Roman" w:hAnsi="Arial" w:cs="Arial"/>
                <w:color w:val="FFFFFF"/>
                <w:sz w:val="18"/>
                <w:szCs w:val="18"/>
              </w:rPr>
              <w:t xml:space="preserve"> </w:t>
            </w:r>
            <w:r w:rsidRPr="00603093">
              <w:rPr>
                <w:rFonts w:ascii="Arial" w:eastAsia="Times New Roman" w:hAnsi="Arial" w:cs="Arial"/>
                <w:color w:val="FFFFFF"/>
                <w:sz w:val="18"/>
                <w:szCs w:val="18"/>
              </w:rPr>
              <w:t>(MW)</w:t>
            </w:r>
          </w:p>
        </w:tc>
        <w:tc>
          <w:tcPr>
            <w:tcW w:w="1027"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 Load Reduction</w:t>
            </w:r>
          </w:p>
        </w:tc>
        <w:tc>
          <w:tcPr>
            <w:tcW w:w="977" w:type="dxa"/>
            <w:tcBorders>
              <w:top w:val="single" w:sz="8" w:space="0" w:color="auto"/>
              <w:left w:val="nil"/>
              <w:bottom w:val="nil"/>
              <w:right w:val="single" w:sz="8" w:space="0" w:color="auto"/>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Weighted Temp (F)</w:t>
            </w:r>
          </w:p>
        </w:tc>
      </w:tr>
      <w:tr w:rsidR="00603093" w:rsidRPr="00603093" w:rsidTr="00603093">
        <w:trPr>
          <w:trHeight w:val="312"/>
          <w:jc w:val="center"/>
        </w:trPr>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CBP-DA</w:t>
            </w:r>
          </w:p>
        </w:tc>
        <w:tc>
          <w:tcPr>
            <w:tcW w:w="1749"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2012</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116</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22.3</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17.0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5.4</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24.1%</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92.2</w:t>
            </w:r>
          </w:p>
        </w:tc>
      </w:tr>
      <w:tr w:rsidR="00603093" w:rsidRPr="00603093" w:rsidTr="00603093">
        <w:trPr>
          <w:trHeight w:val="288"/>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603093" w:rsidRPr="00603093" w:rsidRDefault="00603093" w:rsidP="00603093">
            <w:pPr>
              <w:spacing w:after="0" w:line="240" w:lineRule="auto"/>
              <w:rPr>
                <w:rFonts w:ascii="Arial" w:eastAsia="Times New Roman" w:hAnsi="Arial" w:cs="Arial"/>
                <w:color w:val="000000"/>
                <w:sz w:val="18"/>
                <w:szCs w:val="18"/>
              </w:rPr>
            </w:pPr>
          </w:p>
        </w:tc>
        <w:tc>
          <w:tcPr>
            <w:tcW w:w="1749"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2013</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123</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23.7</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18.0</w:t>
            </w:r>
          </w:p>
        </w:tc>
        <w:tc>
          <w:tcPr>
            <w:tcW w:w="9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5.7</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24.1%</w:t>
            </w:r>
          </w:p>
        </w:tc>
        <w:tc>
          <w:tcPr>
            <w:tcW w:w="97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92.2</w:t>
            </w:r>
          </w:p>
        </w:tc>
      </w:tr>
      <w:tr w:rsidR="00603093" w:rsidRPr="00603093" w:rsidTr="00603093">
        <w:trPr>
          <w:trHeight w:val="288"/>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603093" w:rsidRPr="00603093" w:rsidRDefault="00603093" w:rsidP="00603093">
            <w:pPr>
              <w:spacing w:after="0" w:line="240" w:lineRule="auto"/>
              <w:rPr>
                <w:rFonts w:ascii="Arial" w:eastAsia="Times New Roman" w:hAnsi="Arial" w:cs="Arial"/>
                <w:color w:val="000000"/>
                <w:sz w:val="18"/>
                <w:szCs w:val="18"/>
              </w:rPr>
            </w:pPr>
          </w:p>
        </w:tc>
        <w:tc>
          <w:tcPr>
            <w:tcW w:w="1749"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2014 - 2022</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123</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23.7</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18.0</w:t>
            </w:r>
          </w:p>
        </w:tc>
        <w:tc>
          <w:tcPr>
            <w:tcW w:w="9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5.7</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24.1%</w:t>
            </w:r>
          </w:p>
        </w:tc>
        <w:tc>
          <w:tcPr>
            <w:tcW w:w="97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92.2</w:t>
            </w:r>
          </w:p>
        </w:tc>
      </w:tr>
      <w:tr w:rsidR="00603093" w:rsidRPr="00603093" w:rsidTr="00603093">
        <w:trPr>
          <w:trHeight w:val="288"/>
          <w:jc w:val="center"/>
        </w:trPr>
        <w:tc>
          <w:tcPr>
            <w:tcW w:w="897" w:type="dxa"/>
            <w:vMerge w:val="restart"/>
            <w:tcBorders>
              <w:top w:val="nil"/>
              <w:left w:val="single" w:sz="4" w:space="0" w:color="auto"/>
              <w:bottom w:val="single" w:sz="4" w:space="0" w:color="auto"/>
              <w:right w:val="single" w:sz="4" w:space="0" w:color="auto"/>
            </w:tcBorders>
            <w:shd w:val="clear" w:color="auto" w:fill="auto"/>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CBP-DO</w:t>
            </w:r>
          </w:p>
        </w:tc>
        <w:tc>
          <w:tcPr>
            <w:tcW w:w="1749"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2012</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448</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110.9</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90.1</w:t>
            </w:r>
          </w:p>
        </w:tc>
        <w:tc>
          <w:tcPr>
            <w:tcW w:w="9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20.9</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18.8%</w:t>
            </w:r>
          </w:p>
        </w:tc>
        <w:tc>
          <w:tcPr>
            <w:tcW w:w="97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95.5</w:t>
            </w:r>
          </w:p>
        </w:tc>
      </w:tr>
      <w:tr w:rsidR="00603093" w:rsidRPr="00603093" w:rsidTr="00603093">
        <w:trPr>
          <w:trHeight w:val="288"/>
          <w:jc w:val="center"/>
        </w:trPr>
        <w:tc>
          <w:tcPr>
            <w:tcW w:w="897" w:type="dxa"/>
            <w:vMerge/>
            <w:tcBorders>
              <w:top w:val="nil"/>
              <w:left w:val="single" w:sz="4" w:space="0" w:color="auto"/>
              <w:bottom w:val="single" w:sz="4" w:space="0" w:color="auto"/>
              <w:right w:val="single" w:sz="4" w:space="0" w:color="auto"/>
            </w:tcBorders>
            <w:vAlign w:val="center"/>
            <w:hideMark/>
          </w:tcPr>
          <w:p w:rsidR="00603093" w:rsidRPr="00603093" w:rsidRDefault="00603093" w:rsidP="00603093">
            <w:pPr>
              <w:spacing w:after="0" w:line="240" w:lineRule="auto"/>
              <w:rPr>
                <w:rFonts w:ascii="Arial" w:eastAsia="Times New Roman" w:hAnsi="Arial" w:cs="Arial"/>
                <w:color w:val="000000"/>
                <w:sz w:val="18"/>
                <w:szCs w:val="18"/>
              </w:rPr>
            </w:pPr>
          </w:p>
        </w:tc>
        <w:tc>
          <w:tcPr>
            <w:tcW w:w="1749"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2013</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475</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117.6</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95.5</w:t>
            </w:r>
          </w:p>
        </w:tc>
        <w:tc>
          <w:tcPr>
            <w:tcW w:w="9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22.1</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18.8%</w:t>
            </w:r>
          </w:p>
        </w:tc>
        <w:tc>
          <w:tcPr>
            <w:tcW w:w="97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95.5</w:t>
            </w:r>
          </w:p>
        </w:tc>
      </w:tr>
      <w:tr w:rsidR="00603093" w:rsidRPr="00603093" w:rsidTr="00603093">
        <w:trPr>
          <w:trHeight w:val="288"/>
          <w:jc w:val="center"/>
        </w:trPr>
        <w:tc>
          <w:tcPr>
            <w:tcW w:w="897" w:type="dxa"/>
            <w:vMerge/>
            <w:tcBorders>
              <w:top w:val="nil"/>
              <w:left w:val="single" w:sz="4" w:space="0" w:color="auto"/>
              <w:bottom w:val="single" w:sz="4" w:space="0" w:color="auto"/>
              <w:right w:val="single" w:sz="4" w:space="0" w:color="auto"/>
            </w:tcBorders>
            <w:vAlign w:val="center"/>
            <w:hideMark/>
          </w:tcPr>
          <w:p w:rsidR="00603093" w:rsidRPr="00603093" w:rsidRDefault="00603093" w:rsidP="00603093">
            <w:pPr>
              <w:spacing w:after="0" w:line="240" w:lineRule="auto"/>
              <w:rPr>
                <w:rFonts w:ascii="Arial" w:eastAsia="Times New Roman" w:hAnsi="Arial" w:cs="Arial"/>
                <w:color w:val="000000"/>
                <w:sz w:val="18"/>
                <w:szCs w:val="18"/>
              </w:rPr>
            </w:pPr>
          </w:p>
        </w:tc>
        <w:tc>
          <w:tcPr>
            <w:tcW w:w="1749"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2014 - 2022</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475</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117.6</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95.5</w:t>
            </w:r>
          </w:p>
        </w:tc>
        <w:tc>
          <w:tcPr>
            <w:tcW w:w="9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22.1</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18.8%</w:t>
            </w:r>
          </w:p>
        </w:tc>
        <w:tc>
          <w:tcPr>
            <w:tcW w:w="97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95.5</w:t>
            </w:r>
          </w:p>
        </w:tc>
      </w:tr>
    </w:tbl>
    <w:p w:rsidR="002070AB" w:rsidRDefault="002070AB" w:rsidP="002070AB">
      <w:pPr>
        <w:pStyle w:val="BodyParaAfterTableFigure"/>
      </w:pPr>
      <w:r>
        <w:t xml:space="preserve">The average load impact is an estimate, based on predictions informed by the ex post model.  </w:t>
      </w:r>
      <w:fldSimple w:instr=" REF _Ref323890904  \* MERGEFORMAT ">
        <w:r w:rsidR="00F66D5E" w:rsidRPr="0038124C">
          <w:t xml:space="preserve">Table </w:t>
        </w:r>
        <w:r w:rsidR="00F66D5E">
          <w:t>8</w:t>
        </w:r>
        <w:r w:rsidR="00F66D5E">
          <w:noBreakHyphen/>
          <w:t>7</w:t>
        </w:r>
      </w:fldSimple>
      <w:r>
        <w:t xml:space="preserve"> presents uncertainty around ex ante load impacts between years 2012 and 2022.  Incorporating model error and performance variability, we find that in an 80% confidence interval aggregate ex ante load impacts range by ±6%.  Note that this range does not incorporate enrollment forecast uncertainty.</w:t>
      </w:r>
    </w:p>
    <w:p w:rsidR="002070AB" w:rsidRDefault="002070AB" w:rsidP="002070AB">
      <w:pPr>
        <w:pStyle w:val="TableFigureCaption"/>
      </w:pPr>
      <w:bookmarkStart w:id="400" w:name="_Ref323890904"/>
      <w:r w:rsidRPr="0038124C">
        <w:t xml:space="preserve">Table </w:t>
      </w:r>
      <w:fldSimple w:instr=" STYLEREF 1 \s ">
        <w:r w:rsidR="00F66D5E">
          <w:rPr>
            <w:noProof/>
          </w:rPr>
          <w:t>8</w:t>
        </w:r>
      </w:fldSimple>
      <w:r w:rsidR="00F55000">
        <w:noBreakHyphen/>
      </w:r>
      <w:fldSimple w:instr=" SEQ Table \* ARABIC \s 1 ">
        <w:r w:rsidR="00F66D5E">
          <w:rPr>
            <w:noProof/>
          </w:rPr>
          <w:t>7</w:t>
        </w:r>
      </w:fldSimple>
      <w:bookmarkEnd w:id="400"/>
      <w:r w:rsidRPr="0038124C">
        <w:t>:</w:t>
      </w:r>
    </w:p>
    <w:p w:rsidR="002070AB" w:rsidRDefault="002070AB" w:rsidP="002070AB">
      <w:pPr>
        <w:pStyle w:val="TableFigureCaption"/>
      </w:pPr>
      <w:r w:rsidRPr="0038124C">
        <w:t xml:space="preserve">Aggregate Ex Ante Annual Peak Day Load </w:t>
      </w:r>
      <w:r>
        <w:t xml:space="preserve">Impact Uncertainty for SCE CBP </w:t>
      </w:r>
    </w:p>
    <w:p w:rsidR="002070AB" w:rsidRPr="005B0E78" w:rsidRDefault="002070AB" w:rsidP="002070AB">
      <w:pPr>
        <w:pStyle w:val="TableFigureCaption"/>
      </w:pPr>
      <w:r>
        <w:t>(Hourly Average Reduction from 1 to 6 PM)</w:t>
      </w:r>
    </w:p>
    <w:tbl>
      <w:tblPr>
        <w:tblW w:w="4811" w:type="dxa"/>
        <w:jc w:val="center"/>
        <w:tblInd w:w="97" w:type="dxa"/>
        <w:tblLook w:val="04A0"/>
      </w:tblPr>
      <w:tblGrid>
        <w:gridCol w:w="1357"/>
        <w:gridCol w:w="1460"/>
        <w:gridCol w:w="997"/>
        <w:gridCol w:w="997"/>
      </w:tblGrid>
      <w:tr w:rsidR="002070AB" w:rsidRPr="00DF2D0F" w:rsidTr="009E2132">
        <w:trPr>
          <w:trHeight w:val="492"/>
          <w:jc w:val="center"/>
        </w:trPr>
        <w:tc>
          <w:tcPr>
            <w:tcW w:w="1357" w:type="dxa"/>
            <w:vMerge w:val="restart"/>
            <w:tcBorders>
              <w:top w:val="nil"/>
              <w:left w:val="single" w:sz="8" w:space="0" w:color="FFFFFF"/>
              <w:bottom w:val="single" w:sz="8" w:space="0" w:color="FFFFFF"/>
              <w:right w:val="single" w:sz="8" w:space="0" w:color="FFFFFF"/>
            </w:tcBorders>
            <w:shd w:val="clear" w:color="000000" w:fill="1F497D"/>
            <w:vAlign w:val="bottom"/>
            <w:hideMark/>
          </w:tcPr>
          <w:p w:rsidR="002070AB" w:rsidRPr="00DF2D0F" w:rsidRDefault="002070AB" w:rsidP="009E2132">
            <w:pPr>
              <w:spacing w:after="0" w:line="240" w:lineRule="auto"/>
              <w:jc w:val="center"/>
              <w:rPr>
                <w:rFonts w:ascii="Arial" w:eastAsia="Times New Roman" w:hAnsi="Arial" w:cs="Arial"/>
                <w:color w:val="FFFFFF"/>
                <w:sz w:val="18"/>
                <w:szCs w:val="18"/>
              </w:rPr>
            </w:pPr>
            <w:r w:rsidRPr="00DF2D0F">
              <w:rPr>
                <w:rFonts w:ascii="Arial" w:eastAsia="Times New Roman" w:hAnsi="Arial" w:cs="Arial"/>
                <w:color w:val="FFFFFF"/>
                <w:sz w:val="18"/>
                <w:szCs w:val="18"/>
              </w:rPr>
              <w:t>Year</w:t>
            </w:r>
          </w:p>
        </w:tc>
        <w:tc>
          <w:tcPr>
            <w:tcW w:w="1460" w:type="dxa"/>
            <w:vMerge w:val="restart"/>
            <w:tcBorders>
              <w:top w:val="nil"/>
              <w:left w:val="single" w:sz="8" w:space="0" w:color="FFFFFF"/>
              <w:bottom w:val="single" w:sz="8" w:space="0" w:color="FFFFFF"/>
              <w:right w:val="single" w:sz="8" w:space="0" w:color="FFFFFF"/>
            </w:tcBorders>
            <w:shd w:val="clear" w:color="000000" w:fill="1F497D"/>
            <w:vAlign w:val="bottom"/>
            <w:hideMark/>
          </w:tcPr>
          <w:p w:rsidR="002070AB" w:rsidRPr="00DF2D0F" w:rsidRDefault="002070AB" w:rsidP="009E2132">
            <w:pPr>
              <w:spacing w:after="0" w:line="240" w:lineRule="auto"/>
              <w:jc w:val="center"/>
              <w:rPr>
                <w:rFonts w:ascii="Arial" w:eastAsia="Times New Roman" w:hAnsi="Arial" w:cs="Arial"/>
                <w:color w:val="FFFFFF"/>
                <w:sz w:val="18"/>
                <w:szCs w:val="18"/>
              </w:rPr>
            </w:pPr>
            <w:r w:rsidRPr="00DF2D0F">
              <w:rPr>
                <w:rFonts w:ascii="Arial" w:eastAsia="Times New Roman" w:hAnsi="Arial" w:cs="Arial"/>
                <w:color w:val="FFFFFF"/>
                <w:sz w:val="18"/>
                <w:szCs w:val="18"/>
              </w:rPr>
              <w:t>Avg. Load Impact (MW)</w:t>
            </w:r>
          </w:p>
        </w:tc>
        <w:tc>
          <w:tcPr>
            <w:tcW w:w="1994" w:type="dxa"/>
            <w:gridSpan w:val="2"/>
            <w:tcBorders>
              <w:top w:val="nil"/>
              <w:left w:val="nil"/>
              <w:bottom w:val="single" w:sz="8" w:space="0" w:color="FFFFFF"/>
              <w:right w:val="single" w:sz="8" w:space="0" w:color="FFFFFF"/>
            </w:tcBorders>
            <w:shd w:val="clear" w:color="000000" w:fill="1F497D"/>
            <w:vAlign w:val="bottom"/>
            <w:hideMark/>
          </w:tcPr>
          <w:p w:rsidR="002070AB" w:rsidRPr="00DF2D0F" w:rsidRDefault="002070AB" w:rsidP="009E2132">
            <w:pPr>
              <w:spacing w:after="0" w:line="240" w:lineRule="auto"/>
              <w:jc w:val="center"/>
              <w:rPr>
                <w:rFonts w:ascii="Arial" w:eastAsia="Times New Roman" w:hAnsi="Arial" w:cs="Arial"/>
                <w:color w:val="FFFFFF"/>
                <w:sz w:val="18"/>
                <w:szCs w:val="18"/>
              </w:rPr>
            </w:pPr>
            <w:r w:rsidRPr="00DF2D0F">
              <w:rPr>
                <w:rFonts w:ascii="Arial" w:eastAsia="Times New Roman" w:hAnsi="Arial" w:cs="Arial"/>
                <w:color w:val="FFFFFF"/>
                <w:sz w:val="18"/>
                <w:szCs w:val="18"/>
              </w:rPr>
              <w:t>Impact Uncertainty</w:t>
            </w:r>
          </w:p>
        </w:tc>
      </w:tr>
      <w:tr w:rsidR="002070AB" w:rsidRPr="00DF2D0F" w:rsidTr="009E2132">
        <w:trPr>
          <w:trHeight w:val="538"/>
          <w:jc w:val="center"/>
        </w:trPr>
        <w:tc>
          <w:tcPr>
            <w:tcW w:w="1357" w:type="dxa"/>
            <w:vMerge/>
            <w:tcBorders>
              <w:top w:val="nil"/>
              <w:left w:val="single" w:sz="8" w:space="0" w:color="FFFFFF"/>
              <w:bottom w:val="single" w:sz="8" w:space="0" w:color="FFFFFF"/>
              <w:right w:val="single" w:sz="8" w:space="0" w:color="FFFFFF"/>
            </w:tcBorders>
            <w:vAlign w:val="center"/>
            <w:hideMark/>
          </w:tcPr>
          <w:p w:rsidR="002070AB" w:rsidRPr="00DF2D0F" w:rsidRDefault="002070AB" w:rsidP="009E2132">
            <w:pPr>
              <w:spacing w:after="0" w:line="240" w:lineRule="auto"/>
              <w:rPr>
                <w:rFonts w:ascii="Arial" w:eastAsia="Times New Roman" w:hAnsi="Arial" w:cs="Arial"/>
                <w:color w:val="FFFFFF"/>
                <w:sz w:val="18"/>
                <w:szCs w:val="18"/>
              </w:rPr>
            </w:pPr>
          </w:p>
        </w:tc>
        <w:tc>
          <w:tcPr>
            <w:tcW w:w="1460" w:type="dxa"/>
            <w:vMerge/>
            <w:tcBorders>
              <w:top w:val="nil"/>
              <w:left w:val="single" w:sz="8" w:space="0" w:color="FFFFFF"/>
              <w:bottom w:val="single" w:sz="8" w:space="0" w:color="FFFFFF"/>
              <w:right w:val="single" w:sz="8" w:space="0" w:color="FFFFFF"/>
            </w:tcBorders>
            <w:vAlign w:val="center"/>
            <w:hideMark/>
          </w:tcPr>
          <w:p w:rsidR="002070AB" w:rsidRPr="00DF2D0F" w:rsidRDefault="002070AB" w:rsidP="009E2132">
            <w:pPr>
              <w:spacing w:after="0" w:line="240" w:lineRule="auto"/>
              <w:rPr>
                <w:rFonts w:ascii="Arial" w:eastAsia="Times New Roman" w:hAnsi="Arial" w:cs="Arial"/>
                <w:color w:val="FFFFFF"/>
                <w:sz w:val="18"/>
                <w:szCs w:val="18"/>
              </w:rPr>
            </w:pPr>
          </w:p>
        </w:tc>
        <w:tc>
          <w:tcPr>
            <w:tcW w:w="997" w:type="dxa"/>
            <w:tcBorders>
              <w:top w:val="nil"/>
              <w:left w:val="nil"/>
              <w:bottom w:val="nil"/>
              <w:right w:val="single" w:sz="8" w:space="0" w:color="FFFFFF"/>
            </w:tcBorders>
            <w:shd w:val="clear" w:color="000000" w:fill="1F497D"/>
            <w:vAlign w:val="bottom"/>
            <w:hideMark/>
          </w:tcPr>
          <w:p w:rsidR="002070AB" w:rsidRPr="00DF2D0F" w:rsidRDefault="002070AB" w:rsidP="009E2132">
            <w:pPr>
              <w:spacing w:after="0" w:line="240" w:lineRule="auto"/>
              <w:jc w:val="center"/>
              <w:rPr>
                <w:rFonts w:ascii="Arial" w:eastAsia="Times New Roman" w:hAnsi="Arial" w:cs="Arial"/>
                <w:color w:val="FFFFFF"/>
                <w:sz w:val="18"/>
                <w:szCs w:val="18"/>
              </w:rPr>
            </w:pPr>
            <w:r w:rsidRPr="00DF2D0F">
              <w:rPr>
                <w:rFonts w:ascii="Arial" w:eastAsia="Times New Roman" w:hAnsi="Arial" w:cs="Arial"/>
                <w:color w:val="FFFFFF"/>
                <w:sz w:val="18"/>
                <w:szCs w:val="18"/>
              </w:rPr>
              <w:t>10th percentile</w:t>
            </w:r>
          </w:p>
        </w:tc>
        <w:tc>
          <w:tcPr>
            <w:tcW w:w="997" w:type="dxa"/>
            <w:tcBorders>
              <w:top w:val="nil"/>
              <w:left w:val="nil"/>
              <w:bottom w:val="nil"/>
              <w:right w:val="nil"/>
            </w:tcBorders>
            <w:shd w:val="clear" w:color="000000" w:fill="1F497D"/>
            <w:vAlign w:val="bottom"/>
            <w:hideMark/>
          </w:tcPr>
          <w:p w:rsidR="002070AB" w:rsidRPr="00DF2D0F" w:rsidRDefault="002070AB" w:rsidP="009E2132">
            <w:pPr>
              <w:spacing w:after="0" w:line="240" w:lineRule="auto"/>
              <w:jc w:val="center"/>
              <w:rPr>
                <w:rFonts w:ascii="Arial" w:eastAsia="Times New Roman" w:hAnsi="Arial" w:cs="Arial"/>
                <w:color w:val="FFFFFF"/>
                <w:sz w:val="18"/>
                <w:szCs w:val="18"/>
              </w:rPr>
            </w:pPr>
            <w:r w:rsidRPr="00DF2D0F">
              <w:rPr>
                <w:rFonts w:ascii="Arial" w:eastAsia="Times New Roman" w:hAnsi="Arial" w:cs="Arial"/>
                <w:color w:val="FFFFFF"/>
                <w:sz w:val="18"/>
                <w:szCs w:val="18"/>
              </w:rPr>
              <w:t>90th percentile</w:t>
            </w:r>
          </w:p>
        </w:tc>
      </w:tr>
      <w:tr w:rsidR="002070AB" w:rsidRPr="00DF2D0F" w:rsidTr="009E2132">
        <w:trPr>
          <w:trHeight w:val="312"/>
          <w:jc w:val="center"/>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2070AB" w:rsidRPr="00DF2D0F" w:rsidRDefault="002070AB" w:rsidP="009E2132">
            <w:pPr>
              <w:spacing w:after="0" w:line="240" w:lineRule="auto"/>
              <w:jc w:val="center"/>
              <w:rPr>
                <w:rFonts w:ascii="Arial" w:eastAsia="Times New Roman" w:hAnsi="Arial" w:cs="Arial"/>
                <w:color w:val="000000"/>
                <w:sz w:val="18"/>
                <w:szCs w:val="18"/>
              </w:rPr>
            </w:pPr>
            <w:r w:rsidRPr="00DF2D0F">
              <w:rPr>
                <w:rFonts w:ascii="Arial" w:eastAsia="Times New Roman" w:hAnsi="Arial" w:cs="Arial"/>
                <w:color w:val="000000"/>
                <w:sz w:val="18"/>
                <w:szCs w:val="18"/>
              </w:rPr>
              <w:t>2012</w:t>
            </w:r>
          </w:p>
        </w:tc>
        <w:tc>
          <w:tcPr>
            <w:tcW w:w="1460" w:type="dxa"/>
            <w:tcBorders>
              <w:top w:val="nil"/>
              <w:left w:val="nil"/>
              <w:bottom w:val="single" w:sz="4" w:space="0" w:color="auto"/>
              <w:right w:val="single" w:sz="4" w:space="0" w:color="auto"/>
            </w:tcBorders>
            <w:shd w:val="clear" w:color="auto" w:fill="auto"/>
            <w:noWrap/>
            <w:vAlign w:val="bottom"/>
            <w:hideMark/>
          </w:tcPr>
          <w:p w:rsidR="002070AB" w:rsidRPr="00DF2D0F" w:rsidRDefault="002070AB" w:rsidP="009E2132">
            <w:pPr>
              <w:spacing w:after="0" w:line="240" w:lineRule="auto"/>
              <w:jc w:val="center"/>
              <w:rPr>
                <w:rFonts w:ascii="Arial" w:eastAsia="Times New Roman" w:hAnsi="Arial" w:cs="Arial"/>
                <w:color w:val="000000"/>
                <w:sz w:val="18"/>
                <w:szCs w:val="18"/>
              </w:rPr>
            </w:pPr>
            <w:r w:rsidRPr="00DF2D0F">
              <w:rPr>
                <w:rFonts w:ascii="Arial" w:eastAsia="Times New Roman" w:hAnsi="Arial" w:cs="Arial"/>
                <w:color w:val="000000"/>
                <w:sz w:val="18"/>
                <w:szCs w:val="18"/>
              </w:rPr>
              <w:t>26.2</w:t>
            </w:r>
          </w:p>
        </w:tc>
        <w:tc>
          <w:tcPr>
            <w:tcW w:w="997" w:type="dxa"/>
            <w:tcBorders>
              <w:top w:val="nil"/>
              <w:left w:val="nil"/>
              <w:bottom w:val="single" w:sz="4" w:space="0" w:color="auto"/>
              <w:right w:val="single" w:sz="4" w:space="0" w:color="auto"/>
            </w:tcBorders>
            <w:shd w:val="clear" w:color="auto" w:fill="auto"/>
            <w:noWrap/>
            <w:vAlign w:val="bottom"/>
            <w:hideMark/>
          </w:tcPr>
          <w:p w:rsidR="002070AB" w:rsidRPr="00DF2D0F" w:rsidRDefault="002070AB" w:rsidP="009E2132">
            <w:pPr>
              <w:spacing w:after="0" w:line="240" w:lineRule="auto"/>
              <w:jc w:val="center"/>
              <w:rPr>
                <w:rFonts w:ascii="Arial" w:eastAsia="Times New Roman" w:hAnsi="Arial" w:cs="Arial"/>
                <w:color w:val="000000"/>
                <w:sz w:val="18"/>
                <w:szCs w:val="18"/>
              </w:rPr>
            </w:pPr>
            <w:r w:rsidRPr="00DF2D0F">
              <w:rPr>
                <w:rFonts w:ascii="Arial" w:eastAsia="Times New Roman" w:hAnsi="Arial" w:cs="Arial"/>
                <w:color w:val="000000"/>
                <w:sz w:val="18"/>
                <w:szCs w:val="18"/>
              </w:rPr>
              <w:t>24.7</w:t>
            </w:r>
          </w:p>
        </w:tc>
        <w:tc>
          <w:tcPr>
            <w:tcW w:w="997" w:type="dxa"/>
            <w:tcBorders>
              <w:top w:val="nil"/>
              <w:left w:val="nil"/>
              <w:bottom w:val="single" w:sz="4" w:space="0" w:color="auto"/>
              <w:right w:val="single" w:sz="4" w:space="0" w:color="auto"/>
            </w:tcBorders>
            <w:shd w:val="clear" w:color="auto" w:fill="auto"/>
            <w:noWrap/>
            <w:vAlign w:val="bottom"/>
            <w:hideMark/>
          </w:tcPr>
          <w:p w:rsidR="002070AB" w:rsidRPr="00DF2D0F" w:rsidRDefault="002070AB" w:rsidP="009E2132">
            <w:pPr>
              <w:spacing w:after="0" w:line="240" w:lineRule="auto"/>
              <w:jc w:val="center"/>
              <w:rPr>
                <w:rFonts w:ascii="Arial" w:eastAsia="Times New Roman" w:hAnsi="Arial" w:cs="Arial"/>
                <w:color w:val="000000"/>
                <w:sz w:val="18"/>
                <w:szCs w:val="18"/>
              </w:rPr>
            </w:pPr>
            <w:r w:rsidRPr="00DF2D0F">
              <w:rPr>
                <w:rFonts w:ascii="Arial" w:eastAsia="Times New Roman" w:hAnsi="Arial" w:cs="Arial"/>
                <w:color w:val="000000"/>
                <w:sz w:val="18"/>
                <w:szCs w:val="18"/>
              </w:rPr>
              <w:t>27.8</w:t>
            </w:r>
          </w:p>
        </w:tc>
      </w:tr>
      <w:tr w:rsidR="002070AB" w:rsidRPr="00DF2D0F" w:rsidTr="009E2132">
        <w:trPr>
          <w:trHeight w:val="288"/>
          <w:jc w:val="center"/>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2070AB" w:rsidRPr="00DF2D0F" w:rsidRDefault="002070AB" w:rsidP="009E2132">
            <w:pPr>
              <w:spacing w:after="0" w:line="240" w:lineRule="auto"/>
              <w:jc w:val="center"/>
              <w:rPr>
                <w:rFonts w:ascii="Arial" w:eastAsia="Times New Roman" w:hAnsi="Arial" w:cs="Arial"/>
                <w:color w:val="000000"/>
                <w:sz w:val="18"/>
                <w:szCs w:val="18"/>
              </w:rPr>
            </w:pPr>
            <w:r w:rsidRPr="00DF2D0F">
              <w:rPr>
                <w:rFonts w:ascii="Arial" w:eastAsia="Times New Roman" w:hAnsi="Arial" w:cs="Arial"/>
                <w:color w:val="000000"/>
                <w:sz w:val="18"/>
                <w:szCs w:val="18"/>
              </w:rPr>
              <w:t>2013</w:t>
            </w:r>
          </w:p>
        </w:tc>
        <w:tc>
          <w:tcPr>
            <w:tcW w:w="1460" w:type="dxa"/>
            <w:tcBorders>
              <w:top w:val="nil"/>
              <w:left w:val="nil"/>
              <w:bottom w:val="single" w:sz="4" w:space="0" w:color="auto"/>
              <w:right w:val="single" w:sz="4" w:space="0" w:color="auto"/>
            </w:tcBorders>
            <w:shd w:val="clear" w:color="auto" w:fill="auto"/>
            <w:noWrap/>
            <w:vAlign w:val="bottom"/>
            <w:hideMark/>
          </w:tcPr>
          <w:p w:rsidR="002070AB" w:rsidRPr="00DF2D0F" w:rsidRDefault="002070AB" w:rsidP="009E2132">
            <w:pPr>
              <w:spacing w:after="0" w:line="240" w:lineRule="auto"/>
              <w:jc w:val="center"/>
              <w:rPr>
                <w:rFonts w:ascii="Arial" w:eastAsia="Times New Roman" w:hAnsi="Arial" w:cs="Arial"/>
                <w:color w:val="000000"/>
                <w:sz w:val="18"/>
                <w:szCs w:val="18"/>
              </w:rPr>
            </w:pPr>
            <w:r w:rsidRPr="00DF2D0F">
              <w:rPr>
                <w:rFonts w:ascii="Arial" w:eastAsia="Times New Roman" w:hAnsi="Arial" w:cs="Arial"/>
                <w:color w:val="000000"/>
                <w:sz w:val="18"/>
                <w:szCs w:val="18"/>
              </w:rPr>
              <w:t>27.8</w:t>
            </w:r>
          </w:p>
        </w:tc>
        <w:tc>
          <w:tcPr>
            <w:tcW w:w="997" w:type="dxa"/>
            <w:tcBorders>
              <w:top w:val="nil"/>
              <w:left w:val="nil"/>
              <w:bottom w:val="single" w:sz="4" w:space="0" w:color="auto"/>
              <w:right w:val="single" w:sz="4" w:space="0" w:color="auto"/>
            </w:tcBorders>
            <w:shd w:val="clear" w:color="auto" w:fill="auto"/>
            <w:noWrap/>
            <w:vAlign w:val="bottom"/>
            <w:hideMark/>
          </w:tcPr>
          <w:p w:rsidR="002070AB" w:rsidRPr="00DF2D0F" w:rsidRDefault="002070AB" w:rsidP="009E2132">
            <w:pPr>
              <w:spacing w:after="0" w:line="240" w:lineRule="auto"/>
              <w:jc w:val="center"/>
              <w:rPr>
                <w:rFonts w:ascii="Arial" w:eastAsia="Times New Roman" w:hAnsi="Arial" w:cs="Arial"/>
                <w:color w:val="000000"/>
                <w:sz w:val="18"/>
                <w:szCs w:val="18"/>
              </w:rPr>
            </w:pPr>
            <w:r w:rsidRPr="00DF2D0F">
              <w:rPr>
                <w:rFonts w:ascii="Arial" w:eastAsia="Times New Roman" w:hAnsi="Arial" w:cs="Arial"/>
                <w:color w:val="000000"/>
                <w:sz w:val="18"/>
                <w:szCs w:val="18"/>
              </w:rPr>
              <w:t>26.2</w:t>
            </w:r>
          </w:p>
        </w:tc>
        <w:tc>
          <w:tcPr>
            <w:tcW w:w="997" w:type="dxa"/>
            <w:tcBorders>
              <w:top w:val="nil"/>
              <w:left w:val="nil"/>
              <w:bottom w:val="single" w:sz="4" w:space="0" w:color="auto"/>
              <w:right w:val="single" w:sz="4" w:space="0" w:color="auto"/>
            </w:tcBorders>
            <w:shd w:val="clear" w:color="auto" w:fill="auto"/>
            <w:noWrap/>
            <w:vAlign w:val="bottom"/>
            <w:hideMark/>
          </w:tcPr>
          <w:p w:rsidR="002070AB" w:rsidRPr="00DF2D0F" w:rsidRDefault="002070AB" w:rsidP="009E2132">
            <w:pPr>
              <w:spacing w:after="0" w:line="240" w:lineRule="auto"/>
              <w:jc w:val="center"/>
              <w:rPr>
                <w:rFonts w:ascii="Arial" w:eastAsia="Times New Roman" w:hAnsi="Arial" w:cs="Arial"/>
                <w:color w:val="000000"/>
                <w:sz w:val="18"/>
                <w:szCs w:val="18"/>
              </w:rPr>
            </w:pPr>
            <w:r w:rsidRPr="00DF2D0F">
              <w:rPr>
                <w:rFonts w:ascii="Arial" w:eastAsia="Times New Roman" w:hAnsi="Arial" w:cs="Arial"/>
                <w:color w:val="000000"/>
                <w:sz w:val="18"/>
                <w:szCs w:val="18"/>
              </w:rPr>
              <w:t>29.4</w:t>
            </w:r>
          </w:p>
        </w:tc>
      </w:tr>
      <w:tr w:rsidR="002070AB" w:rsidRPr="00DF2D0F" w:rsidTr="009E2132">
        <w:trPr>
          <w:trHeight w:val="288"/>
          <w:jc w:val="center"/>
        </w:trPr>
        <w:tc>
          <w:tcPr>
            <w:tcW w:w="1357" w:type="dxa"/>
            <w:tcBorders>
              <w:top w:val="nil"/>
              <w:left w:val="single" w:sz="4" w:space="0" w:color="auto"/>
              <w:bottom w:val="single" w:sz="4" w:space="0" w:color="auto"/>
              <w:right w:val="single" w:sz="4" w:space="0" w:color="auto"/>
            </w:tcBorders>
            <w:shd w:val="clear" w:color="auto" w:fill="auto"/>
            <w:noWrap/>
            <w:vAlign w:val="bottom"/>
            <w:hideMark/>
          </w:tcPr>
          <w:p w:rsidR="002070AB" w:rsidRPr="00DF2D0F" w:rsidRDefault="002070AB" w:rsidP="009E2132">
            <w:pPr>
              <w:spacing w:after="0" w:line="240" w:lineRule="auto"/>
              <w:jc w:val="center"/>
              <w:rPr>
                <w:rFonts w:ascii="Arial" w:eastAsia="Times New Roman" w:hAnsi="Arial" w:cs="Arial"/>
                <w:color w:val="000000"/>
                <w:sz w:val="18"/>
                <w:szCs w:val="18"/>
              </w:rPr>
            </w:pPr>
            <w:r w:rsidRPr="00DF2D0F">
              <w:rPr>
                <w:rFonts w:ascii="Arial" w:eastAsia="Times New Roman" w:hAnsi="Arial" w:cs="Arial"/>
                <w:color w:val="000000"/>
                <w:sz w:val="18"/>
                <w:szCs w:val="18"/>
              </w:rPr>
              <w:t>2014 - 2022</w:t>
            </w:r>
          </w:p>
        </w:tc>
        <w:tc>
          <w:tcPr>
            <w:tcW w:w="1460" w:type="dxa"/>
            <w:tcBorders>
              <w:top w:val="nil"/>
              <w:left w:val="nil"/>
              <w:bottom w:val="single" w:sz="4" w:space="0" w:color="auto"/>
              <w:right w:val="single" w:sz="4" w:space="0" w:color="auto"/>
            </w:tcBorders>
            <w:shd w:val="clear" w:color="auto" w:fill="auto"/>
            <w:noWrap/>
            <w:vAlign w:val="bottom"/>
            <w:hideMark/>
          </w:tcPr>
          <w:p w:rsidR="002070AB" w:rsidRPr="00DF2D0F" w:rsidRDefault="002070AB" w:rsidP="009E2132">
            <w:pPr>
              <w:spacing w:after="0" w:line="240" w:lineRule="auto"/>
              <w:jc w:val="center"/>
              <w:rPr>
                <w:rFonts w:ascii="Arial" w:eastAsia="Times New Roman" w:hAnsi="Arial" w:cs="Arial"/>
                <w:color w:val="000000"/>
                <w:sz w:val="18"/>
                <w:szCs w:val="18"/>
              </w:rPr>
            </w:pPr>
            <w:r w:rsidRPr="00DF2D0F">
              <w:rPr>
                <w:rFonts w:ascii="Arial" w:eastAsia="Times New Roman" w:hAnsi="Arial" w:cs="Arial"/>
                <w:color w:val="000000"/>
                <w:sz w:val="18"/>
                <w:szCs w:val="18"/>
              </w:rPr>
              <w:t>27.8</w:t>
            </w:r>
          </w:p>
        </w:tc>
        <w:tc>
          <w:tcPr>
            <w:tcW w:w="997" w:type="dxa"/>
            <w:tcBorders>
              <w:top w:val="nil"/>
              <w:left w:val="nil"/>
              <w:bottom w:val="single" w:sz="4" w:space="0" w:color="auto"/>
              <w:right w:val="single" w:sz="4" w:space="0" w:color="auto"/>
            </w:tcBorders>
            <w:shd w:val="clear" w:color="auto" w:fill="auto"/>
            <w:noWrap/>
            <w:vAlign w:val="bottom"/>
            <w:hideMark/>
          </w:tcPr>
          <w:p w:rsidR="002070AB" w:rsidRPr="00DF2D0F" w:rsidRDefault="002070AB" w:rsidP="009E2132">
            <w:pPr>
              <w:spacing w:after="0" w:line="240" w:lineRule="auto"/>
              <w:jc w:val="center"/>
              <w:rPr>
                <w:rFonts w:ascii="Arial" w:eastAsia="Times New Roman" w:hAnsi="Arial" w:cs="Arial"/>
                <w:color w:val="000000"/>
                <w:sz w:val="18"/>
                <w:szCs w:val="18"/>
              </w:rPr>
            </w:pPr>
            <w:r w:rsidRPr="00DF2D0F">
              <w:rPr>
                <w:rFonts w:ascii="Arial" w:eastAsia="Times New Roman" w:hAnsi="Arial" w:cs="Arial"/>
                <w:color w:val="000000"/>
                <w:sz w:val="18"/>
                <w:szCs w:val="18"/>
              </w:rPr>
              <w:t>26.2</w:t>
            </w:r>
          </w:p>
        </w:tc>
        <w:tc>
          <w:tcPr>
            <w:tcW w:w="997" w:type="dxa"/>
            <w:tcBorders>
              <w:top w:val="nil"/>
              <w:left w:val="nil"/>
              <w:bottom w:val="single" w:sz="4" w:space="0" w:color="auto"/>
              <w:right w:val="single" w:sz="4" w:space="0" w:color="auto"/>
            </w:tcBorders>
            <w:shd w:val="clear" w:color="auto" w:fill="auto"/>
            <w:noWrap/>
            <w:vAlign w:val="bottom"/>
            <w:hideMark/>
          </w:tcPr>
          <w:p w:rsidR="002070AB" w:rsidRPr="00DF2D0F" w:rsidRDefault="002070AB" w:rsidP="009E2132">
            <w:pPr>
              <w:spacing w:after="0" w:line="240" w:lineRule="auto"/>
              <w:jc w:val="center"/>
              <w:rPr>
                <w:rFonts w:ascii="Arial" w:eastAsia="Times New Roman" w:hAnsi="Arial" w:cs="Arial"/>
                <w:color w:val="000000"/>
                <w:sz w:val="18"/>
                <w:szCs w:val="18"/>
              </w:rPr>
            </w:pPr>
            <w:r w:rsidRPr="00DF2D0F">
              <w:rPr>
                <w:rFonts w:ascii="Arial" w:eastAsia="Times New Roman" w:hAnsi="Arial" w:cs="Arial"/>
                <w:color w:val="000000"/>
                <w:sz w:val="18"/>
                <w:szCs w:val="18"/>
              </w:rPr>
              <w:t>29.4</w:t>
            </w:r>
          </w:p>
        </w:tc>
      </w:tr>
    </w:tbl>
    <w:p w:rsidR="002070AB" w:rsidRPr="005B0E78" w:rsidRDefault="002070AB" w:rsidP="002070AB">
      <w:pPr>
        <w:pStyle w:val="BodyParagraph"/>
      </w:pPr>
    </w:p>
    <w:p w:rsidR="002070AB" w:rsidRDefault="002070AB" w:rsidP="002070AB">
      <w:pPr>
        <w:pStyle w:val="BodyParagraph"/>
      </w:pPr>
      <w:r>
        <w:t>SCE</w:t>
      </w:r>
      <w:r w:rsidRPr="00E84E74">
        <w:t xml:space="preserve"> is compr</w:t>
      </w:r>
      <w:r>
        <w:t xml:space="preserve">ised of several </w:t>
      </w:r>
      <w:r w:rsidRPr="00E84E74">
        <w:t xml:space="preserve">geographic planning zones known as local capacity areas (LCAs).  </w:t>
      </w:r>
      <w:r>
        <w:t>A majority of customers live in the Los Angeles Basin and Ventura LCAs.  The ex ante load impacts differ</w:t>
      </w:r>
      <w:r w:rsidRPr="00E84E74">
        <w:t xml:space="preserve"> </w:t>
      </w:r>
      <w:r>
        <w:t>by geographic location due to differences in the total population, industry mix and, to a lesser extent, climate.</w:t>
      </w:r>
    </w:p>
    <w:p w:rsidR="002070AB" w:rsidRPr="00E52775" w:rsidRDefault="00C61D83" w:rsidP="002070AB">
      <w:pPr>
        <w:pStyle w:val="BodyParagraph"/>
      </w:pPr>
      <w:fldSimple w:instr=" REF _Ref323891096  \* MERGEFORMAT ">
        <w:r w:rsidR="00F66D5E" w:rsidRPr="0038124C">
          <w:t xml:space="preserve">Table </w:t>
        </w:r>
        <w:r w:rsidR="00F66D5E">
          <w:t>8</w:t>
        </w:r>
        <w:r w:rsidR="00F66D5E">
          <w:noBreakHyphen/>
          <w:t>8</w:t>
        </w:r>
      </w:fldSimple>
      <w:r w:rsidR="002070AB">
        <w:t xml:space="preserve"> summarizes the ex ante load reduction capability of CBP customers by LCA and customer size during an August system peak day in 2012.  LA Basin customers account for 75% of ex ante load reductions, and large customers (i.e., greater than 200 kW average demand) account for 87% of ex ante load reductions.  Per customer reductions do not vary significantly by LCA, owing to the similar customer mix in CBP across regions.</w:t>
      </w:r>
    </w:p>
    <w:p w:rsidR="002070AB" w:rsidRDefault="002070AB" w:rsidP="002070AB">
      <w:pPr>
        <w:pStyle w:val="TableFigureCaption"/>
      </w:pPr>
      <w:bookmarkStart w:id="401" w:name="_Ref323891096"/>
      <w:r w:rsidRPr="0038124C">
        <w:lastRenderedPageBreak/>
        <w:t xml:space="preserve">Table </w:t>
      </w:r>
      <w:fldSimple w:instr=" STYLEREF 1 \s ">
        <w:r w:rsidR="00F66D5E">
          <w:rPr>
            <w:noProof/>
          </w:rPr>
          <w:t>8</w:t>
        </w:r>
      </w:fldSimple>
      <w:r w:rsidR="00F55000">
        <w:noBreakHyphen/>
      </w:r>
      <w:fldSimple w:instr=" SEQ Table \* ARABIC \s 1 ">
        <w:r w:rsidR="00F66D5E">
          <w:rPr>
            <w:noProof/>
          </w:rPr>
          <w:t>8</w:t>
        </w:r>
      </w:fldSimple>
      <w:bookmarkEnd w:id="401"/>
      <w:r w:rsidRPr="0038124C">
        <w:t>:</w:t>
      </w:r>
    </w:p>
    <w:p w:rsidR="002070AB" w:rsidRDefault="002070AB" w:rsidP="002070AB">
      <w:pPr>
        <w:pStyle w:val="TableFigureCaption"/>
      </w:pPr>
      <w:r>
        <w:t xml:space="preserve">2012 </w:t>
      </w:r>
      <w:r w:rsidRPr="0038124C">
        <w:t xml:space="preserve">Aggregate </w:t>
      </w:r>
      <w:proofErr w:type="gramStart"/>
      <w:r w:rsidRPr="0038124C">
        <w:t>Ex</w:t>
      </w:r>
      <w:proofErr w:type="gramEnd"/>
      <w:r w:rsidRPr="0038124C">
        <w:t xml:space="preserve"> Ante Annual Peak Day Load </w:t>
      </w:r>
      <w:r>
        <w:t>Impacts for SCE CBP</w:t>
      </w:r>
    </w:p>
    <w:p w:rsidR="0063770C" w:rsidRPr="00F66D5E" w:rsidRDefault="002070AB" w:rsidP="00F66D5E">
      <w:pPr>
        <w:pStyle w:val="TableFigureCaption"/>
      </w:pPr>
      <w:r>
        <w:t>By LCA and Customer Size</w:t>
      </w:r>
    </w:p>
    <w:p w:rsidR="002070AB" w:rsidRPr="00E52775" w:rsidRDefault="002070AB" w:rsidP="002070AB">
      <w:pPr>
        <w:pStyle w:val="TableFigureCaption"/>
      </w:pPr>
      <w:r>
        <w:t>(Hourly Average Reduction from 1 to 6 PM)</w:t>
      </w:r>
    </w:p>
    <w:tbl>
      <w:tblPr>
        <w:tblW w:w="5000" w:type="pct"/>
        <w:tblLook w:val="04A0"/>
      </w:tblPr>
      <w:tblGrid>
        <w:gridCol w:w="436"/>
        <w:gridCol w:w="1544"/>
        <w:gridCol w:w="937"/>
        <w:gridCol w:w="977"/>
        <w:gridCol w:w="888"/>
        <w:gridCol w:w="919"/>
        <w:gridCol w:w="937"/>
        <w:gridCol w:w="977"/>
        <w:gridCol w:w="888"/>
        <w:gridCol w:w="915"/>
      </w:tblGrid>
      <w:tr w:rsidR="00B16AB3" w:rsidRPr="0063770C" w:rsidTr="0063770C">
        <w:trPr>
          <w:trHeight w:val="288"/>
        </w:trPr>
        <w:tc>
          <w:tcPr>
            <w:tcW w:w="800" w:type="pct"/>
            <w:gridSpan w:val="2"/>
            <w:vMerge w:val="restart"/>
            <w:tcBorders>
              <w:top w:val="nil"/>
              <w:left w:val="nil"/>
              <w:bottom w:val="nil"/>
              <w:right w:val="single" w:sz="4" w:space="0" w:color="FFFFFF"/>
            </w:tcBorders>
            <w:shd w:val="clear" w:color="000000" w:fill="1F497D"/>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FFFFFF"/>
                <w:sz w:val="16"/>
                <w:szCs w:val="16"/>
              </w:rPr>
            </w:pPr>
            <w:r w:rsidRPr="0063770C">
              <w:rPr>
                <w:rFonts w:ascii="Arial" w:eastAsia="Times New Roman" w:hAnsi="Arial" w:cs="Arial"/>
                <w:color w:val="FFFFFF"/>
                <w:sz w:val="16"/>
                <w:szCs w:val="16"/>
              </w:rPr>
              <w:t>Customer Subcategory</w:t>
            </w:r>
          </w:p>
        </w:tc>
        <w:tc>
          <w:tcPr>
            <w:tcW w:w="2100" w:type="pct"/>
            <w:gridSpan w:val="4"/>
            <w:tcBorders>
              <w:top w:val="nil"/>
              <w:left w:val="nil"/>
              <w:bottom w:val="single" w:sz="4" w:space="0" w:color="FFFFFF"/>
              <w:right w:val="nil"/>
            </w:tcBorders>
            <w:shd w:val="clear" w:color="000000" w:fill="1F497D"/>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FFFFFF"/>
                <w:sz w:val="16"/>
                <w:szCs w:val="16"/>
              </w:rPr>
            </w:pPr>
            <w:r w:rsidRPr="0063770C">
              <w:rPr>
                <w:rFonts w:ascii="Arial" w:eastAsia="Times New Roman" w:hAnsi="Arial" w:cs="Arial"/>
                <w:color w:val="FFFFFF"/>
                <w:sz w:val="16"/>
                <w:szCs w:val="16"/>
              </w:rPr>
              <w:t>CBP-DA</w:t>
            </w:r>
          </w:p>
        </w:tc>
        <w:tc>
          <w:tcPr>
            <w:tcW w:w="2100" w:type="pct"/>
            <w:gridSpan w:val="4"/>
            <w:tcBorders>
              <w:top w:val="nil"/>
              <w:left w:val="single" w:sz="4" w:space="0" w:color="FFFFFF"/>
              <w:bottom w:val="single" w:sz="4" w:space="0" w:color="FFFFFF"/>
              <w:right w:val="nil"/>
            </w:tcBorders>
            <w:shd w:val="clear" w:color="000000" w:fill="1F497D"/>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FFFFFF"/>
                <w:sz w:val="16"/>
                <w:szCs w:val="16"/>
              </w:rPr>
            </w:pPr>
            <w:r w:rsidRPr="0063770C">
              <w:rPr>
                <w:rFonts w:ascii="Arial" w:eastAsia="Times New Roman" w:hAnsi="Arial" w:cs="Arial"/>
                <w:color w:val="FFFFFF"/>
                <w:sz w:val="16"/>
                <w:szCs w:val="16"/>
              </w:rPr>
              <w:t>CBP-DO</w:t>
            </w:r>
          </w:p>
        </w:tc>
      </w:tr>
      <w:tr w:rsidR="00B16AB3" w:rsidRPr="0063770C" w:rsidTr="0063770C">
        <w:trPr>
          <w:trHeight w:val="1224"/>
        </w:trPr>
        <w:tc>
          <w:tcPr>
            <w:tcW w:w="800" w:type="pct"/>
            <w:gridSpan w:val="2"/>
            <w:vMerge/>
            <w:tcBorders>
              <w:top w:val="nil"/>
              <w:left w:val="nil"/>
              <w:bottom w:val="nil"/>
              <w:right w:val="single" w:sz="4" w:space="0" w:color="FFFFFF"/>
            </w:tcBorders>
            <w:tcMar>
              <w:left w:w="29" w:type="dxa"/>
              <w:right w:w="29" w:type="dxa"/>
            </w:tcMar>
            <w:vAlign w:val="center"/>
            <w:hideMark/>
          </w:tcPr>
          <w:p w:rsidR="00B16AB3" w:rsidRPr="0063770C" w:rsidRDefault="00B16AB3" w:rsidP="00B16AB3">
            <w:pPr>
              <w:spacing w:after="0" w:line="240" w:lineRule="auto"/>
              <w:rPr>
                <w:rFonts w:ascii="Arial" w:eastAsia="Times New Roman" w:hAnsi="Arial" w:cs="Arial"/>
                <w:color w:val="FFFFFF"/>
                <w:sz w:val="16"/>
                <w:szCs w:val="16"/>
              </w:rPr>
            </w:pPr>
          </w:p>
        </w:tc>
        <w:tc>
          <w:tcPr>
            <w:tcW w:w="529" w:type="pct"/>
            <w:tcBorders>
              <w:top w:val="nil"/>
              <w:left w:val="nil"/>
              <w:bottom w:val="nil"/>
              <w:right w:val="single" w:sz="4" w:space="0" w:color="FFFFFF"/>
            </w:tcBorders>
            <w:shd w:val="clear" w:color="000000" w:fill="1F497D"/>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FFFFFF"/>
                <w:sz w:val="16"/>
                <w:szCs w:val="16"/>
              </w:rPr>
            </w:pPr>
            <w:r w:rsidRPr="0063770C">
              <w:rPr>
                <w:rFonts w:ascii="Arial" w:eastAsia="Times New Roman" w:hAnsi="Arial" w:cs="Arial"/>
                <w:color w:val="FFFFFF"/>
                <w:sz w:val="16"/>
                <w:szCs w:val="16"/>
              </w:rPr>
              <w:t>Expected Aggregate Load Impact (MW)</w:t>
            </w:r>
          </w:p>
        </w:tc>
        <w:tc>
          <w:tcPr>
            <w:tcW w:w="550" w:type="pct"/>
            <w:tcBorders>
              <w:top w:val="nil"/>
              <w:left w:val="nil"/>
              <w:bottom w:val="nil"/>
              <w:right w:val="single" w:sz="4" w:space="0" w:color="FFFFFF"/>
            </w:tcBorders>
            <w:shd w:val="clear" w:color="000000" w:fill="1F497D"/>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FFFFFF"/>
                <w:sz w:val="16"/>
                <w:szCs w:val="16"/>
              </w:rPr>
            </w:pPr>
            <w:r w:rsidRPr="0063770C">
              <w:rPr>
                <w:rFonts w:ascii="Arial" w:eastAsia="Times New Roman" w:hAnsi="Arial" w:cs="Arial"/>
                <w:color w:val="FFFFFF"/>
                <w:sz w:val="16"/>
                <w:szCs w:val="16"/>
              </w:rPr>
              <w:t>Number of Nominated Customers</w:t>
            </w:r>
          </w:p>
        </w:tc>
        <w:tc>
          <w:tcPr>
            <w:tcW w:w="503" w:type="pct"/>
            <w:tcBorders>
              <w:top w:val="nil"/>
              <w:left w:val="nil"/>
              <w:bottom w:val="nil"/>
              <w:right w:val="single" w:sz="4" w:space="0" w:color="FFFFFF"/>
            </w:tcBorders>
            <w:shd w:val="clear" w:color="000000" w:fill="1F497D"/>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FFFFFF"/>
                <w:sz w:val="16"/>
                <w:szCs w:val="16"/>
              </w:rPr>
            </w:pPr>
            <w:r w:rsidRPr="0063770C">
              <w:rPr>
                <w:rFonts w:ascii="Arial" w:eastAsia="Times New Roman" w:hAnsi="Arial" w:cs="Arial"/>
                <w:color w:val="FFFFFF"/>
                <w:sz w:val="16"/>
                <w:szCs w:val="16"/>
              </w:rPr>
              <w:t>Expected Customer Avg. Load Impact (kW)</w:t>
            </w:r>
          </w:p>
        </w:tc>
        <w:tc>
          <w:tcPr>
            <w:tcW w:w="519" w:type="pct"/>
            <w:tcBorders>
              <w:top w:val="nil"/>
              <w:left w:val="nil"/>
              <w:bottom w:val="nil"/>
              <w:right w:val="single" w:sz="4" w:space="0" w:color="FFFFFF"/>
            </w:tcBorders>
            <w:shd w:val="clear" w:color="000000" w:fill="1F497D"/>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FFFFFF"/>
                <w:sz w:val="16"/>
                <w:szCs w:val="16"/>
              </w:rPr>
            </w:pPr>
            <w:r w:rsidRPr="0063770C">
              <w:rPr>
                <w:rFonts w:ascii="Arial" w:eastAsia="Times New Roman" w:hAnsi="Arial" w:cs="Arial"/>
                <w:color w:val="FFFFFF"/>
                <w:sz w:val="16"/>
                <w:szCs w:val="16"/>
              </w:rPr>
              <w:t>% Load Reduction</w:t>
            </w:r>
          </w:p>
        </w:tc>
        <w:tc>
          <w:tcPr>
            <w:tcW w:w="529" w:type="pct"/>
            <w:tcBorders>
              <w:top w:val="nil"/>
              <w:left w:val="nil"/>
              <w:bottom w:val="nil"/>
              <w:right w:val="single" w:sz="4" w:space="0" w:color="FFFFFF"/>
            </w:tcBorders>
            <w:shd w:val="clear" w:color="000000" w:fill="1F497D"/>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FFFFFF"/>
                <w:sz w:val="16"/>
                <w:szCs w:val="16"/>
              </w:rPr>
            </w:pPr>
            <w:r w:rsidRPr="0063770C">
              <w:rPr>
                <w:rFonts w:ascii="Arial" w:eastAsia="Times New Roman" w:hAnsi="Arial" w:cs="Arial"/>
                <w:color w:val="FFFFFF"/>
                <w:sz w:val="16"/>
                <w:szCs w:val="16"/>
              </w:rPr>
              <w:t>Expected Aggregate Load Impact (MW)</w:t>
            </w:r>
          </w:p>
        </w:tc>
        <w:tc>
          <w:tcPr>
            <w:tcW w:w="550" w:type="pct"/>
            <w:tcBorders>
              <w:top w:val="nil"/>
              <w:left w:val="nil"/>
              <w:bottom w:val="nil"/>
              <w:right w:val="single" w:sz="4" w:space="0" w:color="FFFFFF"/>
            </w:tcBorders>
            <w:shd w:val="clear" w:color="000000" w:fill="1F497D"/>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FFFFFF"/>
                <w:sz w:val="16"/>
                <w:szCs w:val="16"/>
              </w:rPr>
            </w:pPr>
            <w:r w:rsidRPr="0063770C">
              <w:rPr>
                <w:rFonts w:ascii="Arial" w:eastAsia="Times New Roman" w:hAnsi="Arial" w:cs="Arial"/>
                <w:color w:val="FFFFFF"/>
                <w:sz w:val="16"/>
                <w:szCs w:val="16"/>
              </w:rPr>
              <w:t>Number of Nominated Customers</w:t>
            </w:r>
          </w:p>
        </w:tc>
        <w:tc>
          <w:tcPr>
            <w:tcW w:w="503" w:type="pct"/>
            <w:tcBorders>
              <w:top w:val="nil"/>
              <w:left w:val="nil"/>
              <w:bottom w:val="nil"/>
              <w:right w:val="single" w:sz="4" w:space="0" w:color="FFFFFF"/>
            </w:tcBorders>
            <w:shd w:val="clear" w:color="000000" w:fill="1F497D"/>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FFFFFF"/>
                <w:sz w:val="16"/>
                <w:szCs w:val="16"/>
              </w:rPr>
            </w:pPr>
            <w:r w:rsidRPr="0063770C">
              <w:rPr>
                <w:rFonts w:ascii="Arial" w:eastAsia="Times New Roman" w:hAnsi="Arial" w:cs="Arial"/>
                <w:color w:val="FFFFFF"/>
                <w:sz w:val="16"/>
                <w:szCs w:val="16"/>
              </w:rPr>
              <w:t>Expected Customer Avg. Load Impact (kW)</w:t>
            </w:r>
          </w:p>
        </w:tc>
        <w:tc>
          <w:tcPr>
            <w:tcW w:w="519" w:type="pct"/>
            <w:tcBorders>
              <w:top w:val="nil"/>
              <w:left w:val="nil"/>
              <w:bottom w:val="nil"/>
              <w:right w:val="single" w:sz="4" w:space="0" w:color="FFFFFF"/>
            </w:tcBorders>
            <w:shd w:val="clear" w:color="000000" w:fill="1F497D"/>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FFFFFF"/>
                <w:sz w:val="16"/>
                <w:szCs w:val="16"/>
              </w:rPr>
            </w:pPr>
            <w:r w:rsidRPr="0063770C">
              <w:rPr>
                <w:rFonts w:ascii="Arial" w:eastAsia="Times New Roman" w:hAnsi="Arial" w:cs="Arial"/>
                <w:color w:val="FFFFFF"/>
                <w:sz w:val="16"/>
                <w:szCs w:val="16"/>
              </w:rPr>
              <w:t>% Load Reduction</w:t>
            </w:r>
          </w:p>
        </w:tc>
      </w:tr>
      <w:tr w:rsidR="00B16AB3" w:rsidRPr="0063770C" w:rsidTr="0063770C">
        <w:trPr>
          <w:trHeight w:val="288"/>
        </w:trPr>
        <w:tc>
          <w:tcPr>
            <w:tcW w:w="263" w:type="pct"/>
            <w:vMerge w:val="restart"/>
            <w:tcBorders>
              <w:top w:val="nil"/>
              <w:left w:val="single" w:sz="4" w:space="0" w:color="auto"/>
              <w:bottom w:val="single" w:sz="4" w:space="0" w:color="000000"/>
              <w:right w:val="single" w:sz="4" w:space="0" w:color="auto"/>
            </w:tcBorders>
            <w:shd w:val="clear" w:color="auto" w:fill="auto"/>
            <w:noWrap/>
            <w:tcMar>
              <w:left w:w="29" w:type="dxa"/>
              <w:right w:w="29" w:type="dxa"/>
            </w:tcMar>
            <w:vAlign w:val="center"/>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LCA</w:t>
            </w:r>
          </w:p>
        </w:tc>
        <w:tc>
          <w:tcPr>
            <w:tcW w:w="537"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LA Basin</w:t>
            </w:r>
          </w:p>
        </w:tc>
        <w:tc>
          <w:tcPr>
            <w:tcW w:w="529"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4.1</w:t>
            </w:r>
          </w:p>
        </w:tc>
        <w:tc>
          <w:tcPr>
            <w:tcW w:w="550"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91</w:t>
            </w:r>
          </w:p>
        </w:tc>
        <w:tc>
          <w:tcPr>
            <w:tcW w:w="503"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45.1</w:t>
            </w:r>
          </w:p>
        </w:tc>
        <w:tc>
          <w:tcPr>
            <w:tcW w:w="519"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24.0%</w:t>
            </w:r>
          </w:p>
        </w:tc>
        <w:tc>
          <w:tcPr>
            <w:tcW w:w="529"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15.6</w:t>
            </w:r>
          </w:p>
        </w:tc>
        <w:tc>
          <w:tcPr>
            <w:tcW w:w="550"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338</w:t>
            </w:r>
          </w:p>
        </w:tc>
        <w:tc>
          <w:tcPr>
            <w:tcW w:w="503"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46.1</w:t>
            </w:r>
          </w:p>
        </w:tc>
        <w:tc>
          <w:tcPr>
            <w:tcW w:w="519"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19.0%</w:t>
            </w:r>
          </w:p>
        </w:tc>
      </w:tr>
      <w:tr w:rsidR="00B16AB3" w:rsidRPr="0063770C" w:rsidTr="0063770C">
        <w:trPr>
          <w:trHeight w:val="288"/>
        </w:trPr>
        <w:tc>
          <w:tcPr>
            <w:tcW w:w="263" w:type="pct"/>
            <w:vMerge/>
            <w:tcBorders>
              <w:top w:val="nil"/>
              <w:left w:val="single" w:sz="4" w:space="0" w:color="auto"/>
              <w:bottom w:val="single" w:sz="4" w:space="0" w:color="000000"/>
              <w:right w:val="single" w:sz="4" w:space="0" w:color="auto"/>
            </w:tcBorders>
            <w:tcMar>
              <w:left w:w="29" w:type="dxa"/>
              <w:right w:w="29" w:type="dxa"/>
            </w:tcMar>
            <w:vAlign w:val="center"/>
            <w:hideMark/>
          </w:tcPr>
          <w:p w:rsidR="00B16AB3" w:rsidRPr="0063770C" w:rsidRDefault="00B16AB3" w:rsidP="00B16AB3">
            <w:pPr>
              <w:spacing w:after="0" w:line="240" w:lineRule="auto"/>
              <w:rPr>
                <w:rFonts w:ascii="Arial" w:eastAsia="Times New Roman"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Outside LA</w:t>
            </w:r>
          </w:p>
        </w:tc>
        <w:tc>
          <w:tcPr>
            <w:tcW w:w="52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0.2</w:t>
            </w:r>
          </w:p>
        </w:tc>
        <w:tc>
          <w:tcPr>
            <w:tcW w:w="55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5</w:t>
            </w:r>
          </w:p>
        </w:tc>
        <w:tc>
          <w:tcPr>
            <w:tcW w:w="503"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34.5</w:t>
            </w:r>
          </w:p>
        </w:tc>
        <w:tc>
          <w:tcPr>
            <w:tcW w:w="51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20.9%</w:t>
            </w:r>
          </w:p>
        </w:tc>
        <w:tc>
          <w:tcPr>
            <w:tcW w:w="52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1.5</w:t>
            </w:r>
          </w:p>
        </w:tc>
        <w:tc>
          <w:tcPr>
            <w:tcW w:w="55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32</w:t>
            </w:r>
          </w:p>
        </w:tc>
        <w:tc>
          <w:tcPr>
            <w:tcW w:w="503"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48.4</w:t>
            </w:r>
          </w:p>
        </w:tc>
        <w:tc>
          <w:tcPr>
            <w:tcW w:w="51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17.5%</w:t>
            </w:r>
          </w:p>
        </w:tc>
      </w:tr>
      <w:tr w:rsidR="00B16AB3" w:rsidRPr="0063770C" w:rsidTr="0063770C">
        <w:trPr>
          <w:trHeight w:val="288"/>
        </w:trPr>
        <w:tc>
          <w:tcPr>
            <w:tcW w:w="263" w:type="pct"/>
            <w:vMerge/>
            <w:tcBorders>
              <w:top w:val="nil"/>
              <w:left w:val="single" w:sz="4" w:space="0" w:color="auto"/>
              <w:bottom w:val="single" w:sz="4" w:space="0" w:color="000000"/>
              <w:right w:val="single" w:sz="4" w:space="0" w:color="auto"/>
            </w:tcBorders>
            <w:tcMar>
              <w:left w:w="29" w:type="dxa"/>
              <w:right w:w="29" w:type="dxa"/>
            </w:tcMar>
            <w:vAlign w:val="center"/>
            <w:hideMark/>
          </w:tcPr>
          <w:p w:rsidR="00B16AB3" w:rsidRPr="0063770C" w:rsidRDefault="00B16AB3" w:rsidP="00B16AB3">
            <w:pPr>
              <w:spacing w:after="0" w:line="240" w:lineRule="auto"/>
              <w:rPr>
                <w:rFonts w:ascii="Arial" w:eastAsia="Times New Roman"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Ventura</w:t>
            </w:r>
          </w:p>
        </w:tc>
        <w:tc>
          <w:tcPr>
            <w:tcW w:w="52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1.2</w:t>
            </w:r>
          </w:p>
        </w:tc>
        <w:tc>
          <w:tcPr>
            <w:tcW w:w="55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21</w:t>
            </w:r>
          </w:p>
        </w:tc>
        <w:tc>
          <w:tcPr>
            <w:tcW w:w="503"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56.2</w:t>
            </w:r>
          </w:p>
        </w:tc>
        <w:tc>
          <w:tcPr>
            <w:tcW w:w="51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25.4%</w:t>
            </w:r>
          </w:p>
        </w:tc>
        <w:tc>
          <w:tcPr>
            <w:tcW w:w="52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3.7</w:t>
            </w:r>
          </w:p>
        </w:tc>
        <w:tc>
          <w:tcPr>
            <w:tcW w:w="55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78</w:t>
            </w:r>
          </w:p>
        </w:tc>
        <w:tc>
          <w:tcPr>
            <w:tcW w:w="503"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47.5</w:t>
            </w:r>
          </w:p>
        </w:tc>
        <w:tc>
          <w:tcPr>
            <w:tcW w:w="51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17.8%</w:t>
            </w:r>
          </w:p>
        </w:tc>
      </w:tr>
      <w:tr w:rsidR="00B16AB3" w:rsidRPr="0063770C" w:rsidTr="0063770C">
        <w:trPr>
          <w:trHeight w:val="288"/>
        </w:trPr>
        <w:tc>
          <w:tcPr>
            <w:tcW w:w="263" w:type="pct"/>
            <w:vMerge w:val="restart"/>
            <w:tcBorders>
              <w:top w:val="nil"/>
              <w:left w:val="single" w:sz="4" w:space="0" w:color="auto"/>
              <w:bottom w:val="nil"/>
              <w:right w:val="single" w:sz="4" w:space="0" w:color="auto"/>
            </w:tcBorders>
            <w:shd w:val="clear" w:color="auto" w:fill="auto"/>
            <w:noWrap/>
            <w:tcMar>
              <w:left w:w="29" w:type="dxa"/>
              <w:right w:w="29" w:type="dxa"/>
            </w:tcMar>
            <w:vAlign w:val="center"/>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Size</w:t>
            </w:r>
          </w:p>
        </w:tc>
        <w:tc>
          <w:tcPr>
            <w:tcW w:w="53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Greater than 200 kW</w:t>
            </w:r>
          </w:p>
        </w:tc>
        <w:tc>
          <w:tcPr>
            <w:tcW w:w="52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4.1</w:t>
            </w:r>
          </w:p>
        </w:tc>
        <w:tc>
          <w:tcPr>
            <w:tcW w:w="55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39</w:t>
            </w:r>
          </w:p>
        </w:tc>
        <w:tc>
          <w:tcPr>
            <w:tcW w:w="503"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104.0</w:t>
            </w:r>
          </w:p>
        </w:tc>
        <w:tc>
          <w:tcPr>
            <w:tcW w:w="51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24.7%</w:t>
            </w:r>
          </w:p>
        </w:tc>
        <w:tc>
          <w:tcPr>
            <w:tcW w:w="52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18.6</w:t>
            </w:r>
          </w:p>
        </w:tc>
        <w:tc>
          <w:tcPr>
            <w:tcW w:w="55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302</w:t>
            </w:r>
          </w:p>
        </w:tc>
        <w:tc>
          <w:tcPr>
            <w:tcW w:w="503"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61.7</w:t>
            </w:r>
          </w:p>
        </w:tc>
        <w:tc>
          <w:tcPr>
            <w:tcW w:w="51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18.3%</w:t>
            </w:r>
          </w:p>
        </w:tc>
      </w:tr>
      <w:tr w:rsidR="00B16AB3" w:rsidRPr="0063770C" w:rsidTr="0063770C">
        <w:trPr>
          <w:trHeight w:val="288"/>
        </w:trPr>
        <w:tc>
          <w:tcPr>
            <w:tcW w:w="263" w:type="pct"/>
            <w:vMerge/>
            <w:tcBorders>
              <w:top w:val="nil"/>
              <w:left w:val="single" w:sz="4" w:space="0" w:color="auto"/>
              <w:bottom w:val="nil"/>
              <w:right w:val="single" w:sz="4" w:space="0" w:color="auto"/>
            </w:tcBorders>
            <w:tcMar>
              <w:left w:w="29" w:type="dxa"/>
              <w:right w:w="29" w:type="dxa"/>
            </w:tcMar>
            <w:vAlign w:val="center"/>
            <w:hideMark/>
          </w:tcPr>
          <w:p w:rsidR="00B16AB3" w:rsidRPr="0063770C" w:rsidRDefault="00B16AB3" w:rsidP="00B16AB3">
            <w:pPr>
              <w:spacing w:after="0" w:line="240" w:lineRule="auto"/>
              <w:rPr>
                <w:rFonts w:ascii="Arial" w:eastAsia="Times New Roman" w:hAnsi="Arial" w:cs="Arial"/>
                <w:color w:val="000000"/>
                <w:sz w:val="16"/>
                <w:szCs w:val="16"/>
              </w:rPr>
            </w:pPr>
          </w:p>
        </w:tc>
        <w:tc>
          <w:tcPr>
            <w:tcW w:w="537"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20 kW to 199.99 kW</w:t>
            </w:r>
          </w:p>
        </w:tc>
        <w:tc>
          <w:tcPr>
            <w:tcW w:w="52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1.5</w:t>
            </w:r>
          </w:p>
        </w:tc>
        <w:tc>
          <w:tcPr>
            <w:tcW w:w="55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77</w:t>
            </w:r>
          </w:p>
        </w:tc>
        <w:tc>
          <w:tcPr>
            <w:tcW w:w="503"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19.6</w:t>
            </w:r>
          </w:p>
        </w:tc>
        <w:tc>
          <w:tcPr>
            <w:tcW w:w="51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24.5%</w:t>
            </w:r>
          </w:p>
        </w:tc>
        <w:tc>
          <w:tcPr>
            <w:tcW w:w="52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2.6</w:t>
            </w:r>
          </w:p>
        </w:tc>
        <w:tc>
          <w:tcPr>
            <w:tcW w:w="55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146</w:t>
            </w:r>
          </w:p>
        </w:tc>
        <w:tc>
          <w:tcPr>
            <w:tcW w:w="503"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17.9</w:t>
            </w:r>
          </w:p>
        </w:tc>
        <w:tc>
          <w:tcPr>
            <w:tcW w:w="51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18.9%</w:t>
            </w:r>
          </w:p>
        </w:tc>
      </w:tr>
      <w:tr w:rsidR="00B16AB3" w:rsidRPr="0063770C" w:rsidTr="0063770C">
        <w:trPr>
          <w:trHeight w:val="288"/>
        </w:trPr>
        <w:tc>
          <w:tcPr>
            <w:tcW w:w="800" w:type="pct"/>
            <w:gridSpan w:val="2"/>
            <w:tcBorders>
              <w:top w:val="single" w:sz="4" w:space="0" w:color="auto"/>
              <w:left w:val="single" w:sz="4" w:space="0" w:color="auto"/>
              <w:bottom w:val="single" w:sz="4" w:space="0" w:color="auto"/>
              <w:right w:val="single" w:sz="4" w:space="0" w:color="000000"/>
            </w:tcBorders>
            <w:shd w:val="clear" w:color="auto" w:fill="auto"/>
            <w:noWrap/>
            <w:tcMar>
              <w:left w:w="29" w:type="dxa"/>
              <w:right w:w="29" w:type="dxa"/>
            </w:tcMar>
            <w:vAlign w:val="center"/>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All Customers</w:t>
            </w:r>
          </w:p>
        </w:tc>
        <w:tc>
          <w:tcPr>
            <w:tcW w:w="52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5.4</w:t>
            </w:r>
          </w:p>
        </w:tc>
        <w:tc>
          <w:tcPr>
            <w:tcW w:w="55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116</w:t>
            </w:r>
          </w:p>
        </w:tc>
        <w:tc>
          <w:tcPr>
            <w:tcW w:w="503"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46.5</w:t>
            </w:r>
          </w:p>
        </w:tc>
        <w:tc>
          <w:tcPr>
            <w:tcW w:w="51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24.1%</w:t>
            </w:r>
          </w:p>
        </w:tc>
        <w:tc>
          <w:tcPr>
            <w:tcW w:w="52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20.9</w:t>
            </w:r>
          </w:p>
        </w:tc>
        <w:tc>
          <w:tcPr>
            <w:tcW w:w="550"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448</w:t>
            </w:r>
          </w:p>
        </w:tc>
        <w:tc>
          <w:tcPr>
            <w:tcW w:w="503"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46.5</w:t>
            </w:r>
          </w:p>
        </w:tc>
        <w:tc>
          <w:tcPr>
            <w:tcW w:w="519" w:type="pct"/>
            <w:tcBorders>
              <w:top w:val="nil"/>
              <w:left w:val="nil"/>
              <w:bottom w:val="single" w:sz="4" w:space="0" w:color="auto"/>
              <w:right w:val="single" w:sz="4" w:space="0" w:color="auto"/>
            </w:tcBorders>
            <w:shd w:val="clear" w:color="auto" w:fill="auto"/>
            <w:noWrap/>
            <w:tcMar>
              <w:left w:w="29" w:type="dxa"/>
              <w:right w:w="29" w:type="dxa"/>
            </w:tcMar>
            <w:vAlign w:val="bottom"/>
            <w:hideMark/>
          </w:tcPr>
          <w:p w:rsidR="00B16AB3" w:rsidRPr="0063770C" w:rsidRDefault="00B16AB3" w:rsidP="00B16AB3">
            <w:pPr>
              <w:spacing w:after="0" w:line="240" w:lineRule="auto"/>
              <w:jc w:val="center"/>
              <w:rPr>
                <w:rFonts w:ascii="Arial" w:eastAsia="Times New Roman" w:hAnsi="Arial" w:cs="Arial"/>
                <w:color w:val="000000"/>
                <w:sz w:val="16"/>
                <w:szCs w:val="16"/>
              </w:rPr>
            </w:pPr>
            <w:r w:rsidRPr="0063770C">
              <w:rPr>
                <w:rFonts w:ascii="Arial" w:eastAsia="Times New Roman" w:hAnsi="Arial" w:cs="Arial"/>
                <w:color w:val="000000"/>
                <w:sz w:val="16"/>
                <w:szCs w:val="16"/>
              </w:rPr>
              <w:t>18.8%</w:t>
            </w:r>
          </w:p>
        </w:tc>
      </w:tr>
    </w:tbl>
    <w:p w:rsidR="002070AB" w:rsidRDefault="002070AB" w:rsidP="002070AB">
      <w:pPr>
        <w:pStyle w:val="BodyParagraph"/>
      </w:pPr>
    </w:p>
    <w:p w:rsidR="006C6F3A" w:rsidRDefault="006C6F3A" w:rsidP="006C6F3A">
      <w:pPr>
        <w:pStyle w:val="Heading2"/>
      </w:pPr>
      <w:bookmarkStart w:id="402" w:name="_Toc326074044"/>
      <w:r>
        <w:rPr>
          <w:rStyle w:val="Heading2Char"/>
        </w:rPr>
        <w:t>Comparison with Previous Ex Ante Estimates</w:t>
      </w:r>
      <w:bookmarkEnd w:id="402"/>
    </w:p>
    <w:p w:rsidR="006C6F3A" w:rsidRDefault="006C6F3A" w:rsidP="006C6F3A">
      <w:pPr>
        <w:pStyle w:val="BodyParagraph"/>
      </w:pPr>
      <w:r>
        <w:t xml:space="preserve">In 2011, Christensen Associates Energy Consulting produced ex ante load impact estimates for PG&amp;E’s CBP and AMP programs.  </w:t>
      </w:r>
      <w:r w:rsidR="00C61D83">
        <w:fldChar w:fldCharType="begin"/>
      </w:r>
      <w:r>
        <w:instrText xml:space="preserve"> REF _Ref325458216 \h </w:instrText>
      </w:r>
      <w:r w:rsidR="00C61D83">
        <w:fldChar w:fldCharType="separate"/>
      </w:r>
      <w:r w:rsidR="00F66D5E" w:rsidRPr="0038124C">
        <w:t xml:space="preserve">Table </w:t>
      </w:r>
      <w:r w:rsidR="00F66D5E">
        <w:rPr>
          <w:noProof/>
        </w:rPr>
        <w:t>8</w:t>
      </w:r>
      <w:r w:rsidR="00F66D5E">
        <w:noBreakHyphen/>
      </w:r>
      <w:r w:rsidR="00F66D5E">
        <w:rPr>
          <w:noProof/>
        </w:rPr>
        <w:t>9</w:t>
      </w:r>
      <w:r w:rsidR="00C61D83">
        <w:fldChar w:fldCharType="end"/>
      </w:r>
      <w:r>
        <w:t xml:space="preserve"> compares CAEC’s 2012 ex ante load impact estimates to those developed by FSC this year.  </w:t>
      </w:r>
      <w:r w:rsidR="0063770C">
        <w:t xml:space="preserve">The differences are due to increases in enrollment observed over the past year.  While the total contracted load reduction in DRRC were similar in the 2010 and 2011 evaluation years, enrollment in 2011 expanded substantially as did the demand reductions delivered.  The current ex ante estimated factor in performance in 2010 and 2011 for customer that were enrolled in each program at the end of the 2011 seasons.  In addition, SCE based the 2012 forecast based on actual nominations submitted in May 2012, adjusted for seasonal variations.  </w:t>
      </w:r>
    </w:p>
    <w:p w:rsidR="006C6F3A" w:rsidRDefault="006C6F3A" w:rsidP="006C6F3A">
      <w:pPr>
        <w:pStyle w:val="TableFigureCaption"/>
      </w:pPr>
      <w:bookmarkStart w:id="403" w:name="_Ref325458216"/>
      <w:r w:rsidRPr="0038124C">
        <w:t xml:space="preserve">Table </w:t>
      </w:r>
      <w:fldSimple w:instr=" STYLEREF 1 \s ">
        <w:r w:rsidR="00F66D5E">
          <w:rPr>
            <w:noProof/>
          </w:rPr>
          <w:t>8</w:t>
        </w:r>
      </w:fldSimple>
      <w:r w:rsidR="00F55000">
        <w:noBreakHyphen/>
      </w:r>
      <w:fldSimple w:instr=" SEQ Table \* ARABIC \s 1 ">
        <w:r w:rsidR="00F66D5E">
          <w:rPr>
            <w:noProof/>
          </w:rPr>
          <w:t>9</w:t>
        </w:r>
      </w:fldSimple>
      <w:bookmarkEnd w:id="403"/>
      <w:r w:rsidRPr="0038124C">
        <w:t>:</w:t>
      </w:r>
    </w:p>
    <w:p w:rsidR="006C6F3A" w:rsidRPr="006827F3" w:rsidRDefault="006C6F3A" w:rsidP="006C6F3A">
      <w:pPr>
        <w:pStyle w:val="TableFigureCaption"/>
        <w:rPr>
          <w:bCs/>
        </w:rPr>
      </w:pPr>
      <w:r>
        <w:t xml:space="preserve">Comparison of </w:t>
      </w:r>
      <w:r w:rsidRPr="00D666BC">
        <w:t>2012 Ex</w:t>
      </w:r>
      <w:r w:rsidRPr="0038124C">
        <w:t xml:space="preserve"> Ante </w:t>
      </w:r>
      <w:r>
        <w:t>Load Impact Estimates for SCE</w:t>
      </w:r>
    </w:p>
    <w:tbl>
      <w:tblPr>
        <w:tblW w:w="7180" w:type="dxa"/>
        <w:jc w:val="center"/>
        <w:tblInd w:w="95" w:type="dxa"/>
        <w:tblLook w:val="04A0"/>
      </w:tblPr>
      <w:tblGrid>
        <w:gridCol w:w="1120"/>
        <w:gridCol w:w="1060"/>
        <w:gridCol w:w="1040"/>
        <w:gridCol w:w="1060"/>
        <w:gridCol w:w="960"/>
        <w:gridCol w:w="960"/>
        <w:gridCol w:w="980"/>
      </w:tblGrid>
      <w:tr w:rsidR="00603093" w:rsidRPr="00603093" w:rsidTr="00603093">
        <w:trPr>
          <w:trHeight w:val="264"/>
          <w:jc w:val="center"/>
        </w:trPr>
        <w:tc>
          <w:tcPr>
            <w:tcW w:w="1120" w:type="dxa"/>
            <w:vMerge w:val="restart"/>
            <w:tcBorders>
              <w:top w:val="nil"/>
              <w:left w:val="nil"/>
              <w:bottom w:val="single" w:sz="4" w:space="0" w:color="FFFFFF"/>
              <w:right w:val="single" w:sz="4" w:space="0" w:color="FFFFFF"/>
            </w:tcBorders>
            <w:shd w:val="clear" w:color="000000" w:fill="1F497D"/>
            <w:noWrap/>
            <w:vAlign w:val="bottom"/>
            <w:hideMark/>
          </w:tcPr>
          <w:p w:rsidR="00603093" w:rsidRPr="00603093" w:rsidRDefault="00603093" w:rsidP="00603093">
            <w:pPr>
              <w:spacing w:after="0" w:line="240" w:lineRule="auto"/>
              <w:jc w:val="center"/>
              <w:rPr>
                <w:rFonts w:ascii="Arial" w:eastAsia="Times New Roman" w:hAnsi="Arial" w:cs="Arial"/>
                <w:b/>
                <w:bCs/>
                <w:color w:val="FFFFFF"/>
                <w:sz w:val="20"/>
                <w:szCs w:val="20"/>
              </w:rPr>
            </w:pPr>
            <w:r w:rsidRPr="00603093">
              <w:rPr>
                <w:rFonts w:ascii="Arial" w:eastAsia="Times New Roman" w:hAnsi="Arial" w:cs="Arial"/>
                <w:b/>
                <w:bCs/>
                <w:color w:val="FFFFFF"/>
                <w:sz w:val="20"/>
                <w:szCs w:val="20"/>
              </w:rPr>
              <w:t>Program</w:t>
            </w:r>
          </w:p>
        </w:tc>
        <w:tc>
          <w:tcPr>
            <w:tcW w:w="2100" w:type="dxa"/>
            <w:gridSpan w:val="2"/>
            <w:tcBorders>
              <w:top w:val="nil"/>
              <w:left w:val="nil"/>
              <w:bottom w:val="single" w:sz="4" w:space="0" w:color="FFFFFF"/>
              <w:right w:val="nil"/>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b/>
                <w:bCs/>
                <w:color w:val="FFFFFF"/>
                <w:sz w:val="20"/>
                <w:szCs w:val="20"/>
              </w:rPr>
            </w:pPr>
            <w:r w:rsidRPr="00603093">
              <w:rPr>
                <w:rFonts w:ascii="Arial" w:eastAsia="Times New Roman" w:hAnsi="Arial" w:cs="Arial"/>
                <w:b/>
                <w:bCs/>
                <w:color w:val="FFFFFF"/>
                <w:sz w:val="20"/>
                <w:szCs w:val="20"/>
              </w:rPr>
              <w:t>2012 Per Customer Impacts (kW)</w:t>
            </w:r>
          </w:p>
        </w:tc>
        <w:tc>
          <w:tcPr>
            <w:tcW w:w="2020" w:type="dxa"/>
            <w:gridSpan w:val="2"/>
            <w:tcBorders>
              <w:top w:val="nil"/>
              <w:left w:val="single" w:sz="4" w:space="0" w:color="FFFFFF"/>
              <w:bottom w:val="single" w:sz="4" w:space="0" w:color="FFFFFF"/>
              <w:right w:val="single" w:sz="4"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b/>
                <w:bCs/>
                <w:color w:val="FFFFFF"/>
                <w:sz w:val="20"/>
                <w:szCs w:val="20"/>
              </w:rPr>
            </w:pPr>
            <w:r w:rsidRPr="00603093">
              <w:rPr>
                <w:rFonts w:ascii="Arial" w:eastAsia="Times New Roman" w:hAnsi="Arial" w:cs="Arial"/>
                <w:b/>
                <w:bCs/>
                <w:color w:val="FFFFFF"/>
                <w:sz w:val="20"/>
                <w:szCs w:val="20"/>
              </w:rPr>
              <w:t>2012 Nominations</w:t>
            </w:r>
          </w:p>
        </w:tc>
        <w:tc>
          <w:tcPr>
            <w:tcW w:w="1940" w:type="dxa"/>
            <w:gridSpan w:val="2"/>
            <w:tcBorders>
              <w:top w:val="nil"/>
              <w:left w:val="nil"/>
              <w:bottom w:val="single" w:sz="4" w:space="0" w:color="FFFFFF"/>
              <w:right w:val="nil"/>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b/>
                <w:bCs/>
                <w:color w:val="FFFFFF"/>
                <w:sz w:val="20"/>
                <w:szCs w:val="20"/>
              </w:rPr>
            </w:pPr>
            <w:r w:rsidRPr="00603093">
              <w:rPr>
                <w:rFonts w:ascii="Arial" w:eastAsia="Times New Roman" w:hAnsi="Arial" w:cs="Arial"/>
                <w:b/>
                <w:bCs/>
                <w:color w:val="FFFFFF"/>
                <w:sz w:val="20"/>
                <w:szCs w:val="20"/>
              </w:rPr>
              <w:t>2012 Aggregate Impacts (MW)</w:t>
            </w:r>
          </w:p>
        </w:tc>
      </w:tr>
      <w:tr w:rsidR="00603093" w:rsidRPr="00603093" w:rsidTr="00603093">
        <w:trPr>
          <w:trHeight w:val="528"/>
          <w:jc w:val="center"/>
        </w:trPr>
        <w:tc>
          <w:tcPr>
            <w:tcW w:w="1120" w:type="dxa"/>
            <w:vMerge/>
            <w:tcBorders>
              <w:top w:val="nil"/>
              <w:left w:val="nil"/>
              <w:bottom w:val="single" w:sz="4" w:space="0" w:color="FFFFFF"/>
              <w:right w:val="single" w:sz="4" w:space="0" w:color="FFFFFF"/>
            </w:tcBorders>
            <w:vAlign w:val="center"/>
            <w:hideMark/>
          </w:tcPr>
          <w:p w:rsidR="00603093" w:rsidRPr="00603093" w:rsidRDefault="00603093" w:rsidP="00603093">
            <w:pPr>
              <w:spacing w:after="0" w:line="240" w:lineRule="auto"/>
              <w:rPr>
                <w:rFonts w:ascii="Arial" w:eastAsia="Times New Roman" w:hAnsi="Arial" w:cs="Arial"/>
                <w:b/>
                <w:bCs/>
                <w:color w:val="FFFFFF"/>
                <w:sz w:val="20"/>
                <w:szCs w:val="20"/>
              </w:rPr>
            </w:pPr>
          </w:p>
        </w:tc>
        <w:tc>
          <w:tcPr>
            <w:tcW w:w="1060" w:type="dxa"/>
            <w:tcBorders>
              <w:top w:val="nil"/>
              <w:left w:val="nil"/>
              <w:bottom w:val="nil"/>
              <w:right w:val="single" w:sz="4"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b/>
                <w:bCs/>
                <w:color w:val="FFFFFF"/>
                <w:sz w:val="20"/>
                <w:szCs w:val="20"/>
              </w:rPr>
            </w:pPr>
            <w:r w:rsidRPr="00603093">
              <w:rPr>
                <w:rFonts w:ascii="Arial" w:eastAsia="Times New Roman" w:hAnsi="Arial" w:cs="Arial"/>
                <w:b/>
                <w:bCs/>
                <w:color w:val="FFFFFF"/>
                <w:sz w:val="20"/>
                <w:szCs w:val="20"/>
              </w:rPr>
              <w:t>2010 CAEC</w:t>
            </w:r>
          </w:p>
        </w:tc>
        <w:tc>
          <w:tcPr>
            <w:tcW w:w="1040" w:type="dxa"/>
            <w:tcBorders>
              <w:top w:val="nil"/>
              <w:left w:val="nil"/>
              <w:bottom w:val="nil"/>
              <w:right w:val="single" w:sz="4" w:space="0" w:color="FFFFFF"/>
            </w:tcBorders>
            <w:shd w:val="clear" w:color="000000" w:fill="1F497D"/>
            <w:noWrap/>
            <w:vAlign w:val="bottom"/>
            <w:hideMark/>
          </w:tcPr>
          <w:p w:rsidR="00603093" w:rsidRPr="00603093" w:rsidRDefault="00603093" w:rsidP="00603093">
            <w:pPr>
              <w:spacing w:after="0" w:line="240" w:lineRule="auto"/>
              <w:jc w:val="center"/>
              <w:rPr>
                <w:rFonts w:ascii="Arial" w:eastAsia="Times New Roman" w:hAnsi="Arial" w:cs="Arial"/>
                <w:b/>
                <w:bCs/>
                <w:color w:val="FFFFFF"/>
                <w:sz w:val="20"/>
                <w:szCs w:val="20"/>
              </w:rPr>
            </w:pPr>
            <w:r w:rsidRPr="00603093">
              <w:rPr>
                <w:rFonts w:ascii="Arial" w:eastAsia="Times New Roman" w:hAnsi="Arial" w:cs="Arial"/>
                <w:b/>
                <w:bCs/>
                <w:color w:val="FFFFFF"/>
                <w:sz w:val="20"/>
                <w:szCs w:val="20"/>
              </w:rPr>
              <w:t>2011 FSC</w:t>
            </w:r>
          </w:p>
        </w:tc>
        <w:tc>
          <w:tcPr>
            <w:tcW w:w="1060" w:type="dxa"/>
            <w:tcBorders>
              <w:top w:val="nil"/>
              <w:left w:val="nil"/>
              <w:bottom w:val="nil"/>
              <w:right w:val="single" w:sz="4"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b/>
                <w:bCs/>
                <w:color w:val="FFFFFF"/>
                <w:sz w:val="20"/>
                <w:szCs w:val="20"/>
              </w:rPr>
            </w:pPr>
            <w:r w:rsidRPr="00603093">
              <w:rPr>
                <w:rFonts w:ascii="Arial" w:eastAsia="Times New Roman" w:hAnsi="Arial" w:cs="Arial"/>
                <w:b/>
                <w:bCs/>
                <w:color w:val="FFFFFF"/>
                <w:sz w:val="20"/>
                <w:szCs w:val="20"/>
              </w:rPr>
              <w:t>2010 CAEC</w:t>
            </w:r>
          </w:p>
        </w:tc>
        <w:tc>
          <w:tcPr>
            <w:tcW w:w="960" w:type="dxa"/>
            <w:tcBorders>
              <w:top w:val="nil"/>
              <w:left w:val="nil"/>
              <w:bottom w:val="nil"/>
              <w:right w:val="single" w:sz="4" w:space="0" w:color="FFFFFF"/>
            </w:tcBorders>
            <w:shd w:val="clear" w:color="000000" w:fill="1F497D"/>
            <w:noWrap/>
            <w:vAlign w:val="bottom"/>
            <w:hideMark/>
          </w:tcPr>
          <w:p w:rsidR="00603093" w:rsidRPr="00603093" w:rsidRDefault="00603093" w:rsidP="00603093">
            <w:pPr>
              <w:spacing w:after="0" w:line="240" w:lineRule="auto"/>
              <w:jc w:val="center"/>
              <w:rPr>
                <w:rFonts w:ascii="Arial" w:eastAsia="Times New Roman" w:hAnsi="Arial" w:cs="Arial"/>
                <w:b/>
                <w:bCs/>
                <w:color w:val="FFFFFF"/>
                <w:sz w:val="20"/>
                <w:szCs w:val="20"/>
              </w:rPr>
            </w:pPr>
            <w:r w:rsidRPr="00603093">
              <w:rPr>
                <w:rFonts w:ascii="Arial" w:eastAsia="Times New Roman" w:hAnsi="Arial" w:cs="Arial"/>
                <w:b/>
                <w:bCs/>
                <w:color w:val="FFFFFF"/>
                <w:sz w:val="20"/>
                <w:szCs w:val="20"/>
              </w:rPr>
              <w:t>2011 FSC</w:t>
            </w:r>
          </w:p>
        </w:tc>
        <w:tc>
          <w:tcPr>
            <w:tcW w:w="960" w:type="dxa"/>
            <w:tcBorders>
              <w:top w:val="nil"/>
              <w:left w:val="nil"/>
              <w:bottom w:val="nil"/>
              <w:right w:val="single" w:sz="4"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b/>
                <w:bCs/>
                <w:color w:val="FFFFFF"/>
                <w:sz w:val="20"/>
                <w:szCs w:val="20"/>
              </w:rPr>
            </w:pPr>
            <w:r w:rsidRPr="00603093">
              <w:rPr>
                <w:rFonts w:ascii="Arial" w:eastAsia="Times New Roman" w:hAnsi="Arial" w:cs="Arial"/>
                <w:b/>
                <w:bCs/>
                <w:color w:val="FFFFFF"/>
                <w:sz w:val="20"/>
                <w:szCs w:val="20"/>
              </w:rPr>
              <w:t>2010 CAEC</w:t>
            </w:r>
          </w:p>
        </w:tc>
        <w:tc>
          <w:tcPr>
            <w:tcW w:w="980" w:type="dxa"/>
            <w:tcBorders>
              <w:top w:val="nil"/>
              <w:left w:val="nil"/>
              <w:bottom w:val="nil"/>
              <w:right w:val="single" w:sz="4" w:space="0" w:color="FFFFFF"/>
            </w:tcBorders>
            <w:shd w:val="clear" w:color="000000" w:fill="1F497D"/>
            <w:noWrap/>
            <w:vAlign w:val="bottom"/>
            <w:hideMark/>
          </w:tcPr>
          <w:p w:rsidR="00603093" w:rsidRPr="00603093" w:rsidRDefault="00603093" w:rsidP="00603093">
            <w:pPr>
              <w:spacing w:after="0" w:line="240" w:lineRule="auto"/>
              <w:jc w:val="center"/>
              <w:rPr>
                <w:rFonts w:ascii="Arial" w:eastAsia="Times New Roman" w:hAnsi="Arial" w:cs="Arial"/>
                <w:b/>
                <w:bCs/>
                <w:color w:val="FFFFFF"/>
                <w:sz w:val="20"/>
                <w:szCs w:val="20"/>
              </w:rPr>
            </w:pPr>
            <w:r w:rsidRPr="00603093">
              <w:rPr>
                <w:rFonts w:ascii="Arial" w:eastAsia="Times New Roman" w:hAnsi="Arial" w:cs="Arial"/>
                <w:b/>
                <w:bCs/>
                <w:color w:val="FFFFFF"/>
                <w:sz w:val="20"/>
                <w:szCs w:val="20"/>
              </w:rPr>
              <w:t>2011 FSC</w:t>
            </w:r>
          </w:p>
        </w:tc>
      </w:tr>
      <w:tr w:rsidR="00603093" w:rsidRPr="00603093" w:rsidTr="00603093">
        <w:trPr>
          <w:trHeight w:val="264"/>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DRRC</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66.0</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88.7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1572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1884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103.7</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167.1</w:t>
            </w:r>
          </w:p>
        </w:tc>
      </w:tr>
      <w:tr w:rsidR="00603093" w:rsidRPr="00603093" w:rsidTr="00603093">
        <w:trPr>
          <w:trHeight w:val="264"/>
          <w:jc w:val="center"/>
        </w:trPr>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CBP</w:t>
            </w:r>
          </w:p>
        </w:tc>
        <w:tc>
          <w:tcPr>
            <w:tcW w:w="10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33.3</w:t>
            </w:r>
          </w:p>
        </w:tc>
        <w:tc>
          <w:tcPr>
            <w:tcW w:w="104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46.5</w:t>
            </w:r>
          </w:p>
        </w:tc>
        <w:tc>
          <w:tcPr>
            <w:tcW w:w="10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588</w:t>
            </w:r>
          </w:p>
        </w:tc>
        <w:tc>
          <w:tcPr>
            <w:tcW w:w="9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564</w:t>
            </w:r>
          </w:p>
        </w:tc>
        <w:tc>
          <w:tcPr>
            <w:tcW w:w="9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19.6</w:t>
            </w:r>
          </w:p>
        </w:tc>
        <w:tc>
          <w:tcPr>
            <w:tcW w:w="98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20"/>
                <w:szCs w:val="20"/>
              </w:rPr>
            </w:pPr>
            <w:r w:rsidRPr="00603093">
              <w:rPr>
                <w:rFonts w:ascii="Arial" w:eastAsia="Times New Roman" w:hAnsi="Arial" w:cs="Arial"/>
                <w:color w:val="000000"/>
                <w:sz w:val="20"/>
                <w:szCs w:val="20"/>
              </w:rPr>
              <w:t>26.2</w:t>
            </w:r>
          </w:p>
        </w:tc>
      </w:tr>
    </w:tbl>
    <w:p w:rsidR="006C6F3A" w:rsidRPr="0030525C" w:rsidRDefault="006C6F3A" w:rsidP="002070AB">
      <w:pPr>
        <w:pStyle w:val="BodyParagraph"/>
      </w:pPr>
    </w:p>
    <w:p w:rsidR="00067ED1" w:rsidRDefault="00067ED1">
      <w:pPr>
        <w:rPr>
          <w:rFonts w:ascii="TitilliumText22L Xb" w:eastAsia="Times New Roman" w:hAnsi="TitilliumText22L Xb" w:cs="Times New Roman"/>
          <w:b/>
          <w:color w:val="433B67"/>
          <w:sz w:val="28"/>
          <w:szCs w:val="28"/>
        </w:rPr>
      </w:pPr>
      <w:bookmarkStart w:id="404" w:name="_Toc324511274"/>
      <w:r>
        <w:br w:type="page"/>
      </w:r>
    </w:p>
    <w:p w:rsidR="002070AB" w:rsidRPr="00726C23" w:rsidRDefault="002070AB" w:rsidP="002070AB">
      <w:pPr>
        <w:pStyle w:val="Heading1"/>
      </w:pPr>
      <w:bookmarkStart w:id="405" w:name="_Toc326074045"/>
      <w:r>
        <w:lastRenderedPageBreak/>
        <w:t>Ex Ante Load Impact Estimates for SDG&amp;E’s CBP Program</w:t>
      </w:r>
      <w:bookmarkEnd w:id="404"/>
      <w:bookmarkEnd w:id="405"/>
    </w:p>
    <w:p w:rsidR="002070AB" w:rsidRDefault="002070AB" w:rsidP="002070AB">
      <w:pPr>
        <w:pStyle w:val="BodyParagraph"/>
      </w:pPr>
      <w:r w:rsidRPr="007954D4">
        <w:t xml:space="preserve">This section presents ex ante load impact estimates for </w:t>
      </w:r>
      <w:r>
        <w:t>SDG&amp;E's</w:t>
      </w:r>
      <w:r w:rsidRPr="007954D4">
        <w:t xml:space="preserve"> </w:t>
      </w:r>
      <w:r>
        <w:t xml:space="preserve">CBP program.  The main purpose of ex ante load impact estimates is to reflect the load reduction capability of a DR resource under a standard set of conditions that align with system planning.  These estimates are used in assessing alternatives for meeting peak demand, cost-effectiveness comparisons and long-term planning.  </w:t>
      </w:r>
    </w:p>
    <w:p w:rsidR="002070AB" w:rsidRDefault="002070AB" w:rsidP="002070AB">
      <w:pPr>
        <w:pStyle w:val="BodyParagraph"/>
      </w:pPr>
      <w:r>
        <w:t xml:space="preserve">The </w:t>
      </w:r>
      <w:r w:rsidRPr="00B73C21">
        <w:t xml:space="preserve">remainder of this section separately presents the ex ante load impact projections for </w:t>
      </w:r>
      <w:r>
        <w:t xml:space="preserve">CBP </w:t>
      </w:r>
      <w:r w:rsidRPr="00B73C21">
        <w:t xml:space="preserve">customers projected to </w:t>
      </w:r>
      <w:r>
        <w:t>be nominated for DR resources</w:t>
      </w:r>
      <w:r w:rsidRPr="00B73C21">
        <w:t xml:space="preserve">.  </w:t>
      </w:r>
      <w:r>
        <w:t>T</w:t>
      </w:r>
      <w:r w:rsidRPr="00B73C21">
        <w:t>he load reduction capability is summarized during annual system peak day condition</w:t>
      </w:r>
      <w:r>
        <w:t>s for</w:t>
      </w:r>
      <w:r w:rsidRPr="00B73C21">
        <w:t xml:space="preserve"> </w:t>
      </w:r>
      <w:r>
        <w:t xml:space="preserve">a </w:t>
      </w:r>
      <w:r w:rsidRPr="00B73C21">
        <w:t>1-in-2 and a 1</w:t>
      </w:r>
      <w:r>
        <w:t>-in-10 weather year for the 2012 to 2022</w:t>
      </w:r>
      <w:r w:rsidRPr="00B73C21">
        <w:t xml:space="preserve"> period.  In addition, this section </w:t>
      </w:r>
      <w:r>
        <w:t xml:space="preserve">illustrates </w:t>
      </w:r>
      <w:r w:rsidRPr="00B73C21">
        <w:t xml:space="preserve">how impacts </w:t>
      </w:r>
      <w:r>
        <w:t xml:space="preserve">per customer </w:t>
      </w:r>
      <w:r w:rsidRPr="00B73C21">
        <w:t>vary by geographic location</w:t>
      </w:r>
      <w:r>
        <w:t>, customer size</w:t>
      </w:r>
      <w:r w:rsidRPr="00B73C21">
        <w:t xml:space="preserve"> and month under the standardized ex ante conditions.</w:t>
      </w:r>
    </w:p>
    <w:p w:rsidR="00040046" w:rsidRDefault="002070AB" w:rsidP="002070AB">
      <w:pPr>
        <w:pStyle w:val="BodyParagraph"/>
      </w:pPr>
      <w:r>
        <w:t xml:space="preserve">Note that ex ante load impacts </w:t>
      </w:r>
      <w:r w:rsidR="00040046">
        <w:t>can</w:t>
      </w:r>
      <w:r>
        <w:t xml:space="preserve"> differ from ex post load impacts.  </w:t>
      </w:r>
      <w:r w:rsidR="00040046">
        <w:t xml:space="preserve">Ex ante estimates illustrate resources available when all nominated accounts are solicited for an event and reflect historical performance by customers over multiple years.  In contrast, during individual events, utilities are able to solicit resources from specific aggregators or products; they do not have to deploy all available resources.   For example, SDG&amp;E can dispatch customers in the CBP same-day 2-6 hour product on different days or hours than customers in the same day 1-4 hour product.  Ex ante impacts also reflect expected changes in enrollment the participant mix. </w:t>
      </w:r>
    </w:p>
    <w:p w:rsidR="00FD558F" w:rsidRDefault="00FD558F" w:rsidP="00FD558F">
      <w:pPr>
        <w:pStyle w:val="Heading2"/>
      </w:pPr>
      <w:bookmarkStart w:id="406" w:name="_Toc326074046"/>
      <w:r>
        <w:t>Ex Ante Load Impact Estimates for the Capacity Bidding Program</w:t>
      </w:r>
      <w:bookmarkEnd w:id="406"/>
    </w:p>
    <w:p w:rsidR="002070AB" w:rsidRDefault="00C61D83" w:rsidP="002070AB">
      <w:pPr>
        <w:pStyle w:val="BodyParagraph"/>
      </w:pPr>
      <w:fldSimple w:instr=" REF _Ref324506604 ">
        <w:r w:rsidR="00F66D5E" w:rsidRPr="00AF1031">
          <w:t xml:space="preserve">Table </w:t>
        </w:r>
        <w:r w:rsidR="00F66D5E">
          <w:rPr>
            <w:noProof/>
          </w:rPr>
          <w:t>9</w:t>
        </w:r>
        <w:r w:rsidR="00F66D5E">
          <w:noBreakHyphen/>
        </w:r>
        <w:r w:rsidR="00F66D5E">
          <w:rPr>
            <w:noProof/>
          </w:rPr>
          <w:t>1</w:t>
        </w:r>
      </w:fldSimple>
      <w:r w:rsidR="002070AB">
        <w:t xml:space="preserve"> presents annual enrollment and nominations forecasts for </w:t>
      </w:r>
      <w:r w:rsidR="00FD558F">
        <w:t>SDG&amp;E’s</w:t>
      </w:r>
      <w:r w:rsidR="002070AB">
        <w:t xml:space="preserve"> CBP program through 2022.  SDG&amp;E forecasts a 10% growth in CBP enrollments 2012 to 2013 and a 5% annual growth 2013 to 2015, at which point enrollments remain unchanged.  We assume the growth comes from CBP products and customer segments proportional to those observed in 2011.  We also assume that the proportion of customers nominated for a given event will match the average proportion observed during events in 2010 and 2011. </w:t>
      </w:r>
    </w:p>
    <w:p w:rsidR="002070AB" w:rsidRDefault="002070AB" w:rsidP="002070AB">
      <w:pPr>
        <w:pStyle w:val="TableFigureCaption"/>
      </w:pPr>
      <w:bookmarkStart w:id="407" w:name="_Ref324506604"/>
      <w:r w:rsidRPr="00AF1031">
        <w:t xml:space="preserve">Table </w:t>
      </w:r>
      <w:fldSimple w:instr=" STYLEREF 1 \s ">
        <w:r w:rsidR="00F66D5E">
          <w:rPr>
            <w:noProof/>
          </w:rPr>
          <w:t>9</w:t>
        </w:r>
      </w:fldSimple>
      <w:r w:rsidR="00F55000">
        <w:noBreakHyphen/>
      </w:r>
      <w:fldSimple w:instr=" SEQ Table \* ARABIC \s 1 ">
        <w:r w:rsidR="00F66D5E">
          <w:rPr>
            <w:noProof/>
          </w:rPr>
          <w:t>1</w:t>
        </w:r>
      </w:fldSimple>
      <w:bookmarkEnd w:id="407"/>
      <w:r w:rsidRPr="00AF1031">
        <w:t>:</w:t>
      </w:r>
    </w:p>
    <w:p w:rsidR="002070AB" w:rsidRPr="00AF1031" w:rsidRDefault="002070AB" w:rsidP="002070AB">
      <w:pPr>
        <w:pStyle w:val="TableFigureCaption"/>
      </w:pPr>
      <w:r>
        <w:t>SDG&amp;</w:t>
      </w:r>
      <w:r w:rsidRPr="00AF1031">
        <w:t xml:space="preserve">E’s </w:t>
      </w:r>
      <w:r>
        <w:t>Enrollment and Nominations</w:t>
      </w:r>
      <w:r w:rsidRPr="00AF1031">
        <w:t xml:space="preserve"> Projections for </w:t>
      </w:r>
      <w:r>
        <w:t>CBP</w:t>
      </w:r>
      <w:r w:rsidRPr="00AF1031">
        <w:t xml:space="preserve"> </w:t>
      </w:r>
      <w:r>
        <w:t>by Forecast Year</w:t>
      </w:r>
    </w:p>
    <w:tbl>
      <w:tblPr>
        <w:tblW w:w="5460" w:type="dxa"/>
        <w:jc w:val="center"/>
        <w:tblInd w:w="97" w:type="dxa"/>
        <w:tblLook w:val="04A0"/>
      </w:tblPr>
      <w:tblGrid>
        <w:gridCol w:w="1620"/>
        <w:gridCol w:w="950"/>
        <w:gridCol w:w="1184"/>
        <w:gridCol w:w="950"/>
        <w:gridCol w:w="1184"/>
      </w:tblGrid>
      <w:tr w:rsidR="002070AB" w:rsidRPr="002A6CB1" w:rsidTr="009E2132">
        <w:trPr>
          <w:trHeight w:val="300"/>
          <w:jc w:val="center"/>
        </w:trPr>
        <w:tc>
          <w:tcPr>
            <w:tcW w:w="1620" w:type="dxa"/>
            <w:vMerge w:val="restart"/>
            <w:tcBorders>
              <w:top w:val="nil"/>
              <w:left w:val="nil"/>
              <w:bottom w:val="nil"/>
              <w:right w:val="single" w:sz="8" w:space="0" w:color="FFFFFF"/>
            </w:tcBorders>
            <w:shd w:val="clear" w:color="000000" w:fill="1F497D"/>
            <w:vAlign w:val="bottom"/>
            <w:hideMark/>
          </w:tcPr>
          <w:p w:rsidR="002070AB" w:rsidRPr="002A6CB1" w:rsidRDefault="002070AB" w:rsidP="009E2132">
            <w:pPr>
              <w:spacing w:after="0" w:line="240" w:lineRule="auto"/>
              <w:jc w:val="center"/>
              <w:rPr>
                <w:rFonts w:ascii="Arial" w:eastAsia="Times New Roman" w:hAnsi="Arial" w:cs="Arial"/>
                <w:color w:val="FFFFFF"/>
                <w:sz w:val="20"/>
                <w:szCs w:val="20"/>
              </w:rPr>
            </w:pPr>
            <w:r w:rsidRPr="002A6CB1">
              <w:rPr>
                <w:rFonts w:ascii="Arial" w:eastAsia="Times New Roman" w:hAnsi="Arial" w:cs="Arial"/>
                <w:color w:val="FFFFFF"/>
                <w:sz w:val="20"/>
                <w:szCs w:val="20"/>
              </w:rPr>
              <w:t>Forecast Year</w:t>
            </w:r>
          </w:p>
        </w:tc>
        <w:tc>
          <w:tcPr>
            <w:tcW w:w="3840" w:type="dxa"/>
            <w:gridSpan w:val="4"/>
            <w:tcBorders>
              <w:top w:val="nil"/>
              <w:left w:val="nil"/>
              <w:bottom w:val="single" w:sz="8" w:space="0" w:color="FFFFFF"/>
              <w:right w:val="single" w:sz="8" w:space="0" w:color="FFFFFF"/>
            </w:tcBorders>
            <w:shd w:val="clear" w:color="000000" w:fill="1F497D"/>
            <w:vAlign w:val="bottom"/>
            <w:hideMark/>
          </w:tcPr>
          <w:p w:rsidR="002070AB" w:rsidRPr="002A6CB1" w:rsidRDefault="002070AB" w:rsidP="009E2132">
            <w:pPr>
              <w:spacing w:after="0" w:line="240" w:lineRule="auto"/>
              <w:jc w:val="center"/>
              <w:rPr>
                <w:rFonts w:ascii="Arial" w:eastAsia="Times New Roman" w:hAnsi="Arial" w:cs="Arial"/>
                <w:color w:val="FFFFFF"/>
                <w:sz w:val="20"/>
                <w:szCs w:val="20"/>
              </w:rPr>
            </w:pPr>
            <w:r w:rsidRPr="002A6CB1">
              <w:rPr>
                <w:rFonts w:ascii="Arial" w:eastAsia="Times New Roman" w:hAnsi="Arial" w:cs="Arial"/>
                <w:color w:val="FFFFFF"/>
                <w:sz w:val="20"/>
                <w:szCs w:val="20"/>
              </w:rPr>
              <w:t>CBP</w:t>
            </w:r>
          </w:p>
        </w:tc>
      </w:tr>
      <w:tr w:rsidR="002070AB" w:rsidRPr="002A6CB1" w:rsidTr="009E2132">
        <w:trPr>
          <w:trHeight w:val="300"/>
          <w:jc w:val="center"/>
        </w:trPr>
        <w:tc>
          <w:tcPr>
            <w:tcW w:w="1620" w:type="dxa"/>
            <w:vMerge/>
            <w:tcBorders>
              <w:top w:val="nil"/>
              <w:left w:val="nil"/>
              <w:bottom w:val="nil"/>
              <w:right w:val="single" w:sz="8" w:space="0" w:color="FFFFFF"/>
            </w:tcBorders>
            <w:vAlign w:val="center"/>
            <w:hideMark/>
          </w:tcPr>
          <w:p w:rsidR="002070AB" w:rsidRPr="002A6CB1" w:rsidRDefault="002070AB" w:rsidP="009E2132">
            <w:pPr>
              <w:spacing w:after="0" w:line="240" w:lineRule="auto"/>
              <w:rPr>
                <w:rFonts w:ascii="Arial" w:eastAsia="Times New Roman" w:hAnsi="Arial" w:cs="Arial"/>
                <w:color w:val="FFFFFF"/>
                <w:sz w:val="20"/>
                <w:szCs w:val="20"/>
              </w:rPr>
            </w:pPr>
          </w:p>
        </w:tc>
        <w:tc>
          <w:tcPr>
            <w:tcW w:w="1920" w:type="dxa"/>
            <w:gridSpan w:val="2"/>
            <w:tcBorders>
              <w:top w:val="single" w:sz="8" w:space="0" w:color="FFFFFF"/>
              <w:left w:val="nil"/>
              <w:bottom w:val="single" w:sz="8" w:space="0" w:color="FFFFFF"/>
              <w:right w:val="single" w:sz="8" w:space="0" w:color="FFFFFF"/>
            </w:tcBorders>
            <w:shd w:val="clear" w:color="000000" w:fill="1F497D"/>
            <w:noWrap/>
            <w:vAlign w:val="bottom"/>
            <w:hideMark/>
          </w:tcPr>
          <w:p w:rsidR="002070AB" w:rsidRPr="002A6CB1" w:rsidRDefault="002070AB" w:rsidP="009E2132">
            <w:pPr>
              <w:spacing w:after="0" w:line="240" w:lineRule="auto"/>
              <w:jc w:val="center"/>
              <w:rPr>
                <w:rFonts w:ascii="Arial" w:eastAsia="Times New Roman" w:hAnsi="Arial" w:cs="Arial"/>
                <w:color w:val="FFFFFF"/>
                <w:sz w:val="20"/>
                <w:szCs w:val="20"/>
              </w:rPr>
            </w:pPr>
            <w:r w:rsidRPr="002A6CB1">
              <w:rPr>
                <w:rFonts w:ascii="Arial" w:eastAsia="Times New Roman" w:hAnsi="Arial" w:cs="Arial"/>
                <w:color w:val="FFFFFF"/>
                <w:sz w:val="20"/>
                <w:szCs w:val="20"/>
              </w:rPr>
              <w:t>DA</w:t>
            </w:r>
          </w:p>
        </w:tc>
        <w:tc>
          <w:tcPr>
            <w:tcW w:w="1920" w:type="dxa"/>
            <w:gridSpan w:val="2"/>
            <w:tcBorders>
              <w:top w:val="single" w:sz="8" w:space="0" w:color="FFFFFF"/>
              <w:left w:val="nil"/>
              <w:bottom w:val="single" w:sz="8" w:space="0" w:color="FFFFFF"/>
              <w:right w:val="single" w:sz="8" w:space="0" w:color="FFFFFF"/>
            </w:tcBorders>
            <w:shd w:val="clear" w:color="000000" w:fill="1F497D"/>
            <w:noWrap/>
            <w:vAlign w:val="bottom"/>
            <w:hideMark/>
          </w:tcPr>
          <w:p w:rsidR="002070AB" w:rsidRPr="002A6CB1" w:rsidRDefault="002070AB" w:rsidP="009E2132">
            <w:pPr>
              <w:spacing w:after="0" w:line="240" w:lineRule="auto"/>
              <w:jc w:val="center"/>
              <w:rPr>
                <w:rFonts w:ascii="Arial" w:eastAsia="Times New Roman" w:hAnsi="Arial" w:cs="Arial"/>
                <w:color w:val="FFFFFF"/>
                <w:sz w:val="20"/>
                <w:szCs w:val="20"/>
              </w:rPr>
            </w:pPr>
            <w:r w:rsidRPr="002A6CB1">
              <w:rPr>
                <w:rFonts w:ascii="Arial" w:eastAsia="Times New Roman" w:hAnsi="Arial" w:cs="Arial"/>
                <w:color w:val="FFFFFF"/>
                <w:sz w:val="20"/>
                <w:szCs w:val="20"/>
              </w:rPr>
              <w:t>DO</w:t>
            </w:r>
          </w:p>
        </w:tc>
      </w:tr>
      <w:tr w:rsidR="002070AB" w:rsidRPr="002A6CB1" w:rsidTr="009E2132">
        <w:trPr>
          <w:trHeight w:val="288"/>
          <w:jc w:val="center"/>
        </w:trPr>
        <w:tc>
          <w:tcPr>
            <w:tcW w:w="1620" w:type="dxa"/>
            <w:vMerge/>
            <w:tcBorders>
              <w:top w:val="nil"/>
              <w:left w:val="nil"/>
              <w:bottom w:val="nil"/>
              <w:right w:val="single" w:sz="8" w:space="0" w:color="FFFFFF"/>
            </w:tcBorders>
            <w:vAlign w:val="center"/>
            <w:hideMark/>
          </w:tcPr>
          <w:p w:rsidR="002070AB" w:rsidRPr="002A6CB1" w:rsidRDefault="002070AB" w:rsidP="009E2132">
            <w:pPr>
              <w:spacing w:after="0" w:line="240" w:lineRule="auto"/>
              <w:rPr>
                <w:rFonts w:ascii="Arial" w:eastAsia="Times New Roman" w:hAnsi="Arial" w:cs="Arial"/>
                <w:color w:val="FFFFFF"/>
                <w:sz w:val="20"/>
                <w:szCs w:val="20"/>
              </w:rPr>
            </w:pPr>
          </w:p>
        </w:tc>
        <w:tc>
          <w:tcPr>
            <w:tcW w:w="831" w:type="dxa"/>
            <w:tcBorders>
              <w:top w:val="nil"/>
              <w:left w:val="nil"/>
              <w:bottom w:val="nil"/>
              <w:right w:val="single" w:sz="8" w:space="0" w:color="FFFFFF"/>
            </w:tcBorders>
            <w:shd w:val="clear" w:color="000000" w:fill="1F497D"/>
            <w:noWrap/>
            <w:vAlign w:val="bottom"/>
            <w:hideMark/>
          </w:tcPr>
          <w:p w:rsidR="002070AB" w:rsidRPr="002A6CB1" w:rsidRDefault="002070AB" w:rsidP="009E2132">
            <w:pPr>
              <w:spacing w:after="0" w:line="240" w:lineRule="auto"/>
              <w:jc w:val="center"/>
              <w:rPr>
                <w:rFonts w:ascii="Arial" w:eastAsia="Times New Roman" w:hAnsi="Arial" w:cs="Arial"/>
                <w:color w:val="FFFFFF"/>
                <w:sz w:val="20"/>
                <w:szCs w:val="20"/>
              </w:rPr>
            </w:pPr>
            <w:r w:rsidRPr="002A6CB1">
              <w:rPr>
                <w:rFonts w:ascii="Arial" w:eastAsia="Times New Roman" w:hAnsi="Arial" w:cs="Arial"/>
                <w:color w:val="FFFFFF"/>
                <w:sz w:val="20"/>
                <w:szCs w:val="20"/>
              </w:rPr>
              <w:t>Enrolled</w:t>
            </w:r>
          </w:p>
        </w:tc>
        <w:tc>
          <w:tcPr>
            <w:tcW w:w="1089" w:type="dxa"/>
            <w:tcBorders>
              <w:top w:val="nil"/>
              <w:left w:val="nil"/>
              <w:bottom w:val="nil"/>
              <w:right w:val="single" w:sz="8" w:space="0" w:color="FFFFFF"/>
            </w:tcBorders>
            <w:shd w:val="clear" w:color="000000" w:fill="1F497D"/>
            <w:noWrap/>
            <w:vAlign w:val="bottom"/>
            <w:hideMark/>
          </w:tcPr>
          <w:p w:rsidR="002070AB" w:rsidRPr="002A6CB1" w:rsidRDefault="002070AB" w:rsidP="009E2132">
            <w:pPr>
              <w:spacing w:after="0" w:line="240" w:lineRule="auto"/>
              <w:jc w:val="center"/>
              <w:rPr>
                <w:rFonts w:ascii="Arial" w:eastAsia="Times New Roman" w:hAnsi="Arial" w:cs="Arial"/>
                <w:color w:val="FFFFFF"/>
                <w:sz w:val="20"/>
                <w:szCs w:val="20"/>
              </w:rPr>
            </w:pPr>
            <w:r w:rsidRPr="002A6CB1">
              <w:rPr>
                <w:rFonts w:ascii="Arial" w:eastAsia="Times New Roman" w:hAnsi="Arial" w:cs="Arial"/>
                <w:color w:val="FFFFFF"/>
                <w:sz w:val="20"/>
                <w:szCs w:val="20"/>
              </w:rPr>
              <w:t>Nominated</w:t>
            </w:r>
          </w:p>
        </w:tc>
        <w:tc>
          <w:tcPr>
            <w:tcW w:w="831" w:type="dxa"/>
            <w:tcBorders>
              <w:top w:val="nil"/>
              <w:left w:val="nil"/>
              <w:bottom w:val="nil"/>
              <w:right w:val="single" w:sz="8" w:space="0" w:color="FFFFFF"/>
            </w:tcBorders>
            <w:shd w:val="clear" w:color="000000" w:fill="1F497D"/>
            <w:noWrap/>
            <w:vAlign w:val="bottom"/>
            <w:hideMark/>
          </w:tcPr>
          <w:p w:rsidR="002070AB" w:rsidRPr="002A6CB1" w:rsidRDefault="002070AB" w:rsidP="009E2132">
            <w:pPr>
              <w:spacing w:after="0" w:line="240" w:lineRule="auto"/>
              <w:jc w:val="center"/>
              <w:rPr>
                <w:rFonts w:ascii="Arial" w:eastAsia="Times New Roman" w:hAnsi="Arial" w:cs="Arial"/>
                <w:color w:val="FFFFFF"/>
                <w:sz w:val="20"/>
                <w:szCs w:val="20"/>
              </w:rPr>
            </w:pPr>
            <w:r w:rsidRPr="002A6CB1">
              <w:rPr>
                <w:rFonts w:ascii="Arial" w:eastAsia="Times New Roman" w:hAnsi="Arial" w:cs="Arial"/>
                <w:color w:val="FFFFFF"/>
                <w:sz w:val="20"/>
                <w:szCs w:val="20"/>
              </w:rPr>
              <w:t>Enrolled</w:t>
            </w:r>
          </w:p>
        </w:tc>
        <w:tc>
          <w:tcPr>
            <w:tcW w:w="1089" w:type="dxa"/>
            <w:tcBorders>
              <w:top w:val="nil"/>
              <w:left w:val="nil"/>
              <w:bottom w:val="nil"/>
              <w:right w:val="nil"/>
            </w:tcBorders>
            <w:shd w:val="clear" w:color="000000" w:fill="1F497D"/>
            <w:noWrap/>
            <w:vAlign w:val="bottom"/>
            <w:hideMark/>
          </w:tcPr>
          <w:p w:rsidR="002070AB" w:rsidRPr="002A6CB1" w:rsidRDefault="002070AB" w:rsidP="009E2132">
            <w:pPr>
              <w:spacing w:after="0" w:line="240" w:lineRule="auto"/>
              <w:jc w:val="center"/>
              <w:rPr>
                <w:rFonts w:ascii="Arial" w:eastAsia="Times New Roman" w:hAnsi="Arial" w:cs="Arial"/>
                <w:color w:val="FFFFFF"/>
                <w:sz w:val="20"/>
                <w:szCs w:val="20"/>
              </w:rPr>
            </w:pPr>
            <w:r w:rsidRPr="002A6CB1">
              <w:rPr>
                <w:rFonts w:ascii="Arial" w:eastAsia="Times New Roman" w:hAnsi="Arial" w:cs="Arial"/>
                <w:color w:val="FFFFFF"/>
                <w:sz w:val="20"/>
                <w:szCs w:val="20"/>
              </w:rPr>
              <w:t>Nominated</w:t>
            </w:r>
          </w:p>
        </w:tc>
      </w:tr>
      <w:tr w:rsidR="002070AB" w:rsidRPr="002A6CB1" w:rsidTr="009E2132">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2012</w:t>
            </w:r>
          </w:p>
        </w:tc>
        <w:tc>
          <w:tcPr>
            <w:tcW w:w="831" w:type="dxa"/>
            <w:tcBorders>
              <w:top w:val="nil"/>
              <w:left w:val="nil"/>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78</w:t>
            </w:r>
          </w:p>
        </w:tc>
        <w:tc>
          <w:tcPr>
            <w:tcW w:w="1089" w:type="dxa"/>
            <w:tcBorders>
              <w:top w:val="nil"/>
              <w:left w:val="nil"/>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54</w:t>
            </w:r>
          </w:p>
        </w:tc>
        <w:tc>
          <w:tcPr>
            <w:tcW w:w="831" w:type="dxa"/>
            <w:tcBorders>
              <w:top w:val="nil"/>
              <w:left w:val="nil"/>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573</w:t>
            </w:r>
          </w:p>
        </w:tc>
        <w:tc>
          <w:tcPr>
            <w:tcW w:w="1089" w:type="dxa"/>
            <w:tcBorders>
              <w:top w:val="nil"/>
              <w:left w:val="nil"/>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338</w:t>
            </w:r>
          </w:p>
        </w:tc>
      </w:tr>
      <w:tr w:rsidR="002070AB" w:rsidRPr="002A6CB1" w:rsidTr="009E2132">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2013</w:t>
            </w:r>
          </w:p>
        </w:tc>
        <w:tc>
          <w:tcPr>
            <w:tcW w:w="831" w:type="dxa"/>
            <w:tcBorders>
              <w:top w:val="nil"/>
              <w:left w:val="nil"/>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82</w:t>
            </w:r>
          </w:p>
        </w:tc>
        <w:tc>
          <w:tcPr>
            <w:tcW w:w="1089" w:type="dxa"/>
            <w:tcBorders>
              <w:top w:val="nil"/>
              <w:left w:val="nil"/>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57</w:t>
            </w:r>
          </w:p>
        </w:tc>
        <w:tc>
          <w:tcPr>
            <w:tcW w:w="831" w:type="dxa"/>
            <w:tcBorders>
              <w:top w:val="nil"/>
              <w:left w:val="nil"/>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605</w:t>
            </w:r>
          </w:p>
        </w:tc>
        <w:tc>
          <w:tcPr>
            <w:tcW w:w="1089" w:type="dxa"/>
            <w:tcBorders>
              <w:top w:val="nil"/>
              <w:left w:val="nil"/>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357</w:t>
            </w:r>
          </w:p>
        </w:tc>
      </w:tr>
      <w:tr w:rsidR="002070AB" w:rsidRPr="002A6CB1" w:rsidTr="009E2132">
        <w:trPr>
          <w:trHeight w:val="288"/>
          <w:jc w:val="center"/>
        </w:trPr>
        <w:tc>
          <w:tcPr>
            <w:tcW w:w="1620" w:type="dxa"/>
            <w:tcBorders>
              <w:top w:val="nil"/>
              <w:left w:val="single" w:sz="4" w:space="0" w:color="auto"/>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2014 - 2022</w:t>
            </w:r>
          </w:p>
        </w:tc>
        <w:tc>
          <w:tcPr>
            <w:tcW w:w="831" w:type="dxa"/>
            <w:tcBorders>
              <w:top w:val="nil"/>
              <w:left w:val="nil"/>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87</w:t>
            </w:r>
          </w:p>
        </w:tc>
        <w:tc>
          <w:tcPr>
            <w:tcW w:w="1089" w:type="dxa"/>
            <w:tcBorders>
              <w:top w:val="nil"/>
              <w:left w:val="nil"/>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60</w:t>
            </w:r>
          </w:p>
        </w:tc>
        <w:tc>
          <w:tcPr>
            <w:tcW w:w="831" w:type="dxa"/>
            <w:tcBorders>
              <w:top w:val="nil"/>
              <w:left w:val="nil"/>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635</w:t>
            </w:r>
          </w:p>
        </w:tc>
        <w:tc>
          <w:tcPr>
            <w:tcW w:w="1089" w:type="dxa"/>
            <w:tcBorders>
              <w:top w:val="nil"/>
              <w:left w:val="nil"/>
              <w:bottom w:val="single" w:sz="4" w:space="0" w:color="auto"/>
              <w:right w:val="single" w:sz="4" w:space="0" w:color="auto"/>
            </w:tcBorders>
            <w:shd w:val="clear" w:color="auto" w:fill="auto"/>
            <w:noWrap/>
            <w:vAlign w:val="center"/>
            <w:hideMark/>
          </w:tcPr>
          <w:p w:rsidR="002070AB" w:rsidRPr="002A6CB1" w:rsidRDefault="002070AB" w:rsidP="009E2132">
            <w:pPr>
              <w:spacing w:after="0" w:line="240" w:lineRule="auto"/>
              <w:jc w:val="center"/>
              <w:rPr>
                <w:rFonts w:ascii="Arial" w:eastAsia="Times New Roman" w:hAnsi="Arial" w:cs="Arial"/>
                <w:color w:val="000000"/>
                <w:sz w:val="18"/>
                <w:szCs w:val="18"/>
              </w:rPr>
            </w:pPr>
            <w:r w:rsidRPr="002A6CB1">
              <w:rPr>
                <w:rFonts w:ascii="Arial" w:eastAsia="Times New Roman" w:hAnsi="Arial" w:cs="Arial"/>
                <w:color w:val="000000"/>
                <w:sz w:val="18"/>
                <w:szCs w:val="18"/>
              </w:rPr>
              <w:t>375</w:t>
            </w:r>
          </w:p>
        </w:tc>
      </w:tr>
    </w:tbl>
    <w:p w:rsidR="002070AB" w:rsidRDefault="00C61D83" w:rsidP="002070AB">
      <w:pPr>
        <w:pStyle w:val="BodyParaAfterTableFigure"/>
      </w:pPr>
      <w:fldSimple w:instr=" REF _Ref324506588  \* MERGEFORMAT ">
        <w:r w:rsidR="00F66D5E" w:rsidRPr="00AF1031">
          <w:t xml:space="preserve">Figure </w:t>
        </w:r>
        <w:r w:rsidR="00F66D5E">
          <w:t>9</w:t>
        </w:r>
        <w:r w:rsidR="00F66D5E" w:rsidRPr="00AF1031">
          <w:noBreakHyphen/>
        </w:r>
        <w:r w:rsidR="00F66D5E">
          <w:t>1</w:t>
        </w:r>
      </w:fldSimple>
      <w:r w:rsidR="002070AB">
        <w:t xml:space="preserve"> below illustrates predicted load impacts in 2012 for a typical August event day during a 1-in-2 weather year.  For both day-ahead and day-of notification, CBP customers reduce loads one to two hours preceding the event window; for day-ahead notification, customers also maintain reduced loads for an hour following the event window.  There is no appreciable load shifting in the hours prior to or following the event window.</w:t>
      </w:r>
    </w:p>
    <w:p w:rsidR="002070AB" w:rsidRDefault="002070AB" w:rsidP="002070AB">
      <w:pPr>
        <w:pStyle w:val="TableFigureCaption"/>
      </w:pPr>
      <w:bookmarkStart w:id="408" w:name="_Ref324506588"/>
      <w:r w:rsidRPr="00AF1031">
        <w:lastRenderedPageBreak/>
        <w:t xml:space="preserve">Figure </w:t>
      </w:r>
      <w:fldSimple w:instr=" STYLEREF 1 \s ">
        <w:r w:rsidR="00F66D5E">
          <w:rPr>
            <w:noProof/>
          </w:rPr>
          <w:t>9</w:t>
        </w:r>
      </w:fldSimple>
      <w:r w:rsidRPr="00AF1031">
        <w:noBreakHyphen/>
      </w:r>
      <w:fldSimple w:instr=" SEQ Figure \* ARABIC \s 1 ">
        <w:r w:rsidR="00F66D5E">
          <w:rPr>
            <w:noProof/>
          </w:rPr>
          <w:t>1</w:t>
        </w:r>
      </w:fldSimple>
      <w:bookmarkEnd w:id="408"/>
      <w:r w:rsidRPr="00AF1031">
        <w:t>:</w:t>
      </w:r>
    </w:p>
    <w:p w:rsidR="002070AB" w:rsidRDefault="002070AB" w:rsidP="002070AB">
      <w:pPr>
        <w:pStyle w:val="TableFigureCaption"/>
      </w:pPr>
      <w:r>
        <w:t>SDG&amp;E CBP Hourly Event Day Impacts for Typical Event Day</w:t>
      </w:r>
    </w:p>
    <w:p w:rsidR="002070AB" w:rsidRDefault="002070AB" w:rsidP="002070AB">
      <w:pPr>
        <w:pStyle w:val="TableFigureCaption"/>
      </w:pPr>
      <w:r>
        <w:t>1-in-2 Weather Year for August 2012</w:t>
      </w:r>
    </w:p>
    <w:p w:rsidR="002070AB" w:rsidRPr="00AF1031" w:rsidRDefault="002070AB" w:rsidP="002070AB">
      <w:pPr>
        <w:pStyle w:val="TableFigureCaption"/>
      </w:pPr>
      <w:r>
        <w:t>CBP-DA</w:t>
      </w:r>
      <w:r>
        <w:tab/>
      </w:r>
      <w:r>
        <w:tab/>
      </w:r>
      <w:r>
        <w:tab/>
      </w:r>
      <w:r>
        <w:tab/>
      </w:r>
      <w:r>
        <w:tab/>
        <w:t>CBP-DO</w:t>
      </w:r>
    </w:p>
    <w:p w:rsidR="005D560E" w:rsidRDefault="002070AB" w:rsidP="002070AB">
      <w:pPr>
        <w:pStyle w:val="BodyParaAfterTableFigure"/>
      </w:pPr>
      <w:r>
        <w:rPr>
          <w:noProof/>
        </w:rPr>
        <w:drawing>
          <wp:inline distT="0" distB="0" distL="0" distR="0">
            <wp:extent cx="2926080" cy="1973152"/>
            <wp:effectExtent l="19050" t="0" r="7620" b="0"/>
            <wp:docPr id="1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srcRect/>
                    <a:stretch>
                      <a:fillRect/>
                    </a:stretch>
                  </pic:blipFill>
                  <pic:spPr bwMode="auto">
                    <a:xfrm>
                      <a:off x="0" y="0"/>
                      <a:ext cx="2926080" cy="1973152"/>
                    </a:xfrm>
                    <a:prstGeom prst="rect">
                      <a:avLst/>
                    </a:prstGeom>
                    <a:noFill/>
                  </pic:spPr>
                </pic:pic>
              </a:graphicData>
            </a:graphic>
          </wp:inline>
        </w:drawing>
      </w:r>
      <w:r>
        <w:rPr>
          <w:noProof/>
        </w:rPr>
        <w:drawing>
          <wp:inline distT="0" distB="0" distL="0" distR="0">
            <wp:extent cx="2926080" cy="1971643"/>
            <wp:effectExtent l="19050" t="0" r="762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srcRect/>
                    <a:stretch>
                      <a:fillRect/>
                    </a:stretch>
                  </pic:blipFill>
                  <pic:spPr bwMode="auto">
                    <a:xfrm>
                      <a:off x="0" y="0"/>
                      <a:ext cx="2926080" cy="1971643"/>
                    </a:xfrm>
                    <a:prstGeom prst="rect">
                      <a:avLst/>
                    </a:prstGeom>
                    <a:noFill/>
                  </pic:spPr>
                </pic:pic>
              </a:graphicData>
            </a:graphic>
          </wp:inline>
        </w:drawing>
      </w:r>
      <w:r>
        <w:br/>
      </w:r>
    </w:p>
    <w:p w:rsidR="002070AB" w:rsidRPr="00D916AC" w:rsidRDefault="00C61D83" w:rsidP="002070AB">
      <w:pPr>
        <w:pStyle w:val="BodyParaAfterTableFigure"/>
      </w:pPr>
      <w:fldSimple w:instr=" REF _Ref324506708  \* MERGEFORMAT ">
        <w:r w:rsidR="00F66D5E" w:rsidRPr="0038124C">
          <w:t xml:space="preserve">Table </w:t>
        </w:r>
        <w:r w:rsidR="00F66D5E">
          <w:t>9</w:t>
        </w:r>
        <w:r w:rsidR="00F66D5E">
          <w:noBreakHyphen/>
          <w:t>2</w:t>
        </w:r>
      </w:fldSimple>
      <w:r w:rsidR="002070AB">
        <w:t xml:space="preserve"> </w:t>
      </w:r>
      <w:r w:rsidR="002070AB" w:rsidRPr="008666CE">
        <w:t xml:space="preserve">presents the ex ante aggregate peak day load impacts for </w:t>
      </w:r>
      <w:r w:rsidR="002070AB">
        <w:t>CBP</w:t>
      </w:r>
      <w:r w:rsidR="002070AB" w:rsidRPr="008666CE">
        <w:t xml:space="preserve"> customers for years 2012 to 2022.  The event day period is assumed as starting at 1 PM and ending at 6 PM.  Results are presented for </w:t>
      </w:r>
      <w:r w:rsidR="00FA63C0">
        <w:t xml:space="preserve">the August monthly peak </w:t>
      </w:r>
      <w:r w:rsidR="002070AB" w:rsidRPr="008666CE">
        <w:t xml:space="preserve">days under 1-in-2 </w:t>
      </w:r>
      <w:r w:rsidR="00FA63C0">
        <w:t>weather cond</w:t>
      </w:r>
      <w:r w:rsidR="002070AB" w:rsidRPr="008666CE">
        <w:t>itions.</w:t>
      </w:r>
      <w:r w:rsidR="00FA63C0">
        <w:t xml:space="preserve"> The demand reduction are nearly evenly split between resources that require notice a day in advance and those that respond with same day notice.  On aggregate 25 MW of</w:t>
      </w:r>
      <w:r w:rsidR="002070AB" w:rsidRPr="008666CE">
        <w:t xml:space="preserve"> </w:t>
      </w:r>
      <w:r w:rsidR="002070AB">
        <w:t>CBP</w:t>
      </w:r>
      <w:r w:rsidR="002070AB" w:rsidRPr="008666CE">
        <w:t xml:space="preserve"> </w:t>
      </w:r>
      <w:r w:rsidR="00FA63C0">
        <w:t xml:space="preserve">resources are available in 2012.  The program is expected to grow incrementally, reaching 28 MW in 2014.  The percent demand reductions vary substantially between day-ahead and same day resources.  This reflects the current customer mix which is projected to remain similar in the future.   </w:t>
      </w:r>
    </w:p>
    <w:p w:rsidR="002070AB" w:rsidRDefault="002070AB" w:rsidP="002070AB">
      <w:pPr>
        <w:pStyle w:val="TableFigureCaption"/>
      </w:pPr>
      <w:bookmarkStart w:id="409" w:name="_Ref324506708"/>
      <w:r w:rsidRPr="0038124C">
        <w:t xml:space="preserve">Table </w:t>
      </w:r>
      <w:fldSimple w:instr=" STYLEREF 1 \s ">
        <w:r w:rsidR="00F66D5E">
          <w:rPr>
            <w:noProof/>
          </w:rPr>
          <w:t>9</w:t>
        </w:r>
      </w:fldSimple>
      <w:r w:rsidR="00F55000">
        <w:noBreakHyphen/>
      </w:r>
      <w:fldSimple w:instr=" SEQ Table \* ARABIC \s 1 ">
        <w:r w:rsidR="00F66D5E">
          <w:rPr>
            <w:noProof/>
          </w:rPr>
          <w:t>2</w:t>
        </w:r>
      </w:fldSimple>
      <w:bookmarkEnd w:id="409"/>
      <w:r w:rsidRPr="0038124C">
        <w:t>:</w:t>
      </w:r>
    </w:p>
    <w:p w:rsidR="002070AB" w:rsidRDefault="002070AB" w:rsidP="002070AB">
      <w:pPr>
        <w:pStyle w:val="TableFigureCaption"/>
      </w:pPr>
      <w:r w:rsidRPr="0038124C">
        <w:t xml:space="preserve">Aggregate Ex Ante Annual Peak Day Load </w:t>
      </w:r>
      <w:r>
        <w:t xml:space="preserve">Impacts for SDG&amp;E CBP </w:t>
      </w:r>
    </w:p>
    <w:p w:rsidR="002070AB" w:rsidRPr="0038124C" w:rsidRDefault="002070AB" w:rsidP="002070AB">
      <w:pPr>
        <w:pStyle w:val="TableFigureCaption"/>
      </w:pPr>
      <w:r>
        <w:t>(Hourly Average Reduction from 1 to 6 PM)</w:t>
      </w:r>
    </w:p>
    <w:tbl>
      <w:tblPr>
        <w:tblW w:w="8441" w:type="dxa"/>
        <w:jc w:val="center"/>
        <w:tblInd w:w="95" w:type="dxa"/>
        <w:tblLook w:val="04A0"/>
      </w:tblPr>
      <w:tblGrid>
        <w:gridCol w:w="897"/>
        <w:gridCol w:w="1429"/>
        <w:gridCol w:w="1087"/>
        <w:gridCol w:w="1047"/>
        <w:gridCol w:w="1017"/>
        <w:gridCol w:w="960"/>
        <w:gridCol w:w="1027"/>
        <w:gridCol w:w="977"/>
      </w:tblGrid>
      <w:tr w:rsidR="00603093" w:rsidRPr="00603093" w:rsidTr="00603093">
        <w:trPr>
          <w:trHeight w:val="936"/>
          <w:jc w:val="center"/>
        </w:trPr>
        <w:tc>
          <w:tcPr>
            <w:tcW w:w="897" w:type="dxa"/>
            <w:tcBorders>
              <w:top w:val="single" w:sz="8" w:space="0" w:color="auto"/>
              <w:left w:val="single" w:sz="8" w:space="0" w:color="auto"/>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Weather Year</w:t>
            </w:r>
          </w:p>
        </w:tc>
        <w:tc>
          <w:tcPr>
            <w:tcW w:w="1429"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Year</w:t>
            </w:r>
          </w:p>
        </w:tc>
        <w:tc>
          <w:tcPr>
            <w:tcW w:w="1087"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Nominated Accts (Forecast)</w:t>
            </w:r>
          </w:p>
        </w:tc>
        <w:tc>
          <w:tcPr>
            <w:tcW w:w="1047"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proofErr w:type="spellStart"/>
            <w:r w:rsidRPr="00603093">
              <w:rPr>
                <w:rFonts w:ascii="Arial" w:eastAsia="Times New Roman" w:hAnsi="Arial" w:cs="Arial"/>
                <w:color w:val="FFFFFF"/>
                <w:sz w:val="18"/>
                <w:szCs w:val="18"/>
              </w:rPr>
              <w:t>Agg</w:t>
            </w:r>
            <w:proofErr w:type="spellEnd"/>
            <w:r w:rsidRPr="00603093">
              <w:rPr>
                <w:rFonts w:ascii="Arial" w:eastAsia="Times New Roman" w:hAnsi="Arial" w:cs="Arial"/>
                <w:color w:val="FFFFFF"/>
                <w:sz w:val="18"/>
                <w:szCs w:val="18"/>
              </w:rPr>
              <w:t>. Reference Load (MW)</w:t>
            </w:r>
          </w:p>
        </w:tc>
        <w:tc>
          <w:tcPr>
            <w:tcW w:w="1017"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proofErr w:type="spellStart"/>
            <w:r w:rsidRPr="00603093">
              <w:rPr>
                <w:rFonts w:ascii="Arial" w:eastAsia="Times New Roman" w:hAnsi="Arial" w:cs="Arial"/>
                <w:color w:val="FFFFFF"/>
                <w:sz w:val="18"/>
                <w:szCs w:val="18"/>
              </w:rPr>
              <w:t>Agg</w:t>
            </w:r>
            <w:proofErr w:type="spellEnd"/>
            <w:r w:rsidRPr="00603093">
              <w:rPr>
                <w:rFonts w:ascii="Arial" w:eastAsia="Times New Roman" w:hAnsi="Arial" w:cs="Arial"/>
                <w:color w:val="FFFFFF"/>
                <w:sz w:val="18"/>
                <w:szCs w:val="18"/>
              </w:rPr>
              <w:t>. Estimated Load w DR (MW)</w:t>
            </w:r>
          </w:p>
        </w:tc>
        <w:tc>
          <w:tcPr>
            <w:tcW w:w="960"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proofErr w:type="spellStart"/>
            <w:r w:rsidRPr="00603093">
              <w:rPr>
                <w:rFonts w:ascii="Arial" w:eastAsia="Times New Roman" w:hAnsi="Arial" w:cs="Arial"/>
                <w:color w:val="FFFFFF"/>
                <w:sz w:val="18"/>
                <w:szCs w:val="18"/>
              </w:rPr>
              <w:t>Agg</w:t>
            </w:r>
            <w:proofErr w:type="spellEnd"/>
            <w:r w:rsidRPr="00603093">
              <w:rPr>
                <w:rFonts w:ascii="Arial" w:eastAsia="Times New Roman" w:hAnsi="Arial" w:cs="Arial"/>
                <w:color w:val="FFFFFF"/>
                <w:sz w:val="18"/>
                <w:szCs w:val="18"/>
              </w:rPr>
              <w:t>. Load Impact (MW)</w:t>
            </w:r>
          </w:p>
        </w:tc>
        <w:tc>
          <w:tcPr>
            <w:tcW w:w="1027" w:type="dxa"/>
            <w:tcBorders>
              <w:top w:val="single" w:sz="8" w:space="0" w:color="auto"/>
              <w:left w:val="nil"/>
              <w:bottom w:val="nil"/>
              <w:right w:val="single" w:sz="8" w:space="0" w:color="FFFFFF"/>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 Load Reduction</w:t>
            </w:r>
          </w:p>
        </w:tc>
        <w:tc>
          <w:tcPr>
            <w:tcW w:w="977" w:type="dxa"/>
            <w:tcBorders>
              <w:top w:val="single" w:sz="8" w:space="0" w:color="auto"/>
              <w:left w:val="nil"/>
              <w:bottom w:val="nil"/>
              <w:right w:val="single" w:sz="8" w:space="0" w:color="auto"/>
            </w:tcBorders>
            <w:shd w:val="clear" w:color="000000" w:fill="1F497D"/>
            <w:vAlign w:val="bottom"/>
            <w:hideMark/>
          </w:tcPr>
          <w:p w:rsidR="00603093" w:rsidRPr="00603093" w:rsidRDefault="00603093" w:rsidP="00603093">
            <w:pPr>
              <w:spacing w:after="0" w:line="240" w:lineRule="auto"/>
              <w:jc w:val="center"/>
              <w:rPr>
                <w:rFonts w:ascii="Arial" w:eastAsia="Times New Roman" w:hAnsi="Arial" w:cs="Arial"/>
                <w:color w:val="FFFFFF"/>
                <w:sz w:val="18"/>
                <w:szCs w:val="18"/>
              </w:rPr>
            </w:pPr>
            <w:r w:rsidRPr="00603093">
              <w:rPr>
                <w:rFonts w:ascii="Arial" w:eastAsia="Times New Roman" w:hAnsi="Arial" w:cs="Arial"/>
                <w:color w:val="FFFFFF"/>
                <w:sz w:val="18"/>
                <w:szCs w:val="18"/>
              </w:rPr>
              <w:t>Weighted Temp (F)</w:t>
            </w:r>
          </w:p>
        </w:tc>
      </w:tr>
      <w:tr w:rsidR="00603093" w:rsidRPr="00603093" w:rsidTr="00603093">
        <w:trPr>
          <w:trHeight w:val="312"/>
          <w:jc w:val="center"/>
        </w:trPr>
        <w:tc>
          <w:tcPr>
            <w:tcW w:w="8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CBP-DA</w:t>
            </w:r>
          </w:p>
        </w:tc>
        <w:tc>
          <w:tcPr>
            <w:tcW w:w="1429"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2012</w:t>
            </w:r>
          </w:p>
        </w:tc>
        <w:tc>
          <w:tcPr>
            <w:tcW w:w="108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54</w:t>
            </w:r>
          </w:p>
        </w:tc>
        <w:tc>
          <w:tcPr>
            <w:tcW w:w="104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24.5</w:t>
            </w:r>
          </w:p>
        </w:tc>
        <w:tc>
          <w:tcPr>
            <w:tcW w:w="101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12.7</w:t>
            </w:r>
          </w:p>
        </w:tc>
        <w:tc>
          <w:tcPr>
            <w:tcW w:w="102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52.0%</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82.4</w:t>
            </w:r>
          </w:p>
        </w:tc>
      </w:tr>
      <w:tr w:rsidR="00603093" w:rsidRPr="00603093" w:rsidTr="00603093">
        <w:trPr>
          <w:trHeight w:val="288"/>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603093" w:rsidRPr="00603093" w:rsidRDefault="00603093" w:rsidP="00603093">
            <w:pPr>
              <w:spacing w:after="0" w:line="240" w:lineRule="auto"/>
              <w:rPr>
                <w:rFonts w:ascii="Arial" w:eastAsia="Times New Roman" w:hAnsi="Arial" w:cs="Arial"/>
                <w:color w:val="000000"/>
                <w:sz w:val="18"/>
                <w:szCs w:val="18"/>
              </w:rPr>
            </w:pPr>
          </w:p>
        </w:tc>
        <w:tc>
          <w:tcPr>
            <w:tcW w:w="1429"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2013</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57</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25.9</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12.4</w:t>
            </w:r>
          </w:p>
        </w:tc>
        <w:tc>
          <w:tcPr>
            <w:tcW w:w="9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13.5</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52.0%</w:t>
            </w:r>
          </w:p>
        </w:tc>
        <w:tc>
          <w:tcPr>
            <w:tcW w:w="97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82.4</w:t>
            </w:r>
          </w:p>
        </w:tc>
      </w:tr>
      <w:tr w:rsidR="00603093" w:rsidRPr="00603093" w:rsidTr="00603093">
        <w:trPr>
          <w:trHeight w:val="288"/>
          <w:jc w:val="center"/>
        </w:trPr>
        <w:tc>
          <w:tcPr>
            <w:tcW w:w="897" w:type="dxa"/>
            <w:vMerge/>
            <w:tcBorders>
              <w:top w:val="single" w:sz="4" w:space="0" w:color="auto"/>
              <w:left w:val="single" w:sz="4" w:space="0" w:color="auto"/>
              <w:bottom w:val="single" w:sz="4" w:space="0" w:color="auto"/>
              <w:right w:val="single" w:sz="4" w:space="0" w:color="auto"/>
            </w:tcBorders>
            <w:vAlign w:val="center"/>
            <w:hideMark/>
          </w:tcPr>
          <w:p w:rsidR="00603093" w:rsidRPr="00603093" w:rsidRDefault="00603093" w:rsidP="00603093">
            <w:pPr>
              <w:spacing w:after="0" w:line="240" w:lineRule="auto"/>
              <w:rPr>
                <w:rFonts w:ascii="Arial" w:eastAsia="Times New Roman" w:hAnsi="Arial" w:cs="Arial"/>
                <w:color w:val="000000"/>
                <w:sz w:val="18"/>
                <w:szCs w:val="18"/>
              </w:rPr>
            </w:pPr>
          </w:p>
        </w:tc>
        <w:tc>
          <w:tcPr>
            <w:tcW w:w="1429"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2014 - 2022</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60</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27.3</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13.1</w:t>
            </w:r>
          </w:p>
        </w:tc>
        <w:tc>
          <w:tcPr>
            <w:tcW w:w="9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14.2</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52.0%</w:t>
            </w:r>
          </w:p>
        </w:tc>
        <w:tc>
          <w:tcPr>
            <w:tcW w:w="97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82.4</w:t>
            </w:r>
          </w:p>
        </w:tc>
      </w:tr>
      <w:tr w:rsidR="00603093" w:rsidRPr="00603093" w:rsidTr="00603093">
        <w:trPr>
          <w:trHeight w:val="288"/>
          <w:jc w:val="center"/>
        </w:trPr>
        <w:tc>
          <w:tcPr>
            <w:tcW w:w="897" w:type="dxa"/>
            <w:vMerge w:val="restart"/>
            <w:tcBorders>
              <w:top w:val="nil"/>
              <w:left w:val="single" w:sz="4" w:space="0" w:color="auto"/>
              <w:bottom w:val="single" w:sz="4" w:space="0" w:color="auto"/>
              <w:right w:val="single" w:sz="4" w:space="0" w:color="auto"/>
            </w:tcBorders>
            <w:shd w:val="clear" w:color="auto" w:fill="auto"/>
            <w:vAlign w:val="center"/>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CBP-DO</w:t>
            </w:r>
          </w:p>
        </w:tc>
        <w:tc>
          <w:tcPr>
            <w:tcW w:w="1429"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2012</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338</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75.0</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62.8</w:t>
            </w:r>
          </w:p>
        </w:tc>
        <w:tc>
          <w:tcPr>
            <w:tcW w:w="9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12.3</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16.3%</w:t>
            </w:r>
          </w:p>
        </w:tc>
        <w:tc>
          <w:tcPr>
            <w:tcW w:w="97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82.1</w:t>
            </w:r>
          </w:p>
        </w:tc>
      </w:tr>
      <w:tr w:rsidR="00603093" w:rsidRPr="00603093" w:rsidTr="00603093">
        <w:trPr>
          <w:trHeight w:val="288"/>
          <w:jc w:val="center"/>
        </w:trPr>
        <w:tc>
          <w:tcPr>
            <w:tcW w:w="897" w:type="dxa"/>
            <w:vMerge/>
            <w:tcBorders>
              <w:top w:val="nil"/>
              <w:left w:val="single" w:sz="4" w:space="0" w:color="auto"/>
              <w:bottom w:val="single" w:sz="4" w:space="0" w:color="auto"/>
              <w:right w:val="single" w:sz="4" w:space="0" w:color="auto"/>
            </w:tcBorders>
            <w:vAlign w:val="center"/>
            <w:hideMark/>
          </w:tcPr>
          <w:p w:rsidR="00603093" w:rsidRPr="00603093" w:rsidRDefault="00603093" w:rsidP="00603093">
            <w:pPr>
              <w:spacing w:after="0" w:line="240" w:lineRule="auto"/>
              <w:rPr>
                <w:rFonts w:ascii="Arial" w:eastAsia="Times New Roman" w:hAnsi="Arial" w:cs="Arial"/>
                <w:color w:val="000000"/>
                <w:sz w:val="18"/>
                <w:szCs w:val="18"/>
              </w:rPr>
            </w:pPr>
          </w:p>
        </w:tc>
        <w:tc>
          <w:tcPr>
            <w:tcW w:w="1429"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2013</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357</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79.3</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66.3</w:t>
            </w:r>
          </w:p>
        </w:tc>
        <w:tc>
          <w:tcPr>
            <w:tcW w:w="9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12.9</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16.3%</w:t>
            </w:r>
          </w:p>
        </w:tc>
        <w:tc>
          <w:tcPr>
            <w:tcW w:w="97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82.1</w:t>
            </w:r>
          </w:p>
        </w:tc>
      </w:tr>
      <w:tr w:rsidR="00603093" w:rsidRPr="00603093" w:rsidTr="00603093">
        <w:trPr>
          <w:trHeight w:val="288"/>
          <w:jc w:val="center"/>
        </w:trPr>
        <w:tc>
          <w:tcPr>
            <w:tcW w:w="897" w:type="dxa"/>
            <w:vMerge/>
            <w:tcBorders>
              <w:top w:val="nil"/>
              <w:left w:val="single" w:sz="4" w:space="0" w:color="auto"/>
              <w:bottom w:val="single" w:sz="4" w:space="0" w:color="auto"/>
              <w:right w:val="single" w:sz="4" w:space="0" w:color="auto"/>
            </w:tcBorders>
            <w:vAlign w:val="center"/>
            <w:hideMark/>
          </w:tcPr>
          <w:p w:rsidR="00603093" w:rsidRPr="00603093" w:rsidRDefault="00603093" w:rsidP="00603093">
            <w:pPr>
              <w:spacing w:after="0" w:line="240" w:lineRule="auto"/>
              <w:rPr>
                <w:rFonts w:ascii="Arial" w:eastAsia="Times New Roman" w:hAnsi="Arial" w:cs="Arial"/>
                <w:color w:val="000000"/>
                <w:sz w:val="18"/>
                <w:szCs w:val="18"/>
              </w:rPr>
            </w:pPr>
          </w:p>
        </w:tc>
        <w:tc>
          <w:tcPr>
            <w:tcW w:w="1429"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2014 - 2022</w:t>
            </w:r>
          </w:p>
        </w:tc>
        <w:tc>
          <w:tcPr>
            <w:tcW w:w="108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375</w:t>
            </w:r>
          </w:p>
        </w:tc>
        <w:tc>
          <w:tcPr>
            <w:tcW w:w="104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83.3</w:t>
            </w:r>
          </w:p>
        </w:tc>
        <w:tc>
          <w:tcPr>
            <w:tcW w:w="101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69.7</w:t>
            </w:r>
          </w:p>
        </w:tc>
        <w:tc>
          <w:tcPr>
            <w:tcW w:w="960"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13.6</w:t>
            </w:r>
          </w:p>
        </w:tc>
        <w:tc>
          <w:tcPr>
            <w:tcW w:w="102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16.3%</w:t>
            </w:r>
          </w:p>
        </w:tc>
        <w:tc>
          <w:tcPr>
            <w:tcW w:w="977" w:type="dxa"/>
            <w:tcBorders>
              <w:top w:val="nil"/>
              <w:left w:val="nil"/>
              <w:bottom w:val="single" w:sz="4" w:space="0" w:color="auto"/>
              <w:right w:val="single" w:sz="4" w:space="0" w:color="auto"/>
            </w:tcBorders>
            <w:shd w:val="clear" w:color="auto" w:fill="auto"/>
            <w:noWrap/>
            <w:vAlign w:val="bottom"/>
            <w:hideMark/>
          </w:tcPr>
          <w:p w:rsidR="00603093" w:rsidRPr="00603093" w:rsidRDefault="00603093" w:rsidP="00603093">
            <w:pPr>
              <w:spacing w:after="0" w:line="240" w:lineRule="auto"/>
              <w:jc w:val="center"/>
              <w:rPr>
                <w:rFonts w:ascii="Arial" w:eastAsia="Times New Roman" w:hAnsi="Arial" w:cs="Arial"/>
                <w:color w:val="000000"/>
                <w:sz w:val="18"/>
                <w:szCs w:val="18"/>
              </w:rPr>
            </w:pPr>
            <w:r w:rsidRPr="00603093">
              <w:rPr>
                <w:rFonts w:ascii="Arial" w:eastAsia="Times New Roman" w:hAnsi="Arial" w:cs="Arial"/>
                <w:color w:val="000000"/>
                <w:sz w:val="18"/>
                <w:szCs w:val="18"/>
              </w:rPr>
              <w:t>82.1</w:t>
            </w:r>
          </w:p>
        </w:tc>
      </w:tr>
    </w:tbl>
    <w:p w:rsidR="002070AB" w:rsidRDefault="002070AB" w:rsidP="002070AB">
      <w:pPr>
        <w:pStyle w:val="BodyParaAfterTableFigure"/>
      </w:pPr>
      <w:r>
        <w:t xml:space="preserve">The aggregate load impact is an estimate, based on predictions informed by the ex post model.  </w:t>
      </w:r>
      <w:fldSimple w:instr=" REF _Ref324506931  \* MERGEFORMAT ">
        <w:r w:rsidR="00F66D5E" w:rsidRPr="0038124C">
          <w:t xml:space="preserve">Table </w:t>
        </w:r>
        <w:r w:rsidR="00F66D5E">
          <w:t>9</w:t>
        </w:r>
        <w:r w:rsidR="00F66D5E">
          <w:noBreakHyphen/>
          <w:t>3</w:t>
        </w:r>
      </w:fldSimple>
      <w:r>
        <w:t xml:space="preserve"> presents uncertainty around ex ante load impacts between years 2012 and 2022.  Incorporating model error and performance variability, we find that the 10</w:t>
      </w:r>
      <w:r w:rsidRPr="00A47E0B">
        <w:rPr>
          <w:vertAlign w:val="superscript"/>
        </w:rPr>
        <w:t>th</w:t>
      </w:r>
      <w:r>
        <w:t xml:space="preserve"> percentile and 90</w:t>
      </w:r>
      <w:r w:rsidRPr="00A47E0B">
        <w:rPr>
          <w:vertAlign w:val="superscript"/>
        </w:rPr>
        <w:t>th</w:t>
      </w:r>
      <w:r>
        <w:t xml:space="preserve"> percentile estimates </w:t>
      </w:r>
      <w:r>
        <w:lastRenderedPageBreak/>
        <w:t>diverge from the point estimate of aggregate ex ante load impacts range by ±19%.  Note that this range does not incorporate enrollment forecast uncertainty.</w:t>
      </w:r>
    </w:p>
    <w:p w:rsidR="002070AB" w:rsidRDefault="002070AB" w:rsidP="002070AB">
      <w:pPr>
        <w:pStyle w:val="TableFigureCaption"/>
      </w:pPr>
      <w:bookmarkStart w:id="410" w:name="_Ref324506931"/>
      <w:r w:rsidRPr="0038124C">
        <w:t xml:space="preserve">Table </w:t>
      </w:r>
      <w:fldSimple w:instr=" STYLEREF 1 \s ">
        <w:r w:rsidR="00F66D5E">
          <w:rPr>
            <w:noProof/>
          </w:rPr>
          <w:t>9</w:t>
        </w:r>
      </w:fldSimple>
      <w:r w:rsidR="00F55000">
        <w:noBreakHyphen/>
      </w:r>
      <w:fldSimple w:instr=" SEQ Table \* ARABIC \s 1 ">
        <w:r w:rsidR="00F66D5E">
          <w:rPr>
            <w:noProof/>
          </w:rPr>
          <w:t>3</w:t>
        </w:r>
      </w:fldSimple>
      <w:bookmarkEnd w:id="410"/>
      <w:r w:rsidRPr="0038124C">
        <w:t>:</w:t>
      </w:r>
    </w:p>
    <w:p w:rsidR="002070AB" w:rsidRDefault="002070AB" w:rsidP="002070AB">
      <w:pPr>
        <w:pStyle w:val="TableFigureCaption"/>
      </w:pPr>
      <w:r w:rsidRPr="0038124C">
        <w:t xml:space="preserve">Aggregate Ex Ante Annual Peak Day Load </w:t>
      </w:r>
      <w:r>
        <w:t xml:space="preserve">Impact Uncertainty for SDG&amp;E CBP </w:t>
      </w:r>
    </w:p>
    <w:p w:rsidR="002070AB" w:rsidRPr="005B0E78" w:rsidRDefault="002070AB" w:rsidP="002070AB">
      <w:pPr>
        <w:pStyle w:val="TableFigureCaption"/>
      </w:pPr>
      <w:r>
        <w:t>(Hourly Average Reduction from 1 to 6 PM)</w:t>
      </w:r>
    </w:p>
    <w:tbl>
      <w:tblPr>
        <w:tblW w:w="4991" w:type="dxa"/>
        <w:jc w:val="center"/>
        <w:tblInd w:w="97" w:type="dxa"/>
        <w:tblLook w:val="04A0"/>
      </w:tblPr>
      <w:tblGrid>
        <w:gridCol w:w="1537"/>
        <w:gridCol w:w="1460"/>
        <w:gridCol w:w="997"/>
        <w:gridCol w:w="997"/>
      </w:tblGrid>
      <w:tr w:rsidR="002070AB" w:rsidRPr="00A47E0B" w:rsidTr="009E2132">
        <w:trPr>
          <w:trHeight w:val="492"/>
          <w:jc w:val="center"/>
        </w:trPr>
        <w:tc>
          <w:tcPr>
            <w:tcW w:w="1537" w:type="dxa"/>
            <w:vMerge w:val="restart"/>
            <w:tcBorders>
              <w:top w:val="nil"/>
              <w:left w:val="single" w:sz="8" w:space="0" w:color="FFFFFF"/>
              <w:bottom w:val="single" w:sz="8" w:space="0" w:color="FFFFFF"/>
              <w:right w:val="single" w:sz="8" w:space="0" w:color="FFFFFF"/>
            </w:tcBorders>
            <w:shd w:val="clear" w:color="000000" w:fill="1F497D"/>
            <w:vAlign w:val="bottom"/>
            <w:hideMark/>
          </w:tcPr>
          <w:p w:rsidR="002070AB" w:rsidRPr="00A47E0B" w:rsidRDefault="002070AB" w:rsidP="009E2132">
            <w:pPr>
              <w:spacing w:after="0" w:line="240" w:lineRule="auto"/>
              <w:jc w:val="center"/>
              <w:rPr>
                <w:rFonts w:ascii="Arial" w:eastAsia="Times New Roman" w:hAnsi="Arial" w:cs="Arial"/>
                <w:color w:val="FFFFFF"/>
                <w:sz w:val="18"/>
                <w:szCs w:val="18"/>
              </w:rPr>
            </w:pPr>
            <w:r w:rsidRPr="00A47E0B">
              <w:rPr>
                <w:rFonts w:ascii="Arial" w:eastAsia="Times New Roman" w:hAnsi="Arial" w:cs="Arial"/>
                <w:color w:val="FFFFFF"/>
                <w:sz w:val="18"/>
                <w:szCs w:val="18"/>
              </w:rPr>
              <w:t>Year</w:t>
            </w:r>
          </w:p>
        </w:tc>
        <w:tc>
          <w:tcPr>
            <w:tcW w:w="1460" w:type="dxa"/>
            <w:vMerge w:val="restart"/>
            <w:tcBorders>
              <w:top w:val="nil"/>
              <w:left w:val="single" w:sz="8" w:space="0" w:color="FFFFFF"/>
              <w:bottom w:val="single" w:sz="8" w:space="0" w:color="FFFFFF"/>
              <w:right w:val="single" w:sz="8" w:space="0" w:color="FFFFFF"/>
            </w:tcBorders>
            <w:shd w:val="clear" w:color="000000" w:fill="1F497D"/>
            <w:vAlign w:val="bottom"/>
            <w:hideMark/>
          </w:tcPr>
          <w:p w:rsidR="002070AB" w:rsidRPr="00A47E0B" w:rsidRDefault="002070AB" w:rsidP="009E2132">
            <w:pPr>
              <w:spacing w:after="0" w:line="240" w:lineRule="auto"/>
              <w:jc w:val="center"/>
              <w:rPr>
                <w:rFonts w:ascii="Arial" w:eastAsia="Times New Roman" w:hAnsi="Arial" w:cs="Arial"/>
                <w:color w:val="FFFFFF"/>
                <w:sz w:val="18"/>
                <w:szCs w:val="18"/>
              </w:rPr>
            </w:pPr>
            <w:proofErr w:type="spellStart"/>
            <w:r w:rsidRPr="00A47E0B">
              <w:rPr>
                <w:rFonts w:ascii="Arial" w:eastAsia="Times New Roman" w:hAnsi="Arial" w:cs="Arial"/>
                <w:color w:val="FFFFFF"/>
                <w:sz w:val="18"/>
                <w:szCs w:val="18"/>
              </w:rPr>
              <w:t>A</w:t>
            </w:r>
            <w:r>
              <w:rPr>
                <w:rFonts w:ascii="Arial" w:eastAsia="Times New Roman" w:hAnsi="Arial" w:cs="Arial"/>
                <w:color w:val="FFFFFF"/>
                <w:sz w:val="18"/>
                <w:szCs w:val="18"/>
              </w:rPr>
              <w:t>g</w:t>
            </w:r>
            <w:r w:rsidRPr="00A47E0B">
              <w:rPr>
                <w:rFonts w:ascii="Arial" w:eastAsia="Times New Roman" w:hAnsi="Arial" w:cs="Arial"/>
                <w:color w:val="FFFFFF"/>
                <w:sz w:val="18"/>
                <w:szCs w:val="18"/>
              </w:rPr>
              <w:t>g</w:t>
            </w:r>
            <w:proofErr w:type="spellEnd"/>
            <w:r w:rsidRPr="00A47E0B">
              <w:rPr>
                <w:rFonts w:ascii="Arial" w:eastAsia="Times New Roman" w:hAnsi="Arial" w:cs="Arial"/>
                <w:color w:val="FFFFFF"/>
                <w:sz w:val="18"/>
                <w:szCs w:val="18"/>
              </w:rPr>
              <w:t>. Load Impact (MW)</w:t>
            </w:r>
          </w:p>
        </w:tc>
        <w:tc>
          <w:tcPr>
            <w:tcW w:w="1994" w:type="dxa"/>
            <w:gridSpan w:val="2"/>
            <w:tcBorders>
              <w:top w:val="nil"/>
              <w:left w:val="nil"/>
              <w:bottom w:val="single" w:sz="8" w:space="0" w:color="FFFFFF"/>
              <w:right w:val="single" w:sz="8" w:space="0" w:color="FFFFFF"/>
            </w:tcBorders>
            <w:shd w:val="clear" w:color="000000" w:fill="1F497D"/>
            <w:vAlign w:val="bottom"/>
            <w:hideMark/>
          </w:tcPr>
          <w:p w:rsidR="002070AB" w:rsidRPr="00A47E0B" w:rsidRDefault="002070AB" w:rsidP="009E2132">
            <w:pPr>
              <w:spacing w:after="0" w:line="240" w:lineRule="auto"/>
              <w:jc w:val="center"/>
              <w:rPr>
                <w:rFonts w:ascii="Arial" w:eastAsia="Times New Roman" w:hAnsi="Arial" w:cs="Arial"/>
                <w:color w:val="FFFFFF"/>
                <w:sz w:val="18"/>
                <w:szCs w:val="18"/>
              </w:rPr>
            </w:pPr>
            <w:r w:rsidRPr="00A47E0B">
              <w:rPr>
                <w:rFonts w:ascii="Arial" w:eastAsia="Times New Roman" w:hAnsi="Arial" w:cs="Arial"/>
                <w:color w:val="FFFFFF"/>
                <w:sz w:val="18"/>
                <w:szCs w:val="18"/>
              </w:rPr>
              <w:t>Impact Uncertainty</w:t>
            </w:r>
          </w:p>
        </w:tc>
      </w:tr>
      <w:tr w:rsidR="002070AB" w:rsidRPr="00A47E0B" w:rsidTr="00067ED1">
        <w:trPr>
          <w:trHeight w:val="565"/>
          <w:jc w:val="center"/>
        </w:trPr>
        <w:tc>
          <w:tcPr>
            <w:tcW w:w="1537" w:type="dxa"/>
            <w:vMerge/>
            <w:tcBorders>
              <w:top w:val="nil"/>
              <w:left w:val="single" w:sz="8" w:space="0" w:color="FFFFFF"/>
              <w:bottom w:val="single" w:sz="8" w:space="0" w:color="FFFFFF"/>
              <w:right w:val="single" w:sz="8" w:space="0" w:color="FFFFFF"/>
            </w:tcBorders>
            <w:vAlign w:val="center"/>
            <w:hideMark/>
          </w:tcPr>
          <w:p w:rsidR="002070AB" w:rsidRPr="00A47E0B" w:rsidRDefault="002070AB" w:rsidP="009E2132">
            <w:pPr>
              <w:spacing w:after="0" w:line="240" w:lineRule="auto"/>
              <w:rPr>
                <w:rFonts w:ascii="Arial" w:eastAsia="Times New Roman" w:hAnsi="Arial" w:cs="Arial"/>
                <w:color w:val="FFFFFF"/>
                <w:sz w:val="18"/>
                <w:szCs w:val="18"/>
              </w:rPr>
            </w:pPr>
          </w:p>
        </w:tc>
        <w:tc>
          <w:tcPr>
            <w:tcW w:w="1460" w:type="dxa"/>
            <w:vMerge/>
            <w:tcBorders>
              <w:top w:val="nil"/>
              <w:left w:val="single" w:sz="8" w:space="0" w:color="FFFFFF"/>
              <w:bottom w:val="single" w:sz="8" w:space="0" w:color="FFFFFF"/>
              <w:right w:val="single" w:sz="8" w:space="0" w:color="FFFFFF"/>
            </w:tcBorders>
            <w:vAlign w:val="center"/>
            <w:hideMark/>
          </w:tcPr>
          <w:p w:rsidR="002070AB" w:rsidRPr="00A47E0B" w:rsidRDefault="002070AB" w:rsidP="009E2132">
            <w:pPr>
              <w:spacing w:after="0" w:line="240" w:lineRule="auto"/>
              <w:rPr>
                <w:rFonts w:ascii="Arial" w:eastAsia="Times New Roman" w:hAnsi="Arial" w:cs="Arial"/>
                <w:color w:val="FFFFFF"/>
                <w:sz w:val="18"/>
                <w:szCs w:val="18"/>
              </w:rPr>
            </w:pPr>
          </w:p>
        </w:tc>
        <w:tc>
          <w:tcPr>
            <w:tcW w:w="997" w:type="dxa"/>
            <w:tcBorders>
              <w:top w:val="nil"/>
              <w:left w:val="nil"/>
              <w:bottom w:val="nil"/>
              <w:right w:val="single" w:sz="8" w:space="0" w:color="FFFFFF"/>
            </w:tcBorders>
            <w:shd w:val="clear" w:color="000000" w:fill="1F497D"/>
            <w:vAlign w:val="bottom"/>
            <w:hideMark/>
          </w:tcPr>
          <w:p w:rsidR="002070AB" w:rsidRPr="00A47E0B" w:rsidRDefault="002070AB" w:rsidP="009E2132">
            <w:pPr>
              <w:spacing w:after="0" w:line="240" w:lineRule="auto"/>
              <w:jc w:val="center"/>
              <w:rPr>
                <w:rFonts w:ascii="Arial" w:eastAsia="Times New Roman" w:hAnsi="Arial" w:cs="Arial"/>
                <w:color w:val="FFFFFF"/>
                <w:sz w:val="18"/>
                <w:szCs w:val="18"/>
              </w:rPr>
            </w:pPr>
            <w:r w:rsidRPr="00A47E0B">
              <w:rPr>
                <w:rFonts w:ascii="Arial" w:eastAsia="Times New Roman" w:hAnsi="Arial" w:cs="Arial"/>
                <w:color w:val="FFFFFF"/>
                <w:sz w:val="18"/>
                <w:szCs w:val="18"/>
              </w:rPr>
              <w:t>10th percentile</w:t>
            </w:r>
          </w:p>
        </w:tc>
        <w:tc>
          <w:tcPr>
            <w:tcW w:w="997" w:type="dxa"/>
            <w:tcBorders>
              <w:top w:val="nil"/>
              <w:left w:val="nil"/>
              <w:bottom w:val="nil"/>
              <w:right w:val="nil"/>
            </w:tcBorders>
            <w:shd w:val="clear" w:color="000000" w:fill="1F497D"/>
            <w:vAlign w:val="bottom"/>
            <w:hideMark/>
          </w:tcPr>
          <w:p w:rsidR="002070AB" w:rsidRPr="00A47E0B" w:rsidRDefault="002070AB" w:rsidP="009E2132">
            <w:pPr>
              <w:spacing w:after="0" w:line="240" w:lineRule="auto"/>
              <w:jc w:val="center"/>
              <w:rPr>
                <w:rFonts w:ascii="Arial" w:eastAsia="Times New Roman" w:hAnsi="Arial" w:cs="Arial"/>
                <w:color w:val="FFFFFF"/>
                <w:sz w:val="18"/>
                <w:szCs w:val="18"/>
              </w:rPr>
            </w:pPr>
            <w:r w:rsidRPr="00A47E0B">
              <w:rPr>
                <w:rFonts w:ascii="Arial" w:eastAsia="Times New Roman" w:hAnsi="Arial" w:cs="Arial"/>
                <w:color w:val="FFFFFF"/>
                <w:sz w:val="18"/>
                <w:szCs w:val="18"/>
              </w:rPr>
              <w:t>90th percentile</w:t>
            </w:r>
          </w:p>
        </w:tc>
      </w:tr>
      <w:tr w:rsidR="002070AB" w:rsidRPr="00A47E0B" w:rsidTr="009E2132">
        <w:trPr>
          <w:trHeight w:val="312"/>
          <w:jc w:val="center"/>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2070AB" w:rsidRPr="00A47E0B" w:rsidRDefault="002070AB" w:rsidP="009E2132">
            <w:pPr>
              <w:spacing w:after="0" w:line="240" w:lineRule="auto"/>
              <w:jc w:val="center"/>
              <w:rPr>
                <w:rFonts w:ascii="Arial" w:eastAsia="Times New Roman" w:hAnsi="Arial" w:cs="Arial"/>
                <w:color w:val="000000"/>
                <w:sz w:val="18"/>
                <w:szCs w:val="18"/>
              </w:rPr>
            </w:pPr>
            <w:r w:rsidRPr="00A47E0B">
              <w:rPr>
                <w:rFonts w:ascii="Arial" w:eastAsia="Times New Roman" w:hAnsi="Arial" w:cs="Arial"/>
                <w:color w:val="000000"/>
                <w:sz w:val="18"/>
                <w:szCs w:val="18"/>
              </w:rPr>
              <w:t>2012</w:t>
            </w:r>
          </w:p>
        </w:tc>
        <w:tc>
          <w:tcPr>
            <w:tcW w:w="1460" w:type="dxa"/>
            <w:tcBorders>
              <w:top w:val="nil"/>
              <w:left w:val="nil"/>
              <w:bottom w:val="single" w:sz="4" w:space="0" w:color="auto"/>
              <w:right w:val="single" w:sz="4" w:space="0" w:color="auto"/>
            </w:tcBorders>
            <w:shd w:val="clear" w:color="auto" w:fill="auto"/>
            <w:noWrap/>
            <w:vAlign w:val="bottom"/>
            <w:hideMark/>
          </w:tcPr>
          <w:p w:rsidR="002070AB" w:rsidRPr="00A47E0B" w:rsidRDefault="002070AB" w:rsidP="009E2132">
            <w:pPr>
              <w:spacing w:after="0" w:line="240" w:lineRule="auto"/>
              <w:jc w:val="center"/>
              <w:rPr>
                <w:rFonts w:ascii="Arial" w:eastAsia="Times New Roman" w:hAnsi="Arial" w:cs="Arial"/>
                <w:color w:val="000000"/>
                <w:sz w:val="18"/>
                <w:szCs w:val="18"/>
              </w:rPr>
            </w:pPr>
            <w:r w:rsidRPr="00A47E0B">
              <w:rPr>
                <w:rFonts w:ascii="Arial" w:eastAsia="Times New Roman" w:hAnsi="Arial" w:cs="Arial"/>
                <w:color w:val="000000"/>
                <w:sz w:val="18"/>
                <w:szCs w:val="18"/>
              </w:rPr>
              <w:t>25.0</w:t>
            </w:r>
          </w:p>
        </w:tc>
        <w:tc>
          <w:tcPr>
            <w:tcW w:w="997" w:type="dxa"/>
            <w:tcBorders>
              <w:top w:val="nil"/>
              <w:left w:val="nil"/>
              <w:bottom w:val="single" w:sz="4" w:space="0" w:color="auto"/>
              <w:right w:val="single" w:sz="4" w:space="0" w:color="auto"/>
            </w:tcBorders>
            <w:shd w:val="clear" w:color="auto" w:fill="auto"/>
            <w:noWrap/>
            <w:vAlign w:val="bottom"/>
            <w:hideMark/>
          </w:tcPr>
          <w:p w:rsidR="002070AB" w:rsidRPr="00A47E0B" w:rsidRDefault="002070AB" w:rsidP="009E2132">
            <w:pPr>
              <w:spacing w:after="0" w:line="240" w:lineRule="auto"/>
              <w:jc w:val="center"/>
              <w:rPr>
                <w:rFonts w:ascii="Arial" w:eastAsia="Times New Roman" w:hAnsi="Arial" w:cs="Arial"/>
                <w:color w:val="000000"/>
                <w:sz w:val="18"/>
                <w:szCs w:val="18"/>
              </w:rPr>
            </w:pPr>
            <w:r w:rsidRPr="00A47E0B">
              <w:rPr>
                <w:rFonts w:ascii="Arial" w:eastAsia="Times New Roman" w:hAnsi="Arial" w:cs="Arial"/>
                <w:color w:val="000000"/>
                <w:sz w:val="18"/>
                <w:szCs w:val="18"/>
              </w:rPr>
              <w:t>20.3</w:t>
            </w:r>
          </w:p>
        </w:tc>
        <w:tc>
          <w:tcPr>
            <w:tcW w:w="997" w:type="dxa"/>
            <w:tcBorders>
              <w:top w:val="nil"/>
              <w:left w:val="nil"/>
              <w:bottom w:val="single" w:sz="4" w:space="0" w:color="auto"/>
              <w:right w:val="single" w:sz="4" w:space="0" w:color="auto"/>
            </w:tcBorders>
            <w:shd w:val="clear" w:color="auto" w:fill="auto"/>
            <w:noWrap/>
            <w:vAlign w:val="bottom"/>
            <w:hideMark/>
          </w:tcPr>
          <w:p w:rsidR="002070AB" w:rsidRPr="00A47E0B" w:rsidRDefault="002070AB" w:rsidP="009E2132">
            <w:pPr>
              <w:spacing w:after="0" w:line="240" w:lineRule="auto"/>
              <w:jc w:val="center"/>
              <w:rPr>
                <w:rFonts w:ascii="Arial" w:eastAsia="Times New Roman" w:hAnsi="Arial" w:cs="Arial"/>
                <w:color w:val="000000"/>
                <w:sz w:val="18"/>
                <w:szCs w:val="18"/>
              </w:rPr>
            </w:pPr>
            <w:r w:rsidRPr="00A47E0B">
              <w:rPr>
                <w:rFonts w:ascii="Arial" w:eastAsia="Times New Roman" w:hAnsi="Arial" w:cs="Arial"/>
                <w:color w:val="000000"/>
                <w:sz w:val="18"/>
                <w:szCs w:val="18"/>
              </w:rPr>
              <w:t>29.7</w:t>
            </w:r>
          </w:p>
        </w:tc>
      </w:tr>
      <w:tr w:rsidR="002070AB" w:rsidRPr="00A47E0B" w:rsidTr="009E2132">
        <w:trPr>
          <w:trHeight w:val="288"/>
          <w:jc w:val="center"/>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2070AB" w:rsidRPr="00A47E0B" w:rsidRDefault="002070AB" w:rsidP="009E2132">
            <w:pPr>
              <w:spacing w:after="0" w:line="240" w:lineRule="auto"/>
              <w:jc w:val="center"/>
              <w:rPr>
                <w:rFonts w:ascii="Arial" w:eastAsia="Times New Roman" w:hAnsi="Arial" w:cs="Arial"/>
                <w:color w:val="000000"/>
                <w:sz w:val="18"/>
                <w:szCs w:val="18"/>
              </w:rPr>
            </w:pPr>
            <w:r w:rsidRPr="00A47E0B">
              <w:rPr>
                <w:rFonts w:ascii="Arial" w:eastAsia="Times New Roman" w:hAnsi="Arial" w:cs="Arial"/>
                <w:color w:val="000000"/>
                <w:sz w:val="18"/>
                <w:szCs w:val="18"/>
              </w:rPr>
              <w:t>2013</w:t>
            </w:r>
          </w:p>
        </w:tc>
        <w:tc>
          <w:tcPr>
            <w:tcW w:w="1460" w:type="dxa"/>
            <w:tcBorders>
              <w:top w:val="nil"/>
              <w:left w:val="nil"/>
              <w:bottom w:val="single" w:sz="4" w:space="0" w:color="auto"/>
              <w:right w:val="single" w:sz="4" w:space="0" w:color="auto"/>
            </w:tcBorders>
            <w:shd w:val="clear" w:color="auto" w:fill="auto"/>
            <w:noWrap/>
            <w:vAlign w:val="bottom"/>
            <w:hideMark/>
          </w:tcPr>
          <w:p w:rsidR="002070AB" w:rsidRPr="00A47E0B" w:rsidRDefault="002070AB" w:rsidP="009E2132">
            <w:pPr>
              <w:spacing w:after="0" w:line="240" w:lineRule="auto"/>
              <w:jc w:val="center"/>
              <w:rPr>
                <w:rFonts w:ascii="Arial" w:eastAsia="Times New Roman" w:hAnsi="Arial" w:cs="Arial"/>
                <w:color w:val="000000"/>
                <w:sz w:val="18"/>
                <w:szCs w:val="18"/>
              </w:rPr>
            </w:pPr>
            <w:r w:rsidRPr="00A47E0B">
              <w:rPr>
                <w:rFonts w:ascii="Arial" w:eastAsia="Times New Roman" w:hAnsi="Arial" w:cs="Arial"/>
                <w:color w:val="000000"/>
                <w:sz w:val="18"/>
                <w:szCs w:val="18"/>
              </w:rPr>
              <w:t>26.4</w:t>
            </w:r>
          </w:p>
        </w:tc>
        <w:tc>
          <w:tcPr>
            <w:tcW w:w="997" w:type="dxa"/>
            <w:tcBorders>
              <w:top w:val="nil"/>
              <w:left w:val="nil"/>
              <w:bottom w:val="single" w:sz="4" w:space="0" w:color="auto"/>
              <w:right w:val="single" w:sz="4" w:space="0" w:color="auto"/>
            </w:tcBorders>
            <w:shd w:val="clear" w:color="auto" w:fill="auto"/>
            <w:noWrap/>
            <w:vAlign w:val="bottom"/>
            <w:hideMark/>
          </w:tcPr>
          <w:p w:rsidR="002070AB" w:rsidRPr="00A47E0B" w:rsidRDefault="002070AB" w:rsidP="009E2132">
            <w:pPr>
              <w:spacing w:after="0" w:line="240" w:lineRule="auto"/>
              <w:jc w:val="center"/>
              <w:rPr>
                <w:rFonts w:ascii="Arial" w:eastAsia="Times New Roman" w:hAnsi="Arial" w:cs="Arial"/>
                <w:color w:val="000000"/>
                <w:sz w:val="18"/>
                <w:szCs w:val="18"/>
              </w:rPr>
            </w:pPr>
            <w:r w:rsidRPr="00A47E0B">
              <w:rPr>
                <w:rFonts w:ascii="Arial" w:eastAsia="Times New Roman" w:hAnsi="Arial" w:cs="Arial"/>
                <w:color w:val="000000"/>
                <w:sz w:val="18"/>
                <w:szCs w:val="18"/>
              </w:rPr>
              <w:t>21.5</w:t>
            </w:r>
          </w:p>
        </w:tc>
        <w:tc>
          <w:tcPr>
            <w:tcW w:w="997" w:type="dxa"/>
            <w:tcBorders>
              <w:top w:val="nil"/>
              <w:left w:val="nil"/>
              <w:bottom w:val="single" w:sz="4" w:space="0" w:color="auto"/>
              <w:right w:val="single" w:sz="4" w:space="0" w:color="auto"/>
            </w:tcBorders>
            <w:shd w:val="clear" w:color="auto" w:fill="auto"/>
            <w:noWrap/>
            <w:vAlign w:val="bottom"/>
            <w:hideMark/>
          </w:tcPr>
          <w:p w:rsidR="002070AB" w:rsidRPr="00A47E0B" w:rsidRDefault="002070AB" w:rsidP="009E2132">
            <w:pPr>
              <w:spacing w:after="0" w:line="240" w:lineRule="auto"/>
              <w:jc w:val="center"/>
              <w:rPr>
                <w:rFonts w:ascii="Arial" w:eastAsia="Times New Roman" w:hAnsi="Arial" w:cs="Arial"/>
                <w:color w:val="000000"/>
                <w:sz w:val="18"/>
                <w:szCs w:val="18"/>
              </w:rPr>
            </w:pPr>
            <w:r w:rsidRPr="00A47E0B">
              <w:rPr>
                <w:rFonts w:ascii="Arial" w:eastAsia="Times New Roman" w:hAnsi="Arial" w:cs="Arial"/>
                <w:color w:val="000000"/>
                <w:sz w:val="18"/>
                <w:szCs w:val="18"/>
              </w:rPr>
              <w:t>31.3</w:t>
            </w:r>
          </w:p>
        </w:tc>
      </w:tr>
      <w:tr w:rsidR="002070AB" w:rsidRPr="00A47E0B" w:rsidTr="009E2132">
        <w:trPr>
          <w:trHeight w:val="288"/>
          <w:jc w:val="center"/>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rsidR="002070AB" w:rsidRPr="00A47E0B" w:rsidRDefault="002070AB" w:rsidP="009E2132">
            <w:pPr>
              <w:spacing w:after="0" w:line="240" w:lineRule="auto"/>
              <w:jc w:val="center"/>
              <w:rPr>
                <w:rFonts w:ascii="Arial" w:eastAsia="Times New Roman" w:hAnsi="Arial" w:cs="Arial"/>
                <w:color w:val="000000"/>
                <w:sz w:val="18"/>
                <w:szCs w:val="18"/>
              </w:rPr>
            </w:pPr>
            <w:r w:rsidRPr="00A47E0B">
              <w:rPr>
                <w:rFonts w:ascii="Arial" w:eastAsia="Times New Roman" w:hAnsi="Arial" w:cs="Arial"/>
                <w:color w:val="000000"/>
                <w:sz w:val="18"/>
                <w:szCs w:val="18"/>
              </w:rPr>
              <w:t>2014 - 2022</w:t>
            </w:r>
          </w:p>
        </w:tc>
        <w:tc>
          <w:tcPr>
            <w:tcW w:w="1460" w:type="dxa"/>
            <w:tcBorders>
              <w:top w:val="nil"/>
              <w:left w:val="nil"/>
              <w:bottom w:val="single" w:sz="4" w:space="0" w:color="auto"/>
              <w:right w:val="single" w:sz="4" w:space="0" w:color="auto"/>
            </w:tcBorders>
            <w:shd w:val="clear" w:color="auto" w:fill="auto"/>
            <w:noWrap/>
            <w:vAlign w:val="bottom"/>
            <w:hideMark/>
          </w:tcPr>
          <w:p w:rsidR="002070AB" w:rsidRPr="00A47E0B" w:rsidRDefault="002070AB" w:rsidP="009E2132">
            <w:pPr>
              <w:spacing w:after="0" w:line="240" w:lineRule="auto"/>
              <w:jc w:val="center"/>
              <w:rPr>
                <w:rFonts w:ascii="Arial" w:eastAsia="Times New Roman" w:hAnsi="Arial" w:cs="Arial"/>
                <w:color w:val="000000"/>
                <w:sz w:val="18"/>
                <w:szCs w:val="18"/>
              </w:rPr>
            </w:pPr>
            <w:r w:rsidRPr="00A47E0B">
              <w:rPr>
                <w:rFonts w:ascii="Arial" w:eastAsia="Times New Roman" w:hAnsi="Arial" w:cs="Arial"/>
                <w:color w:val="000000"/>
                <w:sz w:val="18"/>
                <w:szCs w:val="18"/>
              </w:rPr>
              <w:t>27.8</w:t>
            </w:r>
          </w:p>
        </w:tc>
        <w:tc>
          <w:tcPr>
            <w:tcW w:w="997" w:type="dxa"/>
            <w:tcBorders>
              <w:top w:val="nil"/>
              <w:left w:val="nil"/>
              <w:bottom w:val="single" w:sz="4" w:space="0" w:color="auto"/>
              <w:right w:val="single" w:sz="4" w:space="0" w:color="auto"/>
            </w:tcBorders>
            <w:shd w:val="clear" w:color="auto" w:fill="auto"/>
            <w:noWrap/>
            <w:vAlign w:val="bottom"/>
            <w:hideMark/>
          </w:tcPr>
          <w:p w:rsidR="002070AB" w:rsidRPr="00A47E0B" w:rsidRDefault="002070AB" w:rsidP="009E2132">
            <w:pPr>
              <w:spacing w:after="0" w:line="240" w:lineRule="auto"/>
              <w:jc w:val="center"/>
              <w:rPr>
                <w:rFonts w:ascii="Arial" w:eastAsia="Times New Roman" w:hAnsi="Arial" w:cs="Arial"/>
                <w:color w:val="000000"/>
                <w:sz w:val="18"/>
                <w:szCs w:val="18"/>
              </w:rPr>
            </w:pPr>
            <w:r w:rsidRPr="00A47E0B">
              <w:rPr>
                <w:rFonts w:ascii="Arial" w:eastAsia="Times New Roman" w:hAnsi="Arial" w:cs="Arial"/>
                <w:color w:val="000000"/>
                <w:sz w:val="18"/>
                <w:szCs w:val="18"/>
              </w:rPr>
              <w:t>22.6</w:t>
            </w:r>
          </w:p>
        </w:tc>
        <w:tc>
          <w:tcPr>
            <w:tcW w:w="997" w:type="dxa"/>
            <w:tcBorders>
              <w:top w:val="nil"/>
              <w:left w:val="nil"/>
              <w:bottom w:val="single" w:sz="4" w:space="0" w:color="auto"/>
              <w:right w:val="single" w:sz="4" w:space="0" w:color="auto"/>
            </w:tcBorders>
            <w:shd w:val="clear" w:color="auto" w:fill="auto"/>
            <w:noWrap/>
            <w:vAlign w:val="bottom"/>
            <w:hideMark/>
          </w:tcPr>
          <w:p w:rsidR="002070AB" w:rsidRPr="00A47E0B" w:rsidRDefault="002070AB" w:rsidP="009E2132">
            <w:pPr>
              <w:spacing w:after="0" w:line="240" w:lineRule="auto"/>
              <w:jc w:val="center"/>
              <w:rPr>
                <w:rFonts w:ascii="Arial" w:eastAsia="Times New Roman" w:hAnsi="Arial" w:cs="Arial"/>
                <w:color w:val="000000"/>
                <w:sz w:val="18"/>
                <w:szCs w:val="18"/>
              </w:rPr>
            </w:pPr>
            <w:r w:rsidRPr="00A47E0B">
              <w:rPr>
                <w:rFonts w:ascii="Arial" w:eastAsia="Times New Roman" w:hAnsi="Arial" w:cs="Arial"/>
                <w:color w:val="000000"/>
                <w:sz w:val="18"/>
                <w:szCs w:val="18"/>
              </w:rPr>
              <w:t>33.0</w:t>
            </w:r>
          </w:p>
        </w:tc>
      </w:tr>
    </w:tbl>
    <w:p w:rsidR="002070AB" w:rsidRPr="005B0E78" w:rsidRDefault="002070AB" w:rsidP="002070AB">
      <w:pPr>
        <w:pStyle w:val="BodyParagraph"/>
      </w:pPr>
    </w:p>
    <w:p w:rsidR="005D560E" w:rsidRPr="00067ED1" w:rsidRDefault="00C61D83" w:rsidP="00067ED1">
      <w:pPr>
        <w:pStyle w:val="BodyParagraph"/>
      </w:pPr>
      <w:fldSimple w:instr=" REF _Ref323891096  \* MERGEFORMAT ">
        <w:r w:rsidR="00F66D5E" w:rsidRPr="0038124C">
          <w:t xml:space="preserve">Table </w:t>
        </w:r>
        <w:r w:rsidR="00F66D5E">
          <w:t>8</w:t>
        </w:r>
        <w:r w:rsidR="00F66D5E">
          <w:noBreakHyphen/>
          <w:t>8</w:t>
        </w:r>
      </w:fldSimple>
      <w:r w:rsidR="002070AB">
        <w:t xml:space="preserve"> summarizes the ex ante load reduction capability of CBP customers by customer size during an August system peak day in 2012.  Large customers (i.e., greater than 200 kW average demand) account for over 90% of ex ante load reductions.  There is no breakdown by LCA, as SDG&amp;E’s territory falls entirely in a single LCA.</w:t>
      </w:r>
    </w:p>
    <w:p w:rsidR="002070AB" w:rsidRDefault="002070AB" w:rsidP="002070AB">
      <w:pPr>
        <w:pStyle w:val="TableFigureCaption"/>
      </w:pPr>
      <w:r w:rsidRPr="0038124C">
        <w:t xml:space="preserve">Table </w:t>
      </w:r>
      <w:fldSimple w:instr=" STYLEREF 1 \s ">
        <w:r w:rsidR="00F66D5E">
          <w:rPr>
            <w:noProof/>
          </w:rPr>
          <w:t>9</w:t>
        </w:r>
      </w:fldSimple>
      <w:r w:rsidR="00F55000">
        <w:noBreakHyphen/>
      </w:r>
      <w:fldSimple w:instr=" SEQ Table \* ARABIC \s 1 ">
        <w:r w:rsidR="00F66D5E">
          <w:rPr>
            <w:noProof/>
          </w:rPr>
          <w:t>4</w:t>
        </w:r>
      </w:fldSimple>
      <w:r w:rsidRPr="0038124C">
        <w:t>:</w:t>
      </w:r>
    </w:p>
    <w:p w:rsidR="002070AB" w:rsidRPr="00DC66F9" w:rsidRDefault="002070AB" w:rsidP="002070AB">
      <w:pPr>
        <w:pStyle w:val="TableFigureCaption"/>
      </w:pPr>
      <w:r w:rsidRPr="0038124C">
        <w:t xml:space="preserve">Aggregate Ex Ante Annual Peak Day Load </w:t>
      </w:r>
      <w:r>
        <w:t>Impacts for SDG&amp;E CBP by Customer Size</w:t>
      </w:r>
    </w:p>
    <w:p w:rsidR="002070AB" w:rsidRPr="00E52775" w:rsidRDefault="002070AB" w:rsidP="002070AB">
      <w:pPr>
        <w:pStyle w:val="TableFigureCaption"/>
      </w:pPr>
      <w:r>
        <w:t>(Hourly Average Reduction from 1 to 6 PM)</w:t>
      </w:r>
    </w:p>
    <w:tbl>
      <w:tblPr>
        <w:tblW w:w="5128" w:type="pct"/>
        <w:tblLook w:val="04A0"/>
      </w:tblPr>
      <w:tblGrid>
        <w:gridCol w:w="409"/>
        <w:gridCol w:w="1729"/>
        <w:gridCol w:w="949"/>
        <w:gridCol w:w="989"/>
        <w:gridCol w:w="744"/>
        <w:gridCol w:w="939"/>
        <w:gridCol w:w="949"/>
        <w:gridCol w:w="1062"/>
        <w:gridCol w:w="950"/>
        <w:gridCol w:w="939"/>
      </w:tblGrid>
      <w:tr w:rsidR="00B16AB3" w:rsidRPr="00B16AB3" w:rsidTr="00FA63C0">
        <w:trPr>
          <w:trHeight w:val="288"/>
        </w:trPr>
        <w:tc>
          <w:tcPr>
            <w:tcW w:w="1107" w:type="pct"/>
            <w:gridSpan w:val="2"/>
            <w:vMerge w:val="restart"/>
            <w:tcBorders>
              <w:top w:val="nil"/>
              <w:left w:val="nil"/>
              <w:bottom w:val="single" w:sz="4" w:space="0" w:color="000000"/>
              <w:right w:val="single" w:sz="4" w:space="0" w:color="FFFFFF"/>
            </w:tcBorders>
            <w:shd w:val="clear" w:color="000000" w:fill="1F497D"/>
            <w:tcMar>
              <w:left w:w="29" w:type="dxa"/>
              <w:right w:w="29" w:type="dxa"/>
            </w:tcMar>
            <w:vAlign w:val="bottom"/>
            <w:hideMark/>
          </w:tcPr>
          <w:p w:rsidR="00B16AB3" w:rsidRPr="00FA63C0" w:rsidRDefault="00B16AB3" w:rsidP="00B16AB3">
            <w:pPr>
              <w:spacing w:after="0" w:line="240" w:lineRule="auto"/>
              <w:jc w:val="center"/>
              <w:rPr>
                <w:rFonts w:ascii="Arial" w:eastAsia="Times New Roman" w:hAnsi="Arial" w:cs="Arial"/>
                <w:b/>
                <w:color w:val="FFFFFF"/>
                <w:sz w:val="18"/>
                <w:szCs w:val="18"/>
              </w:rPr>
            </w:pPr>
            <w:r w:rsidRPr="00FA63C0">
              <w:rPr>
                <w:rFonts w:ascii="Arial" w:eastAsia="Times New Roman" w:hAnsi="Arial" w:cs="Arial"/>
                <w:b/>
                <w:color w:val="FFFFFF"/>
                <w:sz w:val="18"/>
                <w:szCs w:val="18"/>
              </w:rPr>
              <w:t>Customer Subcategory</w:t>
            </w:r>
          </w:p>
        </w:tc>
        <w:tc>
          <w:tcPr>
            <w:tcW w:w="1874" w:type="pct"/>
            <w:gridSpan w:val="4"/>
            <w:tcBorders>
              <w:top w:val="nil"/>
              <w:left w:val="nil"/>
              <w:bottom w:val="single" w:sz="4" w:space="0" w:color="FFFFFF"/>
              <w:right w:val="nil"/>
            </w:tcBorders>
            <w:shd w:val="clear" w:color="000000" w:fill="1F497D"/>
            <w:tcMar>
              <w:left w:w="29" w:type="dxa"/>
              <w:right w:w="29" w:type="dxa"/>
            </w:tcMar>
            <w:vAlign w:val="bottom"/>
            <w:hideMark/>
          </w:tcPr>
          <w:p w:rsidR="00B16AB3" w:rsidRPr="00FA63C0" w:rsidRDefault="00B16AB3" w:rsidP="00B16AB3">
            <w:pPr>
              <w:spacing w:after="0" w:line="240" w:lineRule="auto"/>
              <w:jc w:val="center"/>
              <w:rPr>
                <w:rFonts w:ascii="Arial" w:eastAsia="Times New Roman" w:hAnsi="Arial" w:cs="Arial"/>
                <w:b/>
                <w:color w:val="FFFFFF"/>
                <w:sz w:val="18"/>
                <w:szCs w:val="18"/>
              </w:rPr>
            </w:pPr>
            <w:r w:rsidRPr="00FA63C0">
              <w:rPr>
                <w:rFonts w:ascii="Arial" w:eastAsia="Times New Roman" w:hAnsi="Arial" w:cs="Arial"/>
                <w:b/>
                <w:color w:val="FFFFFF"/>
                <w:sz w:val="18"/>
                <w:szCs w:val="18"/>
              </w:rPr>
              <w:t>CBP-DA</w:t>
            </w:r>
          </w:p>
        </w:tc>
        <w:tc>
          <w:tcPr>
            <w:tcW w:w="2019" w:type="pct"/>
            <w:gridSpan w:val="4"/>
            <w:tcBorders>
              <w:top w:val="nil"/>
              <w:left w:val="single" w:sz="4" w:space="0" w:color="FFFFFF"/>
              <w:bottom w:val="single" w:sz="4" w:space="0" w:color="FFFFFF"/>
              <w:right w:val="nil"/>
            </w:tcBorders>
            <w:shd w:val="clear" w:color="000000" w:fill="1F497D"/>
            <w:tcMar>
              <w:left w:w="29" w:type="dxa"/>
              <w:right w:w="29" w:type="dxa"/>
            </w:tcMar>
            <w:vAlign w:val="bottom"/>
            <w:hideMark/>
          </w:tcPr>
          <w:p w:rsidR="00B16AB3" w:rsidRPr="00FA63C0" w:rsidRDefault="00B16AB3" w:rsidP="00B16AB3">
            <w:pPr>
              <w:spacing w:after="0" w:line="240" w:lineRule="auto"/>
              <w:jc w:val="center"/>
              <w:rPr>
                <w:rFonts w:ascii="Arial" w:eastAsia="Times New Roman" w:hAnsi="Arial" w:cs="Arial"/>
                <w:b/>
                <w:color w:val="FFFFFF"/>
                <w:sz w:val="18"/>
                <w:szCs w:val="18"/>
              </w:rPr>
            </w:pPr>
            <w:r w:rsidRPr="00FA63C0">
              <w:rPr>
                <w:rFonts w:ascii="Arial" w:eastAsia="Times New Roman" w:hAnsi="Arial" w:cs="Arial"/>
                <w:b/>
                <w:color w:val="FFFFFF"/>
                <w:sz w:val="18"/>
                <w:szCs w:val="18"/>
              </w:rPr>
              <w:t>CBP-DO</w:t>
            </w:r>
          </w:p>
        </w:tc>
      </w:tr>
      <w:tr w:rsidR="00FA63C0" w:rsidRPr="00B16AB3" w:rsidTr="00FA63C0">
        <w:trPr>
          <w:trHeight w:val="908"/>
        </w:trPr>
        <w:tc>
          <w:tcPr>
            <w:tcW w:w="1107" w:type="pct"/>
            <w:gridSpan w:val="2"/>
            <w:vMerge/>
            <w:tcBorders>
              <w:top w:val="nil"/>
              <w:left w:val="nil"/>
              <w:bottom w:val="single" w:sz="4" w:space="0" w:color="000000"/>
              <w:right w:val="single" w:sz="4" w:space="0" w:color="FFFFFF"/>
            </w:tcBorders>
            <w:tcMar>
              <w:left w:w="29" w:type="dxa"/>
              <w:right w:w="29" w:type="dxa"/>
            </w:tcMar>
            <w:vAlign w:val="center"/>
            <w:hideMark/>
          </w:tcPr>
          <w:p w:rsidR="00FA63C0" w:rsidRPr="00FA63C0" w:rsidRDefault="00FA63C0" w:rsidP="00B16AB3">
            <w:pPr>
              <w:spacing w:after="0" w:line="240" w:lineRule="auto"/>
              <w:rPr>
                <w:rFonts w:ascii="Arial" w:eastAsia="Times New Roman" w:hAnsi="Arial" w:cs="Arial"/>
                <w:b/>
                <w:color w:val="FFFFFF"/>
                <w:sz w:val="18"/>
                <w:szCs w:val="18"/>
              </w:rPr>
            </w:pPr>
          </w:p>
        </w:tc>
        <w:tc>
          <w:tcPr>
            <w:tcW w:w="491" w:type="pct"/>
            <w:tcBorders>
              <w:top w:val="nil"/>
              <w:left w:val="nil"/>
              <w:bottom w:val="nil"/>
              <w:right w:val="single" w:sz="4" w:space="0" w:color="FFFFFF"/>
            </w:tcBorders>
            <w:shd w:val="clear" w:color="000000" w:fill="1F497D"/>
            <w:tcMar>
              <w:left w:w="29" w:type="dxa"/>
              <w:right w:w="29" w:type="dxa"/>
            </w:tcMar>
            <w:vAlign w:val="bottom"/>
            <w:hideMark/>
          </w:tcPr>
          <w:p w:rsidR="00FA63C0" w:rsidRPr="00FA63C0" w:rsidRDefault="00FA63C0" w:rsidP="00B16AB3">
            <w:pPr>
              <w:spacing w:after="0" w:line="240" w:lineRule="auto"/>
              <w:jc w:val="center"/>
              <w:rPr>
                <w:rFonts w:ascii="Arial" w:eastAsia="Times New Roman" w:hAnsi="Arial" w:cs="Arial"/>
                <w:b/>
                <w:color w:val="FFFFFF"/>
                <w:sz w:val="18"/>
                <w:szCs w:val="18"/>
              </w:rPr>
            </w:pPr>
            <w:r w:rsidRPr="00FA63C0">
              <w:rPr>
                <w:rFonts w:ascii="Arial" w:eastAsia="Times New Roman" w:hAnsi="Arial" w:cs="Arial"/>
                <w:b/>
                <w:color w:val="FFFFFF"/>
                <w:sz w:val="18"/>
                <w:szCs w:val="18"/>
              </w:rPr>
              <w:t>Aggregate Load Impact (MW)</w:t>
            </w:r>
          </w:p>
        </w:tc>
        <w:tc>
          <w:tcPr>
            <w:tcW w:w="512" w:type="pct"/>
            <w:tcBorders>
              <w:top w:val="nil"/>
              <w:left w:val="nil"/>
              <w:bottom w:val="nil"/>
              <w:right w:val="single" w:sz="4" w:space="0" w:color="FFFFFF"/>
            </w:tcBorders>
            <w:shd w:val="clear" w:color="000000" w:fill="1F497D"/>
            <w:tcMar>
              <w:left w:w="29" w:type="dxa"/>
              <w:right w:w="29" w:type="dxa"/>
            </w:tcMar>
            <w:vAlign w:val="bottom"/>
            <w:hideMark/>
          </w:tcPr>
          <w:p w:rsidR="00FA63C0" w:rsidRPr="00FA63C0" w:rsidRDefault="00FA63C0" w:rsidP="00FA63C0">
            <w:pPr>
              <w:spacing w:after="0" w:line="240" w:lineRule="auto"/>
              <w:jc w:val="center"/>
              <w:rPr>
                <w:rFonts w:ascii="Arial" w:eastAsia="Times New Roman" w:hAnsi="Arial" w:cs="Arial"/>
                <w:b/>
                <w:color w:val="FFFFFF"/>
                <w:sz w:val="18"/>
                <w:szCs w:val="18"/>
              </w:rPr>
            </w:pPr>
            <w:r w:rsidRPr="00FA63C0">
              <w:rPr>
                <w:rFonts w:ascii="Arial" w:eastAsia="Times New Roman" w:hAnsi="Arial" w:cs="Arial"/>
                <w:b/>
                <w:color w:val="FFFFFF"/>
                <w:sz w:val="18"/>
                <w:szCs w:val="18"/>
              </w:rPr>
              <w:t>Nominated Accts</w:t>
            </w:r>
          </w:p>
        </w:tc>
        <w:tc>
          <w:tcPr>
            <w:tcW w:w="385" w:type="pct"/>
            <w:tcBorders>
              <w:top w:val="nil"/>
              <w:left w:val="nil"/>
              <w:bottom w:val="nil"/>
              <w:right w:val="single" w:sz="4" w:space="0" w:color="FFFFFF"/>
            </w:tcBorders>
            <w:shd w:val="clear" w:color="000000" w:fill="1F497D"/>
            <w:tcMar>
              <w:left w:w="29" w:type="dxa"/>
              <w:right w:w="29" w:type="dxa"/>
            </w:tcMar>
            <w:vAlign w:val="bottom"/>
            <w:hideMark/>
          </w:tcPr>
          <w:p w:rsidR="00FA63C0" w:rsidRPr="00FA63C0" w:rsidRDefault="00FA63C0" w:rsidP="00B16AB3">
            <w:pPr>
              <w:spacing w:after="0" w:line="240" w:lineRule="auto"/>
              <w:jc w:val="center"/>
              <w:rPr>
                <w:rFonts w:ascii="Arial" w:eastAsia="Times New Roman" w:hAnsi="Arial" w:cs="Arial"/>
                <w:b/>
                <w:color w:val="FFFFFF"/>
                <w:sz w:val="18"/>
                <w:szCs w:val="18"/>
              </w:rPr>
            </w:pPr>
            <w:r w:rsidRPr="00FA63C0">
              <w:rPr>
                <w:rFonts w:ascii="Arial" w:eastAsia="Times New Roman" w:hAnsi="Arial" w:cs="Arial"/>
                <w:b/>
                <w:color w:val="FFFFFF"/>
                <w:sz w:val="18"/>
                <w:szCs w:val="18"/>
              </w:rPr>
              <w:t>Load Impact per Acct (kW)</w:t>
            </w:r>
          </w:p>
        </w:tc>
        <w:tc>
          <w:tcPr>
            <w:tcW w:w="486" w:type="pct"/>
            <w:tcBorders>
              <w:top w:val="nil"/>
              <w:left w:val="nil"/>
              <w:bottom w:val="nil"/>
              <w:right w:val="single" w:sz="4" w:space="0" w:color="FFFFFF"/>
            </w:tcBorders>
            <w:shd w:val="clear" w:color="000000" w:fill="1F497D"/>
            <w:tcMar>
              <w:left w:w="29" w:type="dxa"/>
              <w:right w:w="29" w:type="dxa"/>
            </w:tcMar>
            <w:vAlign w:val="bottom"/>
            <w:hideMark/>
          </w:tcPr>
          <w:p w:rsidR="00FA63C0" w:rsidRPr="00FA63C0" w:rsidRDefault="00FA63C0" w:rsidP="00B16AB3">
            <w:pPr>
              <w:spacing w:after="0" w:line="240" w:lineRule="auto"/>
              <w:jc w:val="center"/>
              <w:rPr>
                <w:rFonts w:ascii="Arial" w:eastAsia="Times New Roman" w:hAnsi="Arial" w:cs="Arial"/>
                <w:b/>
                <w:color w:val="FFFFFF"/>
                <w:sz w:val="18"/>
                <w:szCs w:val="18"/>
              </w:rPr>
            </w:pPr>
            <w:r w:rsidRPr="00FA63C0">
              <w:rPr>
                <w:rFonts w:ascii="Arial" w:eastAsia="Times New Roman" w:hAnsi="Arial" w:cs="Arial"/>
                <w:b/>
                <w:color w:val="FFFFFF"/>
                <w:sz w:val="18"/>
                <w:szCs w:val="18"/>
              </w:rPr>
              <w:t>% Load Reduction</w:t>
            </w:r>
          </w:p>
        </w:tc>
        <w:tc>
          <w:tcPr>
            <w:tcW w:w="491" w:type="pct"/>
            <w:tcBorders>
              <w:top w:val="nil"/>
              <w:left w:val="nil"/>
              <w:bottom w:val="nil"/>
              <w:right w:val="single" w:sz="4" w:space="0" w:color="FFFFFF"/>
            </w:tcBorders>
            <w:shd w:val="clear" w:color="000000" w:fill="1F497D"/>
            <w:tcMar>
              <w:left w:w="29" w:type="dxa"/>
              <w:right w:w="29" w:type="dxa"/>
            </w:tcMar>
            <w:vAlign w:val="bottom"/>
            <w:hideMark/>
          </w:tcPr>
          <w:p w:rsidR="00FA63C0" w:rsidRPr="00FA63C0" w:rsidRDefault="00FA63C0" w:rsidP="00A03C0E">
            <w:pPr>
              <w:spacing w:after="0" w:line="240" w:lineRule="auto"/>
              <w:jc w:val="center"/>
              <w:rPr>
                <w:rFonts w:ascii="Arial" w:eastAsia="Times New Roman" w:hAnsi="Arial" w:cs="Arial"/>
                <w:b/>
                <w:color w:val="FFFFFF"/>
                <w:sz w:val="18"/>
                <w:szCs w:val="18"/>
              </w:rPr>
            </w:pPr>
            <w:r w:rsidRPr="00FA63C0">
              <w:rPr>
                <w:rFonts w:ascii="Arial" w:eastAsia="Times New Roman" w:hAnsi="Arial" w:cs="Arial"/>
                <w:b/>
                <w:color w:val="FFFFFF"/>
                <w:sz w:val="18"/>
                <w:szCs w:val="18"/>
              </w:rPr>
              <w:t>Aggregate Load Impact (MW)</w:t>
            </w:r>
          </w:p>
        </w:tc>
        <w:tc>
          <w:tcPr>
            <w:tcW w:w="550" w:type="pct"/>
            <w:tcBorders>
              <w:top w:val="nil"/>
              <w:left w:val="nil"/>
              <w:bottom w:val="nil"/>
              <w:right w:val="single" w:sz="4" w:space="0" w:color="FFFFFF"/>
            </w:tcBorders>
            <w:shd w:val="clear" w:color="000000" w:fill="1F497D"/>
            <w:tcMar>
              <w:left w:w="29" w:type="dxa"/>
              <w:right w:w="29" w:type="dxa"/>
            </w:tcMar>
            <w:vAlign w:val="bottom"/>
            <w:hideMark/>
          </w:tcPr>
          <w:p w:rsidR="00FA63C0" w:rsidRPr="00FA63C0" w:rsidRDefault="00FA63C0" w:rsidP="00A03C0E">
            <w:pPr>
              <w:spacing w:after="0" w:line="240" w:lineRule="auto"/>
              <w:jc w:val="center"/>
              <w:rPr>
                <w:rFonts w:ascii="Arial" w:eastAsia="Times New Roman" w:hAnsi="Arial" w:cs="Arial"/>
                <w:b/>
                <w:color w:val="FFFFFF"/>
                <w:sz w:val="18"/>
                <w:szCs w:val="18"/>
              </w:rPr>
            </w:pPr>
            <w:r w:rsidRPr="00FA63C0">
              <w:rPr>
                <w:rFonts w:ascii="Arial" w:eastAsia="Times New Roman" w:hAnsi="Arial" w:cs="Arial"/>
                <w:b/>
                <w:color w:val="FFFFFF"/>
                <w:sz w:val="18"/>
                <w:szCs w:val="18"/>
              </w:rPr>
              <w:t>Nominated Accts</w:t>
            </w:r>
          </w:p>
        </w:tc>
        <w:tc>
          <w:tcPr>
            <w:tcW w:w="492" w:type="pct"/>
            <w:tcBorders>
              <w:top w:val="nil"/>
              <w:left w:val="nil"/>
              <w:bottom w:val="nil"/>
              <w:right w:val="single" w:sz="4" w:space="0" w:color="FFFFFF"/>
            </w:tcBorders>
            <w:shd w:val="clear" w:color="000000" w:fill="1F497D"/>
            <w:tcMar>
              <w:left w:w="29" w:type="dxa"/>
              <w:right w:w="29" w:type="dxa"/>
            </w:tcMar>
            <w:vAlign w:val="bottom"/>
            <w:hideMark/>
          </w:tcPr>
          <w:p w:rsidR="00FA63C0" w:rsidRPr="00FA63C0" w:rsidRDefault="00FA63C0" w:rsidP="00A03C0E">
            <w:pPr>
              <w:spacing w:after="0" w:line="240" w:lineRule="auto"/>
              <w:jc w:val="center"/>
              <w:rPr>
                <w:rFonts w:ascii="Arial" w:eastAsia="Times New Roman" w:hAnsi="Arial" w:cs="Arial"/>
                <w:b/>
                <w:color w:val="FFFFFF"/>
                <w:sz w:val="18"/>
                <w:szCs w:val="18"/>
              </w:rPr>
            </w:pPr>
            <w:r w:rsidRPr="00FA63C0">
              <w:rPr>
                <w:rFonts w:ascii="Arial" w:eastAsia="Times New Roman" w:hAnsi="Arial" w:cs="Arial"/>
                <w:b/>
                <w:color w:val="FFFFFF"/>
                <w:sz w:val="18"/>
                <w:szCs w:val="18"/>
              </w:rPr>
              <w:t>Load Impact per Acct (kW)</w:t>
            </w:r>
          </w:p>
        </w:tc>
        <w:tc>
          <w:tcPr>
            <w:tcW w:w="486" w:type="pct"/>
            <w:tcBorders>
              <w:top w:val="nil"/>
              <w:left w:val="nil"/>
              <w:bottom w:val="nil"/>
              <w:right w:val="single" w:sz="4" w:space="0" w:color="FFFFFF"/>
            </w:tcBorders>
            <w:shd w:val="clear" w:color="000000" w:fill="1F497D"/>
            <w:tcMar>
              <w:left w:w="29" w:type="dxa"/>
              <w:right w:w="29" w:type="dxa"/>
            </w:tcMar>
            <w:vAlign w:val="bottom"/>
            <w:hideMark/>
          </w:tcPr>
          <w:p w:rsidR="00FA63C0" w:rsidRPr="00FA63C0" w:rsidRDefault="00FA63C0" w:rsidP="00A03C0E">
            <w:pPr>
              <w:spacing w:after="0" w:line="240" w:lineRule="auto"/>
              <w:jc w:val="center"/>
              <w:rPr>
                <w:rFonts w:ascii="Arial" w:eastAsia="Times New Roman" w:hAnsi="Arial" w:cs="Arial"/>
                <w:b/>
                <w:color w:val="FFFFFF"/>
                <w:sz w:val="18"/>
                <w:szCs w:val="18"/>
              </w:rPr>
            </w:pPr>
            <w:r w:rsidRPr="00FA63C0">
              <w:rPr>
                <w:rFonts w:ascii="Arial" w:eastAsia="Times New Roman" w:hAnsi="Arial" w:cs="Arial"/>
                <w:b/>
                <w:color w:val="FFFFFF"/>
                <w:sz w:val="18"/>
                <w:szCs w:val="18"/>
              </w:rPr>
              <w:t>% Load Reduction</w:t>
            </w:r>
          </w:p>
        </w:tc>
      </w:tr>
      <w:tr w:rsidR="00FA63C0" w:rsidRPr="00B16AB3" w:rsidTr="00FA63C0">
        <w:trPr>
          <w:trHeight w:val="432"/>
        </w:trPr>
        <w:tc>
          <w:tcPr>
            <w:tcW w:w="212" w:type="pct"/>
            <w:vMerge w:val="restart"/>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Size</w:t>
            </w:r>
          </w:p>
        </w:tc>
        <w:tc>
          <w:tcPr>
            <w:tcW w:w="895"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Greater than 200 kW</w:t>
            </w:r>
          </w:p>
        </w:tc>
        <w:tc>
          <w:tcPr>
            <w:tcW w:w="491"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13.4</w:t>
            </w:r>
          </w:p>
        </w:tc>
        <w:tc>
          <w:tcPr>
            <w:tcW w:w="512"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33.0</w:t>
            </w:r>
          </w:p>
        </w:tc>
        <w:tc>
          <w:tcPr>
            <w:tcW w:w="385"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715.3</w:t>
            </w:r>
          </w:p>
        </w:tc>
        <w:tc>
          <w:tcPr>
            <w:tcW w:w="486"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56.6%</w:t>
            </w:r>
          </w:p>
        </w:tc>
        <w:tc>
          <w:tcPr>
            <w:tcW w:w="491"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10.8</w:t>
            </w:r>
          </w:p>
        </w:tc>
        <w:tc>
          <w:tcPr>
            <w:tcW w:w="550"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194.0</w:t>
            </w:r>
          </w:p>
        </w:tc>
        <w:tc>
          <w:tcPr>
            <w:tcW w:w="492"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291.1</w:t>
            </w:r>
          </w:p>
        </w:tc>
        <w:tc>
          <w:tcPr>
            <w:tcW w:w="486" w:type="pct"/>
            <w:tcBorders>
              <w:top w:val="single" w:sz="4" w:space="0" w:color="auto"/>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19.1%</w:t>
            </w:r>
          </w:p>
        </w:tc>
      </w:tr>
      <w:tr w:rsidR="00FA63C0" w:rsidRPr="00B16AB3" w:rsidTr="00FA63C0">
        <w:trPr>
          <w:trHeight w:val="432"/>
        </w:trPr>
        <w:tc>
          <w:tcPr>
            <w:tcW w:w="212" w:type="pct"/>
            <w:vMerge/>
            <w:tcBorders>
              <w:top w:val="nil"/>
              <w:left w:val="single" w:sz="4" w:space="0" w:color="auto"/>
              <w:bottom w:val="single" w:sz="4" w:space="0" w:color="auto"/>
              <w:right w:val="single" w:sz="4" w:space="0" w:color="auto"/>
            </w:tcBorders>
            <w:tcMar>
              <w:left w:w="29" w:type="dxa"/>
              <w:right w:w="29" w:type="dxa"/>
            </w:tcMar>
            <w:vAlign w:val="center"/>
            <w:hideMark/>
          </w:tcPr>
          <w:p w:rsidR="00B16AB3" w:rsidRPr="00B16AB3" w:rsidRDefault="00B16AB3" w:rsidP="00B16AB3">
            <w:pPr>
              <w:spacing w:after="0" w:line="240" w:lineRule="auto"/>
              <w:rPr>
                <w:rFonts w:ascii="Arial" w:eastAsia="Times New Roman" w:hAnsi="Arial" w:cs="Arial"/>
                <w:color w:val="000000"/>
                <w:sz w:val="18"/>
                <w:szCs w:val="18"/>
              </w:rPr>
            </w:pPr>
          </w:p>
        </w:tc>
        <w:tc>
          <w:tcPr>
            <w:tcW w:w="895"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20 kW to 199.99 kW</w:t>
            </w:r>
          </w:p>
        </w:tc>
        <w:tc>
          <w:tcPr>
            <w:tcW w:w="491"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21.0</w:t>
            </w:r>
          </w:p>
        </w:tc>
        <w:tc>
          <w:tcPr>
            <w:tcW w:w="385"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44.0</w:t>
            </w:r>
          </w:p>
        </w:tc>
        <w:tc>
          <w:tcPr>
            <w:tcW w:w="48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4.2%</w:t>
            </w:r>
          </w:p>
        </w:tc>
        <w:tc>
          <w:tcPr>
            <w:tcW w:w="491"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1.8</w:t>
            </w:r>
          </w:p>
        </w:tc>
        <w:tc>
          <w:tcPr>
            <w:tcW w:w="550"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142.0</w:t>
            </w:r>
          </w:p>
        </w:tc>
        <w:tc>
          <w:tcPr>
            <w:tcW w:w="49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144.2</w:t>
            </w:r>
          </w:p>
        </w:tc>
        <w:tc>
          <w:tcPr>
            <w:tcW w:w="48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8.9%</w:t>
            </w:r>
          </w:p>
        </w:tc>
      </w:tr>
      <w:tr w:rsidR="00FA63C0" w:rsidRPr="00B16AB3" w:rsidTr="00FA63C0">
        <w:trPr>
          <w:trHeight w:val="432"/>
        </w:trPr>
        <w:tc>
          <w:tcPr>
            <w:tcW w:w="212" w:type="pct"/>
            <w:vMerge/>
            <w:tcBorders>
              <w:top w:val="nil"/>
              <w:left w:val="single" w:sz="4" w:space="0" w:color="auto"/>
              <w:bottom w:val="single" w:sz="4" w:space="0" w:color="auto"/>
              <w:right w:val="single" w:sz="4" w:space="0" w:color="auto"/>
            </w:tcBorders>
            <w:tcMar>
              <w:left w:w="29" w:type="dxa"/>
              <w:right w:w="29" w:type="dxa"/>
            </w:tcMar>
            <w:vAlign w:val="center"/>
            <w:hideMark/>
          </w:tcPr>
          <w:p w:rsidR="00B16AB3" w:rsidRPr="00B16AB3" w:rsidRDefault="00B16AB3" w:rsidP="00B16AB3">
            <w:pPr>
              <w:spacing w:after="0" w:line="240" w:lineRule="auto"/>
              <w:rPr>
                <w:rFonts w:ascii="Arial" w:eastAsia="Times New Roman" w:hAnsi="Arial" w:cs="Arial"/>
                <w:color w:val="000000"/>
                <w:sz w:val="18"/>
                <w:szCs w:val="18"/>
              </w:rPr>
            </w:pPr>
          </w:p>
        </w:tc>
        <w:tc>
          <w:tcPr>
            <w:tcW w:w="895"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Less than 20 kW</w:t>
            </w:r>
          </w:p>
        </w:tc>
        <w:tc>
          <w:tcPr>
            <w:tcW w:w="491"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0.0</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0</w:t>
            </w:r>
          </w:p>
        </w:tc>
        <w:tc>
          <w:tcPr>
            <w:tcW w:w="385"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0.0</w:t>
            </w:r>
          </w:p>
        </w:tc>
        <w:tc>
          <w:tcPr>
            <w:tcW w:w="48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0.0%</w:t>
            </w:r>
          </w:p>
        </w:tc>
        <w:tc>
          <w:tcPr>
            <w:tcW w:w="491"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0.0</w:t>
            </w:r>
          </w:p>
        </w:tc>
        <w:tc>
          <w:tcPr>
            <w:tcW w:w="550"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3.0</w:t>
            </w:r>
          </w:p>
        </w:tc>
        <w:tc>
          <w:tcPr>
            <w:tcW w:w="49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14.2</w:t>
            </w:r>
          </w:p>
        </w:tc>
        <w:tc>
          <w:tcPr>
            <w:tcW w:w="48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13.3%</w:t>
            </w:r>
          </w:p>
        </w:tc>
      </w:tr>
      <w:tr w:rsidR="00B16AB3" w:rsidRPr="00B16AB3" w:rsidTr="00FA63C0">
        <w:trPr>
          <w:trHeight w:val="432"/>
        </w:trPr>
        <w:tc>
          <w:tcPr>
            <w:tcW w:w="1107" w:type="pct"/>
            <w:gridSpan w:val="2"/>
            <w:tcBorders>
              <w:top w:val="single" w:sz="4" w:space="0" w:color="auto"/>
              <w:left w:val="single" w:sz="4" w:space="0" w:color="auto"/>
              <w:bottom w:val="single" w:sz="4" w:space="0" w:color="auto"/>
              <w:right w:val="single" w:sz="4" w:space="0" w:color="000000"/>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All Customers</w:t>
            </w:r>
          </w:p>
        </w:tc>
        <w:tc>
          <w:tcPr>
            <w:tcW w:w="491"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12.7</w:t>
            </w:r>
          </w:p>
        </w:tc>
        <w:tc>
          <w:tcPr>
            <w:tcW w:w="51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54.0</w:t>
            </w:r>
          </w:p>
        </w:tc>
        <w:tc>
          <w:tcPr>
            <w:tcW w:w="385"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454.3</w:t>
            </w:r>
          </w:p>
        </w:tc>
        <w:tc>
          <w:tcPr>
            <w:tcW w:w="48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52.0%</w:t>
            </w:r>
          </w:p>
        </w:tc>
        <w:tc>
          <w:tcPr>
            <w:tcW w:w="491"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12.3</w:t>
            </w:r>
          </w:p>
        </w:tc>
        <w:tc>
          <w:tcPr>
            <w:tcW w:w="550"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338.0</w:t>
            </w:r>
          </w:p>
        </w:tc>
        <w:tc>
          <w:tcPr>
            <w:tcW w:w="492"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224.6</w:t>
            </w:r>
          </w:p>
        </w:tc>
        <w:tc>
          <w:tcPr>
            <w:tcW w:w="486" w:type="pct"/>
            <w:tcBorders>
              <w:top w:val="nil"/>
              <w:left w:val="nil"/>
              <w:bottom w:val="single" w:sz="4" w:space="0" w:color="auto"/>
              <w:right w:val="single" w:sz="4" w:space="0" w:color="auto"/>
            </w:tcBorders>
            <w:shd w:val="clear" w:color="auto" w:fill="auto"/>
            <w:noWrap/>
            <w:tcMar>
              <w:left w:w="29" w:type="dxa"/>
              <w:right w:w="29" w:type="dxa"/>
            </w:tcMar>
            <w:vAlign w:val="center"/>
            <w:hideMark/>
          </w:tcPr>
          <w:p w:rsidR="00B16AB3" w:rsidRPr="00B16AB3" w:rsidRDefault="00B16AB3" w:rsidP="00B16AB3">
            <w:pPr>
              <w:spacing w:after="0" w:line="240" w:lineRule="auto"/>
              <w:jc w:val="center"/>
              <w:rPr>
                <w:rFonts w:ascii="Arial" w:eastAsia="Times New Roman" w:hAnsi="Arial" w:cs="Arial"/>
                <w:color w:val="000000"/>
                <w:sz w:val="18"/>
                <w:szCs w:val="18"/>
              </w:rPr>
            </w:pPr>
            <w:r w:rsidRPr="00B16AB3">
              <w:rPr>
                <w:rFonts w:ascii="Arial" w:eastAsia="Times New Roman" w:hAnsi="Arial" w:cs="Arial"/>
                <w:color w:val="000000"/>
                <w:sz w:val="18"/>
                <w:szCs w:val="18"/>
              </w:rPr>
              <w:t>16.2%</w:t>
            </w:r>
          </w:p>
        </w:tc>
      </w:tr>
    </w:tbl>
    <w:p w:rsidR="002070AB" w:rsidRDefault="002070AB" w:rsidP="002070AB">
      <w:pPr>
        <w:pStyle w:val="BodyParagraph"/>
      </w:pPr>
    </w:p>
    <w:p w:rsidR="00CD184B" w:rsidRDefault="00CD184B" w:rsidP="00CD184B">
      <w:pPr>
        <w:pStyle w:val="Heading2"/>
      </w:pPr>
      <w:bookmarkStart w:id="411" w:name="_Toc326074047"/>
      <w:r>
        <w:rPr>
          <w:rStyle w:val="Heading2Char"/>
        </w:rPr>
        <w:t>Comparison with Previous Ex Ante Estimates</w:t>
      </w:r>
      <w:bookmarkEnd w:id="411"/>
    </w:p>
    <w:p w:rsidR="00CD184B" w:rsidRDefault="00CD184B" w:rsidP="00CD184B">
      <w:pPr>
        <w:pStyle w:val="BodyParagraph"/>
      </w:pPr>
      <w:r>
        <w:t xml:space="preserve">In 2011, Christensen Associates Energy Consulting produced ex ante load impact estimates for </w:t>
      </w:r>
      <w:r w:rsidR="006C6F3A">
        <w:t>SD</w:t>
      </w:r>
      <w:r>
        <w:t xml:space="preserve">G&amp;E’s CBP programs.  </w:t>
      </w:r>
      <w:r w:rsidR="00C61D83">
        <w:fldChar w:fldCharType="begin"/>
      </w:r>
      <w:r w:rsidR="006C6F3A">
        <w:instrText xml:space="preserve"> REF _Ref325457782 \h </w:instrText>
      </w:r>
      <w:r w:rsidR="00C61D83">
        <w:fldChar w:fldCharType="separate"/>
      </w:r>
      <w:r w:rsidR="00F66D5E" w:rsidRPr="0038124C">
        <w:t xml:space="preserve">Table </w:t>
      </w:r>
      <w:r w:rsidR="00F66D5E">
        <w:rPr>
          <w:noProof/>
        </w:rPr>
        <w:t>9</w:t>
      </w:r>
      <w:r w:rsidR="00F66D5E">
        <w:noBreakHyphen/>
      </w:r>
      <w:r w:rsidR="00F66D5E">
        <w:rPr>
          <w:noProof/>
        </w:rPr>
        <w:t>5</w:t>
      </w:r>
      <w:r w:rsidR="00C61D83">
        <w:fldChar w:fldCharType="end"/>
      </w:r>
      <w:r w:rsidR="006C6F3A">
        <w:t xml:space="preserve"> </w:t>
      </w:r>
      <w:r>
        <w:t>compares CAEC’s ex ante load impact estimates to those developed by FSC this year</w:t>
      </w:r>
      <w:r w:rsidR="005C62C2">
        <w:t xml:space="preserve"> for a 1-in-2 weather year in 2012</w:t>
      </w:r>
      <w:r w:rsidR="006C6F3A">
        <w:t xml:space="preserve">.  </w:t>
      </w:r>
      <w:r w:rsidR="005C5E11">
        <w:t xml:space="preserve">The aggregate impacts for </w:t>
      </w:r>
      <w:proofErr w:type="gramStart"/>
      <w:r w:rsidR="005C5E11">
        <w:t>2012 ,</w:t>
      </w:r>
      <w:proofErr w:type="gramEnd"/>
      <w:r w:rsidR="005C5E11">
        <w:t xml:space="preserve"> 25.0 MW, are similar to those produced last year, 22.7 MW.  However, the project nominations and demand reductions per customer differ. The differences reflect actual changes in enrollment observed in the past year.  In general, SDG&amp;E has retained the demand reductions from its larger customers and sustained its overall load reduction capability despite changes in the underlying customer mix.  </w:t>
      </w:r>
    </w:p>
    <w:p w:rsidR="005C5E11" w:rsidRDefault="005C5E11" w:rsidP="00CD184B">
      <w:pPr>
        <w:pStyle w:val="BodyParagraph"/>
      </w:pPr>
      <w:r>
        <w:br w:type="column"/>
      </w:r>
    </w:p>
    <w:p w:rsidR="006C6F3A" w:rsidRDefault="006C6F3A" w:rsidP="006C6F3A">
      <w:pPr>
        <w:pStyle w:val="TableFigureCaption"/>
      </w:pPr>
      <w:bookmarkStart w:id="412" w:name="_Ref325457782"/>
      <w:r w:rsidRPr="0038124C">
        <w:t xml:space="preserve">Table </w:t>
      </w:r>
      <w:fldSimple w:instr=" STYLEREF 1 \s ">
        <w:r w:rsidR="00F66D5E">
          <w:rPr>
            <w:noProof/>
          </w:rPr>
          <w:t>9</w:t>
        </w:r>
      </w:fldSimple>
      <w:r w:rsidR="00F55000">
        <w:noBreakHyphen/>
      </w:r>
      <w:fldSimple w:instr=" SEQ Table \* ARABIC \s 1 ">
        <w:r w:rsidR="00F66D5E">
          <w:rPr>
            <w:noProof/>
          </w:rPr>
          <w:t>5</w:t>
        </w:r>
      </w:fldSimple>
      <w:bookmarkEnd w:id="412"/>
      <w:r w:rsidRPr="0038124C">
        <w:t>:</w:t>
      </w:r>
    </w:p>
    <w:p w:rsidR="00CD184B" w:rsidRPr="006827F3" w:rsidRDefault="006C6F3A" w:rsidP="00CD184B">
      <w:pPr>
        <w:pStyle w:val="TableFigureCaption"/>
        <w:rPr>
          <w:bCs/>
        </w:rPr>
      </w:pPr>
      <w:r>
        <w:t xml:space="preserve">Comparison of </w:t>
      </w:r>
      <w:r w:rsidR="00CD184B" w:rsidRPr="00D666BC">
        <w:t xml:space="preserve">2012 </w:t>
      </w:r>
      <w:r w:rsidR="00A31B37">
        <w:t xml:space="preserve">August Monthly </w:t>
      </w:r>
      <w:r w:rsidR="00CD184B" w:rsidRPr="00D666BC">
        <w:t>Ex</w:t>
      </w:r>
      <w:r w:rsidR="00CD184B" w:rsidRPr="0038124C">
        <w:t xml:space="preserve"> Ante </w:t>
      </w:r>
      <w:r w:rsidR="00CD184B">
        <w:t>Loa</w:t>
      </w:r>
      <w:r>
        <w:t>d Impact Estimates for SDG&amp;</w:t>
      </w:r>
      <w:r w:rsidR="00CD184B">
        <w:t>E</w:t>
      </w:r>
    </w:p>
    <w:tbl>
      <w:tblPr>
        <w:tblW w:w="7180" w:type="dxa"/>
        <w:jc w:val="center"/>
        <w:tblInd w:w="95" w:type="dxa"/>
        <w:tblLook w:val="04A0"/>
      </w:tblPr>
      <w:tblGrid>
        <w:gridCol w:w="1120"/>
        <w:gridCol w:w="1060"/>
        <w:gridCol w:w="1040"/>
        <w:gridCol w:w="1060"/>
        <w:gridCol w:w="960"/>
        <w:gridCol w:w="960"/>
        <w:gridCol w:w="980"/>
      </w:tblGrid>
      <w:tr w:rsidR="00603093" w:rsidRPr="00603093" w:rsidTr="00603093">
        <w:trPr>
          <w:trHeight w:val="264"/>
          <w:jc w:val="center"/>
        </w:trPr>
        <w:tc>
          <w:tcPr>
            <w:tcW w:w="1120" w:type="dxa"/>
            <w:vMerge w:val="restart"/>
            <w:tcBorders>
              <w:top w:val="nil"/>
              <w:left w:val="nil"/>
              <w:bottom w:val="single" w:sz="4" w:space="0" w:color="FFFFFF"/>
              <w:right w:val="single" w:sz="4" w:space="0" w:color="FFFFFF"/>
            </w:tcBorders>
            <w:shd w:val="clear" w:color="000000" w:fill="1F497D"/>
            <w:noWrap/>
            <w:vAlign w:val="bottom"/>
            <w:hideMark/>
          </w:tcPr>
          <w:p w:rsidR="00603093" w:rsidRPr="00603093" w:rsidRDefault="00603093" w:rsidP="00F66D5E">
            <w:pPr>
              <w:pStyle w:val="TableHeader"/>
              <w:rPr>
                <w:rFonts w:eastAsia="Times New Roman"/>
              </w:rPr>
            </w:pPr>
            <w:r w:rsidRPr="00603093">
              <w:rPr>
                <w:rFonts w:eastAsia="Times New Roman"/>
              </w:rPr>
              <w:t>Program</w:t>
            </w:r>
          </w:p>
        </w:tc>
        <w:tc>
          <w:tcPr>
            <w:tcW w:w="2100" w:type="dxa"/>
            <w:gridSpan w:val="2"/>
            <w:tcBorders>
              <w:top w:val="nil"/>
              <w:left w:val="nil"/>
              <w:bottom w:val="single" w:sz="4" w:space="0" w:color="FFFFFF"/>
              <w:right w:val="nil"/>
            </w:tcBorders>
            <w:shd w:val="clear" w:color="000000" w:fill="1F497D"/>
            <w:vAlign w:val="bottom"/>
            <w:hideMark/>
          </w:tcPr>
          <w:p w:rsidR="00603093" w:rsidRPr="00603093" w:rsidRDefault="00603093" w:rsidP="00F66D5E">
            <w:pPr>
              <w:pStyle w:val="TableHeader"/>
              <w:rPr>
                <w:rFonts w:eastAsia="Times New Roman"/>
              </w:rPr>
            </w:pPr>
            <w:r w:rsidRPr="00603093">
              <w:rPr>
                <w:rFonts w:eastAsia="Times New Roman"/>
              </w:rPr>
              <w:t>Per Customer Impacts (kW)</w:t>
            </w:r>
          </w:p>
        </w:tc>
        <w:tc>
          <w:tcPr>
            <w:tcW w:w="2020" w:type="dxa"/>
            <w:gridSpan w:val="2"/>
            <w:tcBorders>
              <w:top w:val="nil"/>
              <w:left w:val="single" w:sz="4" w:space="0" w:color="FFFFFF"/>
              <w:bottom w:val="single" w:sz="4" w:space="0" w:color="FFFFFF"/>
              <w:right w:val="single" w:sz="4" w:space="0" w:color="FFFFFF"/>
            </w:tcBorders>
            <w:shd w:val="clear" w:color="000000" w:fill="1F497D"/>
            <w:vAlign w:val="bottom"/>
            <w:hideMark/>
          </w:tcPr>
          <w:p w:rsidR="00603093" w:rsidRPr="00603093" w:rsidRDefault="00603093" w:rsidP="00F66D5E">
            <w:pPr>
              <w:pStyle w:val="TableHeader"/>
              <w:rPr>
                <w:rFonts w:eastAsia="Times New Roman"/>
              </w:rPr>
            </w:pPr>
            <w:r w:rsidRPr="00603093">
              <w:rPr>
                <w:rFonts w:eastAsia="Times New Roman"/>
              </w:rPr>
              <w:t>Nominat</w:t>
            </w:r>
            <w:r w:rsidR="00A31B37">
              <w:rPr>
                <w:rFonts w:eastAsia="Times New Roman"/>
              </w:rPr>
              <w:t>ed Accts</w:t>
            </w:r>
          </w:p>
        </w:tc>
        <w:tc>
          <w:tcPr>
            <w:tcW w:w="1940" w:type="dxa"/>
            <w:gridSpan w:val="2"/>
            <w:tcBorders>
              <w:top w:val="nil"/>
              <w:left w:val="nil"/>
              <w:bottom w:val="single" w:sz="4" w:space="0" w:color="FFFFFF"/>
              <w:right w:val="nil"/>
            </w:tcBorders>
            <w:shd w:val="clear" w:color="000000" w:fill="1F497D"/>
            <w:vAlign w:val="bottom"/>
            <w:hideMark/>
          </w:tcPr>
          <w:p w:rsidR="00603093" w:rsidRPr="00603093" w:rsidRDefault="00603093" w:rsidP="00F66D5E">
            <w:pPr>
              <w:pStyle w:val="TableHeader"/>
              <w:rPr>
                <w:rFonts w:eastAsia="Times New Roman"/>
              </w:rPr>
            </w:pPr>
            <w:r w:rsidRPr="00603093">
              <w:rPr>
                <w:rFonts w:eastAsia="Times New Roman"/>
              </w:rPr>
              <w:t>Aggregate Impacts (MW)</w:t>
            </w:r>
          </w:p>
        </w:tc>
      </w:tr>
      <w:tr w:rsidR="00603093" w:rsidRPr="00603093" w:rsidTr="00603093">
        <w:trPr>
          <w:trHeight w:val="528"/>
          <w:jc w:val="center"/>
        </w:trPr>
        <w:tc>
          <w:tcPr>
            <w:tcW w:w="1120" w:type="dxa"/>
            <w:vMerge/>
            <w:tcBorders>
              <w:top w:val="nil"/>
              <w:left w:val="nil"/>
              <w:bottom w:val="single" w:sz="4" w:space="0" w:color="FFFFFF"/>
              <w:right w:val="single" w:sz="4" w:space="0" w:color="FFFFFF"/>
            </w:tcBorders>
            <w:vAlign w:val="center"/>
            <w:hideMark/>
          </w:tcPr>
          <w:p w:rsidR="00603093" w:rsidRPr="00603093" w:rsidRDefault="00603093" w:rsidP="00F66D5E">
            <w:pPr>
              <w:pStyle w:val="TableHeader"/>
              <w:rPr>
                <w:rFonts w:eastAsia="Times New Roman"/>
              </w:rPr>
            </w:pPr>
          </w:p>
        </w:tc>
        <w:tc>
          <w:tcPr>
            <w:tcW w:w="1060" w:type="dxa"/>
            <w:tcBorders>
              <w:top w:val="nil"/>
              <w:left w:val="nil"/>
              <w:bottom w:val="nil"/>
              <w:right w:val="single" w:sz="4" w:space="0" w:color="FFFFFF"/>
            </w:tcBorders>
            <w:shd w:val="clear" w:color="000000" w:fill="1F497D"/>
            <w:vAlign w:val="bottom"/>
            <w:hideMark/>
          </w:tcPr>
          <w:p w:rsidR="00603093" w:rsidRPr="00603093" w:rsidRDefault="00603093" w:rsidP="00F66D5E">
            <w:pPr>
              <w:pStyle w:val="TableHeader"/>
              <w:rPr>
                <w:rFonts w:eastAsia="Times New Roman"/>
              </w:rPr>
            </w:pPr>
            <w:r w:rsidRPr="00603093">
              <w:rPr>
                <w:rFonts w:eastAsia="Times New Roman"/>
              </w:rPr>
              <w:t>2010 CAEC</w:t>
            </w:r>
          </w:p>
        </w:tc>
        <w:tc>
          <w:tcPr>
            <w:tcW w:w="1040" w:type="dxa"/>
            <w:tcBorders>
              <w:top w:val="nil"/>
              <w:left w:val="nil"/>
              <w:bottom w:val="nil"/>
              <w:right w:val="single" w:sz="4" w:space="0" w:color="FFFFFF"/>
            </w:tcBorders>
            <w:shd w:val="clear" w:color="000000" w:fill="1F497D"/>
            <w:noWrap/>
            <w:vAlign w:val="bottom"/>
            <w:hideMark/>
          </w:tcPr>
          <w:p w:rsidR="00603093" w:rsidRPr="00603093" w:rsidRDefault="00603093" w:rsidP="00F66D5E">
            <w:pPr>
              <w:pStyle w:val="TableHeader"/>
              <w:rPr>
                <w:rFonts w:eastAsia="Times New Roman"/>
              </w:rPr>
            </w:pPr>
            <w:r w:rsidRPr="00603093">
              <w:rPr>
                <w:rFonts w:eastAsia="Times New Roman"/>
              </w:rPr>
              <w:t>2011 FSC</w:t>
            </w:r>
          </w:p>
        </w:tc>
        <w:tc>
          <w:tcPr>
            <w:tcW w:w="1060" w:type="dxa"/>
            <w:tcBorders>
              <w:top w:val="nil"/>
              <w:left w:val="nil"/>
              <w:bottom w:val="nil"/>
              <w:right w:val="single" w:sz="4" w:space="0" w:color="FFFFFF"/>
            </w:tcBorders>
            <w:shd w:val="clear" w:color="000000" w:fill="1F497D"/>
            <w:vAlign w:val="bottom"/>
            <w:hideMark/>
          </w:tcPr>
          <w:p w:rsidR="00603093" w:rsidRPr="00603093" w:rsidRDefault="00603093" w:rsidP="00F66D5E">
            <w:pPr>
              <w:pStyle w:val="TableHeader"/>
              <w:rPr>
                <w:rFonts w:eastAsia="Times New Roman"/>
              </w:rPr>
            </w:pPr>
            <w:r w:rsidRPr="00603093">
              <w:rPr>
                <w:rFonts w:eastAsia="Times New Roman"/>
              </w:rPr>
              <w:t>2010 CAEC</w:t>
            </w:r>
          </w:p>
        </w:tc>
        <w:tc>
          <w:tcPr>
            <w:tcW w:w="960" w:type="dxa"/>
            <w:tcBorders>
              <w:top w:val="nil"/>
              <w:left w:val="nil"/>
              <w:bottom w:val="nil"/>
              <w:right w:val="single" w:sz="4" w:space="0" w:color="FFFFFF"/>
            </w:tcBorders>
            <w:shd w:val="clear" w:color="000000" w:fill="1F497D"/>
            <w:noWrap/>
            <w:vAlign w:val="bottom"/>
            <w:hideMark/>
          </w:tcPr>
          <w:p w:rsidR="00603093" w:rsidRPr="00603093" w:rsidRDefault="00603093" w:rsidP="00F66D5E">
            <w:pPr>
              <w:pStyle w:val="TableHeader"/>
              <w:rPr>
                <w:rFonts w:eastAsia="Times New Roman"/>
              </w:rPr>
            </w:pPr>
            <w:r w:rsidRPr="00603093">
              <w:rPr>
                <w:rFonts w:eastAsia="Times New Roman"/>
              </w:rPr>
              <w:t>2011 FSC</w:t>
            </w:r>
          </w:p>
        </w:tc>
        <w:tc>
          <w:tcPr>
            <w:tcW w:w="960" w:type="dxa"/>
            <w:tcBorders>
              <w:top w:val="nil"/>
              <w:left w:val="nil"/>
              <w:bottom w:val="nil"/>
              <w:right w:val="single" w:sz="4" w:space="0" w:color="FFFFFF"/>
            </w:tcBorders>
            <w:shd w:val="clear" w:color="000000" w:fill="1F497D"/>
            <w:vAlign w:val="bottom"/>
            <w:hideMark/>
          </w:tcPr>
          <w:p w:rsidR="00603093" w:rsidRPr="00603093" w:rsidRDefault="00603093" w:rsidP="00F66D5E">
            <w:pPr>
              <w:pStyle w:val="TableHeader"/>
              <w:rPr>
                <w:rFonts w:eastAsia="Times New Roman"/>
              </w:rPr>
            </w:pPr>
            <w:r w:rsidRPr="00603093">
              <w:rPr>
                <w:rFonts w:eastAsia="Times New Roman"/>
              </w:rPr>
              <w:t>2010 CAEC</w:t>
            </w:r>
          </w:p>
        </w:tc>
        <w:tc>
          <w:tcPr>
            <w:tcW w:w="980" w:type="dxa"/>
            <w:tcBorders>
              <w:top w:val="nil"/>
              <w:left w:val="nil"/>
              <w:bottom w:val="nil"/>
              <w:right w:val="single" w:sz="4" w:space="0" w:color="FFFFFF"/>
            </w:tcBorders>
            <w:shd w:val="clear" w:color="000000" w:fill="1F497D"/>
            <w:noWrap/>
            <w:vAlign w:val="bottom"/>
            <w:hideMark/>
          </w:tcPr>
          <w:p w:rsidR="00603093" w:rsidRPr="00603093" w:rsidRDefault="00603093" w:rsidP="00F66D5E">
            <w:pPr>
              <w:pStyle w:val="TableHeader"/>
              <w:rPr>
                <w:rFonts w:eastAsia="Times New Roman"/>
              </w:rPr>
            </w:pPr>
            <w:r w:rsidRPr="00603093">
              <w:rPr>
                <w:rFonts w:eastAsia="Times New Roman"/>
              </w:rPr>
              <w:t>2011 FSC</w:t>
            </w:r>
          </w:p>
        </w:tc>
      </w:tr>
      <w:tr w:rsidR="00603093" w:rsidRPr="00603093" w:rsidTr="00603093">
        <w:trPr>
          <w:trHeight w:val="264"/>
          <w:jc w:val="center"/>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3093" w:rsidRPr="00603093" w:rsidRDefault="00603093" w:rsidP="00F66D5E">
            <w:pPr>
              <w:pStyle w:val="TableText"/>
              <w:rPr>
                <w:rFonts w:eastAsia="Times New Roman"/>
              </w:rPr>
            </w:pPr>
            <w:r w:rsidRPr="00603093">
              <w:rPr>
                <w:rFonts w:eastAsia="Times New Roman"/>
              </w:rPr>
              <w:t>CBP</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F66D5E">
            <w:pPr>
              <w:pStyle w:val="TableText"/>
              <w:rPr>
                <w:rFonts w:eastAsia="Times New Roman"/>
              </w:rPr>
            </w:pPr>
            <w:r w:rsidRPr="00603093">
              <w:rPr>
                <w:rFonts w:eastAsia="Times New Roman"/>
              </w:rPr>
              <w:t>44.5</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F66D5E">
            <w:pPr>
              <w:pStyle w:val="TableText"/>
              <w:rPr>
                <w:rFonts w:eastAsia="Times New Roman"/>
              </w:rPr>
            </w:pPr>
            <w:r w:rsidRPr="00603093">
              <w:rPr>
                <w:rFonts w:eastAsia="Times New Roman"/>
              </w:rPr>
              <w:t>63.8</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F66D5E">
            <w:pPr>
              <w:pStyle w:val="TableText"/>
              <w:rPr>
                <w:rFonts w:eastAsia="Times New Roman"/>
              </w:rPr>
            </w:pPr>
            <w:r w:rsidRPr="00603093">
              <w:rPr>
                <w:rFonts w:eastAsia="Times New Roman"/>
              </w:rPr>
              <w:t>510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F66D5E">
            <w:pPr>
              <w:pStyle w:val="TableText"/>
              <w:rPr>
                <w:rFonts w:eastAsia="Times New Roman"/>
              </w:rPr>
            </w:pPr>
            <w:r w:rsidRPr="00603093">
              <w:rPr>
                <w:rFonts w:eastAsia="Times New Roman"/>
              </w:rPr>
              <w:t>392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F66D5E">
            <w:pPr>
              <w:pStyle w:val="TableText"/>
              <w:rPr>
                <w:rFonts w:eastAsia="Times New Roman"/>
              </w:rPr>
            </w:pPr>
            <w:r w:rsidRPr="00603093">
              <w:rPr>
                <w:rFonts w:eastAsia="Times New Roman"/>
              </w:rPr>
              <w:t>22.7</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603093" w:rsidRPr="00603093" w:rsidRDefault="00603093" w:rsidP="00F66D5E">
            <w:pPr>
              <w:pStyle w:val="TableText"/>
              <w:rPr>
                <w:rFonts w:eastAsia="Times New Roman"/>
              </w:rPr>
            </w:pPr>
            <w:r w:rsidRPr="00603093">
              <w:rPr>
                <w:rFonts w:eastAsia="Times New Roman"/>
              </w:rPr>
              <w:t>25.0</w:t>
            </w:r>
          </w:p>
        </w:tc>
      </w:tr>
    </w:tbl>
    <w:p w:rsidR="00CD184B" w:rsidRPr="00726C23" w:rsidRDefault="00CD184B" w:rsidP="00F66D5E">
      <w:pPr>
        <w:pStyle w:val="TableText"/>
      </w:pPr>
    </w:p>
    <w:p w:rsidR="00227071" w:rsidRDefault="00227071" w:rsidP="005C5E11"/>
    <w:p w:rsidR="00227071" w:rsidRPr="00963E9D" w:rsidRDefault="00227071" w:rsidP="00227071">
      <w:pPr>
        <w:pStyle w:val="Heading1"/>
      </w:pPr>
      <w:r>
        <w:br w:type="column"/>
      </w:r>
      <w:bookmarkStart w:id="413" w:name="_Toc326074048"/>
      <w:r w:rsidRPr="00963E9D">
        <w:lastRenderedPageBreak/>
        <w:t>Recommendations</w:t>
      </w:r>
      <w:bookmarkEnd w:id="413"/>
    </w:p>
    <w:p w:rsidR="00227071" w:rsidRDefault="00227071" w:rsidP="00227071">
      <w:pPr>
        <w:pStyle w:val="BodyParagraph"/>
      </w:pPr>
      <w:r>
        <w:t xml:space="preserve">Jointly, the aggregator programs can deliver over 300 MW of demand reduction under peaking conditions.  In the past two years, the program has grown and the settlement baseline rules have changed.  In addition, over the course of the next two years, the existing aggregator contracts held by SCE and/or PG&amp;E will expire. </w:t>
      </w:r>
    </w:p>
    <w:p w:rsidR="00227071" w:rsidRDefault="00227071" w:rsidP="00227071">
      <w:pPr>
        <w:pStyle w:val="BodyBeforeBullet"/>
      </w:pPr>
      <w:r>
        <w:t xml:space="preserve">We have </w:t>
      </w:r>
      <w:r w:rsidR="0061332F">
        <w:t>two</w:t>
      </w:r>
      <w:r>
        <w:t xml:space="preserve"> main recommendations:</w:t>
      </w:r>
    </w:p>
    <w:p w:rsidR="0061332F" w:rsidRPr="00D82BBA" w:rsidRDefault="00227071" w:rsidP="00D82BBA">
      <w:pPr>
        <w:pStyle w:val="Bullets"/>
        <w:rPr>
          <w:rFonts w:ascii="Calibri" w:hAnsi="Calibri" w:cs="Calibri"/>
          <w:color w:val="1F497D"/>
          <w:sz w:val="22"/>
          <w:szCs w:val="22"/>
        </w:rPr>
      </w:pPr>
      <w:r w:rsidRPr="00C67AFB">
        <w:rPr>
          <w:i/>
        </w:rPr>
        <w:t xml:space="preserve">Retain the Capacity Bidding Program </w:t>
      </w:r>
      <w:r>
        <w:rPr>
          <w:i/>
        </w:rPr>
        <w:t xml:space="preserve">during the upcoming </w:t>
      </w:r>
      <w:r w:rsidRPr="00C67AFB">
        <w:rPr>
          <w:i/>
        </w:rPr>
        <w:t>transition phase</w:t>
      </w:r>
      <w:r>
        <w:t>.  The CBP program provides aggregators without</w:t>
      </w:r>
      <w:r w:rsidR="0061332F">
        <w:t xml:space="preserve"> utility</w:t>
      </w:r>
      <w:r>
        <w:t xml:space="preserve"> </w:t>
      </w:r>
      <w:r w:rsidR="0061332F">
        <w:t xml:space="preserve">long term capacity contracts </w:t>
      </w:r>
      <w:r>
        <w:t xml:space="preserve">a means to bid resources into the market.  </w:t>
      </w:r>
      <w:r w:rsidR="0061332F">
        <w:t>T</w:t>
      </w:r>
      <w:r>
        <w:t>he program pro</w:t>
      </w:r>
      <w:r w:rsidR="0061332F">
        <w:t xml:space="preserve">vides a market entry point for new aggregators and </w:t>
      </w:r>
      <w:r>
        <w:t>incentive</w:t>
      </w:r>
      <w:r w:rsidR="0061332F">
        <w:t xml:space="preserve">s for existing </w:t>
      </w:r>
      <w:r>
        <w:t>aggregators to develop additional resources</w:t>
      </w:r>
      <w:r w:rsidR="0061332F">
        <w:t xml:space="preserve">. </w:t>
      </w:r>
      <w:r w:rsidR="0061332F" w:rsidRPr="00D82BBA">
        <w:t>CBP and long term capacity contracts (for example, AMP) are closely linked.  CBP provides aggregators the opportunity to develop new resources, test load reduction capabilities and refine their portfolios and bid quantities</w:t>
      </w:r>
      <w:r w:rsidR="00D82BBA" w:rsidRPr="00D82BBA">
        <w:t>. It also provides utilities a useful data on how well different aggregators perform.   Many customers that start in CBP and are eventually transferred to the long term contract portfolios</w:t>
      </w:r>
      <w:r w:rsidR="0061332F" w:rsidRPr="00D82BBA">
        <w:t xml:space="preserve">. </w:t>
      </w:r>
      <w:r w:rsidR="00D82BBA" w:rsidRPr="00D82BBA">
        <w:t xml:space="preserve">Absent </w:t>
      </w:r>
      <w:r w:rsidR="0061332F" w:rsidRPr="00D82BBA">
        <w:t xml:space="preserve">CBP, </w:t>
      </w:r>
      <w:r w:rsidR="00D82BBA" w:rsidRPr="00D82BBA">
        <w:t xml:space="preserve">competition for </w:t>
      </w:r>
      <w:r w:rsidR="0061332F" w:rsidRPr="00D82BBA">
        <w:t>long term contracts</w:t>
      </w:r>
      <w:r w:rsidR="00D82BBA" w:rsidRPr="00D82BBA">
        <w:t xml:space="preserve"> would likely be limited.</w:t>
      </w:r>
      <w:r w:rsidR="00D82BBA">
        <w:rPr>
          <w:rFonts w:ascii="Calibri" w:hAnsi="Calibri" w:cs="Calibri"/>
          <w:color w:val="1F497D"/>
          <w:sz w:val="22"/>
          <w:szCs w:val="22"/>
        </w:rPr>
        <w:t xml:space="preserve"> </w:t>
      </w:r>
    </w:p>
    <w:p w:rsidR="00227071" w:rsidRDefault="00227071" w:rsidP="00227071">
      <w:pPr>
        <w:pStyle w:val="BulletLast"/>
      </w:pPr>
      <w:r w:rsidRPr="00782872">
        <w:rPr>
          <w:i/>
        </w:rPr>
        <w:t>Dispatch aggregator resources at least twice per year</w:t>
      </w:r>
      <w:r>
        <w:t>.</w:t>
      </w:r>
      <w:r w:rsidRPr="008259F2">
        <w:t xml:space="preserve">  Both PG&amp;E and SCE dispatch AMP and DRRC resources infrequently.  This may be due to how the current contracts are currently structured. </w:t>
      </w:r>
      <w:r>
        <w:t xml:space="preserve"> As a result</w:t>
      </w:r>
      <w:r w:rsidRPr="008259F2">
        <w:t xml:space="preserve">, there is insufficient data to determine if the performance by aggregators with utility contracts improves, deteriorates or remains constant under different weather conditions. </w:t>
      </w:r>
      <w:r>
        <w:t xml:space="preserve"> R</w:t>
      </w:r>
      <w:r w:rsidRPr="008259F2">
        <w:t>esources provided by each aggregator should be dispatched at least twice per year to develop a better history about their performance and enable utilities to analyze if performance varies with weather conditions</w:t>
      </w:r>
      <w:r>
        <w:t xml:space="preserve"> or due to other factors</w:t>
      </w:r>
      <w:r w:rsidRPr="008259F2">
        <w:t xml:space="preserve">.  </w:t>
      </w:r>
    </w:p>
    <w:p w:rsidR="00227071" w:rsidRDefault="00227071" w:rsidP="00227071">
      <w:pPr>
        <w:pStyle w:val="Bullets"/>
        <w:numPr>
          <w:ilvl w:val="0"/>
          <w:numId w:val="0"/>
        </w:numPr>
        <w:ind w:left="720"/>
      </w:pPr>
    </w:p>
    <w:p w:rsidR="005C5E11" w:rsidRDefault="00B47F00" w:rsidP="005C5E11">
      <w:r>
        <w:br w:type="page"/>
      </w:r>
    </w:p>
    <w:p w:rsidR="009555F5" w:rsidRDefault="00D921E2">
      <w:pPr>
        <w:pStyle w:val="AppendixHeading"/>
        <w:numPr>
          <w:ilvl w:val="0"/>
          <w:numId w:val="23"/>
        </w:numPr>
        <w:ind w:left="360"/>
      </w:pPr>
      <w:r>
        <w:lastRenderedPageBreak/>
        <w:tab/>
      </w:r>
      <w:bookmarkStart w:id="414" w:name="_Toc326074049"/>
      <w:r w:rsidR="00345F96" w:rsidRPr="00345F96">
        <w:t>Detail on Model Selection</w:t>
      </w:r>
      <w:bookmarkEnd w:id="414"/>
    </w:p>
    <w:p w:rsidR="00A73F2B" w:rsidRDefault="007B49B6">
      <w:pPr>
        <w:pStyle w:val="BodyParagraph"/>
        <w:spacing w:after="120"/>
      </w:pPr>
      <w:r>
        <w:t xml:space="preserve">To identify the best model for load impact estimation, </w:t>
      </w:r>
      <w:r w:rsidR="00BC53BD">
        <w:t xml:space="preserve">15 </w:t>
      </w:r>
      <w:r>
        <w:t xml:space="preserve">different model specifications were examined.  </w:t>
      </w:r>
      <w:r w:rsidR="00BC53BD">
        <w:t>These models consist of five different specifications of weather variables</w:t>
      </w:r>
      <w:r>
        <w:t xml:space="preserve"> and </w:t>
      </w:r>
      <w:r w:rsidR="00BC53BD">
        <w:t>three different specifications of electricity consumption (two autoregressive and one non-autoregressive).  The models are listed in Table A-1, and terms are explained in Table A-2.</w:t>
      </w:r>
    </w:p>
    <w:p w:rsidR="00BC53BD" w:rsidRPr="00BC53BD" w:rsidRDefault="00BC53BD" w:rsidP="00BA25E2">
      <w:pPr>
        <w:pStyle w:val="TableFigureCaption"/>
      </w:pPr>
      <w:r>
        <w:t>Table A-1:</w:t>
      </w:r>
      <w:r w:rsidR="00D921E2">
        <w:t xml:space="preserve"> </w:t>
      </w:r>
      <w:r>
        <w:t>List of Models Considered</w:t>
      </w:r>
    </w:p>
    <w:tbl>
      <w:tblPr>
        <w:tblW w:w="948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7758"/>
      </w:tblGrid>
      <w:tr w:rsidR="00266606" w:rsidRPr="00050374" w:rsidTr="007B49B6">
        <w:trPr>
          <w:trHeight w:val="197"/>
        </w:trPr>
        <w:tc>
          <w:tcPr>
            <w:tcW w:w="1723" w:type="dxa"/>
            <w:tcBorders>
              <w:right w:val="single" w:sz="4" w:space="0" w:color="FFFFFF" w:themeColor="background1"/>
            </w:tcBorders>
            <w:shd w:val="clear" w:color="000000" w:fill="1F497D"/>
            <w:vAlign w:val="center"/>
            <w:hideMark/>
          </w:tcPr>
          <w:p w:rsidR="00266606" w:rsidRPr="006B7BA6" w:rsidRDefault="00266606" w:rsidP="006B7BA6">
            <w:pPr>
              <w:pStyle w:val="TableHeader"/>
            </w:pPr>
            <w:r w:rsidRPr="006B7BA6">
              <w:t>Model</w:t>
            </w:r>
          </w:p>
        </w:tc>
        <w:tc>
          <w:tcPr>
            <w:tcW w:w="7758" w:type="dxa"/>
            <w:tcBorders>
              <w:left w:val="single" w:sz="4" w:space="0" w:color="FFFFFF" w:themeColor="background1"/>
            </w:tcBorders>
            <w:shd w:val="clear" w:color="000000" w:fill="1F497D"/>
            <w:vAlign w:val="center"/>
            <w:hideMark/>
          </w:tcPr>
          <w:p w:rsidR="00266606" w:rsidRPr="006B7BA6" w:rsidRDefault="00266606" w:rsidP="006B7BA6">
            <w:pPr>
              <w:pStyle w:val="TableHeader"/>
            </w:pPr>
            <w:r w:rsidRPr="006B7BA6">
              <w:t>Description</w:t>
            </w:r>
          </w:p>
        </w:tc>
      </w:tr>
      <w:tr w:rsidR="00266606" w:rsidRPr="00050374" w:rsidTr="006B7BA6">
        <w:trPr>
          <w:trHeight w:val="524"/>
        </w:trPr>
        <w:tc>
          <w:tcPr>
            <w:tcW w:w="1723" w:type="dxa"/>
            <w:shd w:val="clear" w:color="auto" w:fill="auto"/>
            <w:noWrap/>
            <w:vAlign w:val="center"/>
            <w:hideMark/>
          </w:tcPr>
          <w:p w:rsidR="00266606" w:rsidRPr="00050374" w:rsidRDefault="00266606" w:rsidP="00266606">
            <w:pPr>
              <w:pStyle w:val="TableText"/>
              <w:rPr>
                <w:rFonts w:eastAsia="Times New Roman"/>
              </w:rPr>
            </w:pPr>
            <w:r>
              <w:rPr>
                <w:rFonts w:eastAsia="Times New Roman"/>
              </w:rPr>
              <w:t>1</w:t>
            </w:r>
          </w:p>
        </w:tc>
        <w:tc>
          <w:tcPr>
            <w:tcW w:w="7758" w:type="dxa"/>
            <w:shd w:val="clear" w:color="auto" w:fill="auto"/>
            <w:noWrap/>
            <w:vAlign w:val="center"/>
            <w:hideMark/>
          </w:tcPr>
          <w:p w:rsidR="00266606" w:rsidRPr="00050374" w:rsidRDefault="00C61D83" w:rsidP="00266606">
            <w:pPr>
              <w:pStyle w:val="TableText"/>
              <w:jc w:val="left"/>
              <w:rPr>
                <w:rFonts w:eastAsia="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CDHsqr</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rateblock</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266606">
              <w:rPr>
                <w:rFonts w:eastAsia="Times New Roman"/>
              </w:rPr>
              <w:t xml:space="preserve"> </w:t>
            </w:r>
          </w:p>
        </w:tc>
      </w:tr>
      <w:tr w:rsidR="00266606" w:rsidRPr="00050374" w:rsidTr="006B7BA6">
        <w:trPr>
          <w:trHeight w:val="524"/>
        </w:trPr>
        <w:tc>
          <w:tcPr>
            <w:tcW w:w="1723" w:type="dxa"/>
            <w:shd w:val="clear" w:color="auto" w:fill="auto"/>
            <w:noWrap/>
            <w:vAlign w:val="center"/>
          </w:tcPr>
          <w:p w:rsidR="00266606" w:rsidRDefault="00266606" w:rsidP="00266606">
            <w:pPr>
              <w:pStyle w:val="TableText"/>
              <w:rPr>
                <w:rFonts w:eastAsia="Times New Roman"/>
              </w:rPr>
            </w:pPr>
            <w:r>
              <w:rPr>
                <w:rFonts w:eastAsia="Times New Roman"/>
              </w:rPr>
              <w:t>2</w:t>
            </w:r>
          </w:p>
        </w:tc>
        <w:tc>
          <w:tcPr>
            <w:tcW w:w="7758" w:type="dxa"/>
            <w:shd w:val="clear" w:color="auto" w:fill="auto"/>
            <w:noWrap/>
            <w:vAlign w:val="center"/>
          </w:tcPr>
          <w:p w:rsidR="00266606" w:rsidRDefault="00C61D83" w:rsidP="00266606">
            <w:pPr>
              <w:pStyle w:val="TableText"/>
              <w:jc w:val="left"/>
              <w:rPr>
                <w:rFonts w:eastAsia="Times New Roman" w:cs="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CDHsqr</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morningload</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266606">
              <w:rPr>
                <w:rFonts w:eastAsia="Times New Roman" w:cs="Times New Roman"/>
              </w:rPr>
              <w:t xml:space="preserve"> </w:t>
            </w:r>
          </w:p>
        </w:tc>
      </w:tr>
      <w:tr w:rsidR="00266606" w:rsidRPr="00050374" w:rsidTr="006B7BA6">
        <w:trPr>
          <w:trHeight w:val="524"/>
        </w:trPr>
        <w:tc>
          <w:tcPr>
            <w:tcW w:w="1723" w:type="dxa"/>
            <w:shd w:val="clear" w:color="auto" w:fill="auto"/>
            <w:noWrap/>
            <w:vAlign w:val="center"/>
          </w:tcPr>
          <w:p w:rsidR="00266606" w:rsidRDefault="00266606" w:rsidP="00266606">
            <w:pPr>
              <w:pStyle w:val="TableText"/>
              <w:rPr>
                <w:rFonts w:eastAsia="Times New Roman"/>
              </w:rPr>
            </w:pPr>
            <w:r>
              <w:rPr>
                <w:rFonts w:eastAsia="Times New Roman"/>
              </w:rPr>
              <w:t>3</w:t>
            </w:r>
          </w:p>
        </w:tc>
        <w:tc>
          <w:tcPr>
            <w:tcW w:w="7758" w:type="dxa"/>
            <w:shd w:val="clear" w:color="auto" w:fill="auto"/>
            <w:noWrap/>
            <w:vAlign w:val="center"/>
          </w:tcPr>
          <w:p w:rsidR="00266606" w:rsidRDefault="00C61D83" w:rsidP="00266606">
            <w:pPr>
              <w:pStyle w:val="TableText"/>
              <w:jc w:val="left"/>
              <w:rPr>
                <w:rFonts w:eastAsia="Times New Roman" w:cs="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CDHsqr</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morningload</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twoweekavg</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266606">
              <w:rPr>
                <w:rFonts w:eastAsia="Times New Roman" w:cs="Times New Roman"/>
              </w:rPr>
              <w:t xml:space="preserve"> </w:t>
            </w:r>
          </w:p>
        </w:tc>
      </w:tr>
      <w:tr w:rsidR="00266606" w:rsidRPr="00050374" w:rsidTr="006B7BA6">
        <w:trPr>
          <w:trHeight w:val="524"/>
        </w:trPr>
        <w:tc>
          <w:tcPr>
            <w:tcW w:w="1723" w:type="dxa"/>
            <w:shd w:val="clear" w:color="auto" w:fill="auto"/>
            <w:noWrap/>
            <w:vAlign w:val="center"/>
          </w:tcPr>
          <w:p w:rsidR="00266606" w:rsidRDefault="00266606" w:rsidP="00266606">
            <w:pPr>
              <w:pStyle w:val="TableText"/>
              <w:rPr>
                <w:rFonts w:eastAsia="Times New Roman"/>
              </w:rPr>
            </w:pPr>
            <w:r>
              <w:rPr>
                <w:rFonts w:eastAsia="Times New Roman"/>
              </w:rPr>
              <w:t>4</w:t>
            </w:r>
          </w:p>
        </w:tc>
        <w:tc>
          <w:tcPr>
            <w:tcW w:w="7758" w:type="dxa"/>
            <w:shd w:val="clear" w:color="auto" w:fill="auto"/>
            <w:noWrap/>
            <w:vAlign w:val="center"/>
          </w:tcPr>
          <w:p w:rsidR="00266606" w:rsidRPr="00050374" w:rsidRDefault="00C61D83" w:rsidP="00266606">
            <w:pPr>
              <w:pStyle w:val="TableText"/>
              <w:jc w:val="left"/>
              <w:rPr>
                <w:rFonts w:eastAsia="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CDD</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CDDsqr</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rateblock</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266606">
              <w:rPr>
                <w:rFonts w:eastAsia="Times New Roman"/>
              </w:rPr>
              <w:t xml:space="preserve"> </w:t>
            </w:r>
          </w:p>
        </w:tc>
      </w:tr>
      <w:tr w:rsidR="00266606" w:rsidRPr="00050374" w:rsidTr="006B7BA6">
        <w:trPr>
          <w:trHeight w:val="524"/>
        </w:trPr>
        <w:tc>
          <w:tcPr>
            <w:tcW w:w="1723" w:type="dxa"/>
            <w:shd w:val="clear" w:color="auto" w:fill="auto"/>
            <w:noWrap/>
            <w:vAlign w:val="center"/>
          </w:tcPr>
          <w:p w:rsidR="00266606" w:rsidRDefault="00266606" w:rsidP="00266606">
            <w:pPr>
              <w:pStyle w:val="TableText"/>
              <w:rPr>
                <w:rFonts w:eastAsia="Times New Roman"/>
              </w:rPr>
            </w:pPr>
            <w:r>
              <w:rPr>
                <w:rFonts w:eastAsia="Times New Roman"/>
              </w:rPr>
              <w:t>5</w:t>
            </w:r>
          </w:p>
        </w:tc>
        <w:tc>
          <w:tcPr>
            <w:tcW w:w="7758" w:type="dxa"/>
            <w:shd w:val="clear" w:color="auto" w:fill="auto"/>
            <w:noWrap/>
            <w:vAlign w:val="center"/>
          </w:tcPr>
          <w:p w:rsidR="00266606" w:rsidRDefault="00C61D83" w:rsidP="00266606">
            <w:pPr>
              <w:pStyle w:val="TableText"/>
              <w:jc w:val="left"/>
              <w:rPr>
                <w:rFonts w:eastAsia="Times New Roman" w:cs="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CDD</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CDDsqr</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morningload</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266606">
              <w:rPr>
                <w:rFonts w:eastAsia="Times New Roman" w:cs="Times New Roman"/>
              </w:rPr>
              <w:t xml:space="preserve"> </w:t>
            </w:r>
          </w:p>
        </w:tc>
      </w:tr>
      <w:tr w:rsidR="00266606" w:rsidRPr="00050374" w:rsidTr="006B7BA6">
        <w:trPr>
          <w:trHeight w:val="524"/>
        </w:trPr>
        <w:tc>
          <w:tcPr>
            <w:tcW w:w="1723" w:type="dxa"/>
            <w:shd w:val="clear" w:color="auto" w:fill="auto"/>
            <w:noWrap/>
            <w:vAlign w:val="center"/>
          </w:tcPr>
          <w:p w:rsidR="00266606" w:rsidRDefault="00266606" w:rsidP="00266606">
            <w:pPr>
              <w:pStyle w:val="TableText"/>
              <w:rPr>
                <w:rFonts w:eastAsia="Times New Roman"/>
              </w:rPr>
            </w:pPr>
            <w:r>
              <w:rPr>
                <w:rFonts w:eastAsia="Times New Roman"/>
              </w:rPr>
              <w:t>6</w:t>
            </w:r>
          </w:p>
        </w:tc>
        <w:tc>
          <w:tcPr>
            <w:tcW w:w="7758" w:type="dxa"/>
            <w:shd w:val="clear" w:color="auto" w:fill="auto"/>
            <w:noWrap/>
            <w:vAlign w:val="center"/>
          </w:tcPr>
          <w:p w:rsidR="00266606" w:rsidRDefault="00C61D83" w:rsidP="00266606">
            <w:pPr>
              <w:pStyle w:val="TableText"/>
              <w:jc w:val="left"/>
              <w:rPr>
                <w:rFonts w:eastAsia="Times New Roman" w:cs="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CDD</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CDDsqr</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morningload</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twoweekavg</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266606">
              <w:rPr>
                <w:rFonts w:eastAsia="Times New Roman" w:cs="Times New Roman"/>
              </w:rPr>
              <w:t xml:space="preserve"> </w:t>
            </w:r>
          </w:p>
        </w:tc>
      </w:tr>
      <w:tr w:rsidR="00100001" w:rsidRPr="00050374" w:rsidTr="006B7BA6">
        <w:trPr>
          <w:trHeight w:val="524"/>
        </w:trPr>
        <w:tc>
          <w:tcPr>
            <w:tcW w:w="1723" w:type="dxa"/>
            <w:shd w:val="clear" w:color="auto" w:fill="auto"/>
            <w:noWrap/>
            <w:vAlign w:val="center"/>
          </w:tcPr>
          <w:p w:rsidR="00100001" w:rsidRDefault="00100001" w:rsidP="00266606">
            <w:pPr>
              <w:pStyle w:val="TableText"/>
              <w:rPr>
                <w:rFonts w:eastAsia="Times New Roman"/>
              </w:rPr>
            </w:pPr>
            <w:r>
              <w:rPr>
                <w:rFonts w:eastAsia="Times New Roman"/>
              </w:rPr>
              <w:t>7</w:t>
            </w:r>
          </w:p>
        </w:tc>
        <w:tc>
          <w:tcPr>
            <w:tcW w:w="7758" w:type="dxa"/>
            <w:shd w:val="clear" w:color="auto" w:fill="auto"/>
            <w:noWrap/>
            <w:vAlign w:val="center"/>
          </w:tcPr>
          <w:p w:rsidR="00100001" w:rsidRDefault="00C61D83" w:rsidP="00100001">
            <w:pPr>
              <w:pStyle w:val="TableText"/>
              <w:jc w:val="left"/>
              <w:rPr>
                <w:rFonts w:eastAsia="Times New Roman" w:cs="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total</m:t>
              </m:r>
              <m:sSub>
                <m:sSubPr>
                  <m:ctrlPr>
                    <w:rPr>
                      <w:rFonts w:ascii="Cambria Math" w:hAnsi="Cambria Math"/>
                      <w:i/>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totalCDHsqr</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rateblock</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100001">
              <w:rPr>
                <w:rFonts w:eastAsia="Times New Roman" w:cs="Times New Roman"/>
              </w:rPr>
              <w:t xml:space="preserve"> </w:t>
            </w:r>
          </w:p>
        </w:tc>
      </w:tr>
      <w:tr w:rsidR="00100001" w:rsidRPr="00050374" w:rsidTr="006B7BA6">
        <w:trPr>
          <w:trHeight w:val="524"/>
        </w:trPr>
        <w:tc>
          <w:tcPr>
            <w:tcW w:w="1723" w:type="dxa"/>
            <w:shd w:val="clear" w:color="auto" w:fill="auto"/>
            <w:noWrap/>
            <w:vAlign w:val="center"/>
          </w:tcPr>
          <w:p w:rsidR="00100001" w:rsidRDefault="00100001" w:rsidP="00266606">
            <w:pPr>
              <w:pStyle w:val="TableText"/>
              <w:rPr>
                <w:rFonts w:eastAsia="Times New Roman"/>
              </w:rPr>
            </w:pPr>
            <w:r>
              <w:rPr>
                <w:rFonts w:eastAsia="Times New Roman"/>
              </w:rPr>
              <w:t>8</w:t>
            </w:r>
          </w:p>
        </w:tc>
        <w:tc>
          <w:tcPr>
            <w:tcW w:w="7758" w:type="dxa"/>
            <w:shd w:val="clear" w:color="auto" w:fill="auto"/>
            <w:noWrap/>
            <w:vAlign w:val="center"/>
          </w:tcPr>
          <w:p w:rsidR="00100001" w:rsidRDefault="00C61D83" w:rsidP="00100001">
            <w:pPr>
              <w:pStyle w:val="TableText"/>
              <w:jc w:val="left"/>
              <w:rPr>
                <w:rFonts w:eastAsia="Times New Roman" w:cs="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total</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totalCDHsqr</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morningload</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100001">
              <w:rPr>
                <w:rFonts w:eastAsia="Times New Roman" w:cs="Times New Roman"/>
              </w:rPr>
              <w:t xml:space="preserve"> </w:t>
            </w:r>
          </w:p>
        </w:tc>
      </w:tr>
      <w:tr w:rsidR="00100001" w:rsidRPr="00050374" w:rsidTr="006B7BA6">
        <w:trPr>
          <w:trHeight w:val="524"/>
        </w:trPr>
        <w:tc>
          <w:tcPr>
            <w:tcW w:w="1723" w:type="dxa"/>
            <w:shd w:val="clear" w:color="auto" w:fill="auto"/>
            <w:noWrap/>
            <w:vAlign w:val="center"/>
          </w:tcPr>
          <w:p w:rsidR="00100001" w:rsidRDefault="00100001" w:rsidP="00266606">
            <w:pPr>
              <w:pStyle w:val="TableText"/>
              <w:rPr>
                <w:rFonts w:eastAsia="Times New Roman"/>
              </w:rPr>
            </w:pPr>
            <w:r>
              <w:rPr>
                <w:rFonts w:eastAsia="Times New Roman"/>
              </w:rPr>
              <w:t>9</w:t>
            </w:r>
          </w:p>
        </w:tc>
        <w:tc>
          <w:tcPr>
            <w:tcW w:w="7758" w:type="dxa"/>
            <w:shd w:val="clear" w:color="auto" w:fill="auto"/>
            <w:noWrap/>
            <w:vAlign w:val="center"/>
          </w:tcPr>
          <w:p w:rsidR="00100001" w:rsidRDefault="00C61D83" w:rsidP="00100001">
            <w:pPr>
              <w:pStyle w:val="TableText"/>
              <w:jc w:val="left"/>
              <w:rPr>
                <w:rFonts w:eastAsia="Times New Roman" w:cs="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total</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totalCDHsqr</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morningload</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twoweekavg</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100001">
              <w:rPr>
                <w:rFonts w:eastAsia="Times New Roman" w:cs="Times New Roman"/>
              </w:rPr>
              <w:t xml:space="preserve"> </w:t>
            </w:r>
          </w:p>
        </w:tc>
      </w:tr>
      <w:tr w:rsidR="00100001" w:rsidRPr="00050374" w:rsidTr="006B7BA6">
        <w:trPr>
          <w:trHeight w:val="524"/>
        </w:trPr>
        <w:tc>
          <w:tcPr>
            <w:tcW w:w="1723" w:type="dxa"/>
            <w:shd w:val="clear" w:color="auto" w:fill="auto"/>
            <w:noWrap/>
            <w:vAlign w:val="center"/>
          </w:tcPr>
          <w:p w:rsidR="00100001" w:rsidRDefault="00100001" w:rsidP="00266606">
            <w:pPr>
              <w:pStyle w:val="TableText"/>
              <w:rPr>
                <w:rFonts w:eastAsia="Times New Roman"/>
              </w:rPr>
            </w:pPr>
            <w:r>
              <w:rPr>
                <w:rFonts w:eastAsia="Times New Roman"/>
              </w:rPr>
              <w:t>10</w:t>
            </w:r>
          </w:p>
        </w:tc>
        <w:tc>
          <w:tcPr>
            <w:tcW w:w="7758" w:type="dxa"/>
            <w:shd w:val="clear" w:color="auto" w:fill="auto"/>
            <w:noWrap/>
            <w:vAlign w:val="center"/>
          </w:tcPr>
          <w:p w:rsidR="00100001" w:rsidRDefault="00C61D83" w:rsidP="00BC53BD">
            <w:pPr>
              <w:pStyle w:val="TableText"/>
              <w:jc w:val="left"/>
              <w:rPr>
                <w:rFonts w:eastAsia="Times New Roman" w:cs="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∙24</m:t>
              </m:r>
              <m:r>
                <w:rPr>
                  <w:rFonts w:ascii="Cambria Math" w:hAnsi="Cambria Math"/>
                </w:rPr>
                <m:t>hr</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24</m:t>
                  </m:r>
                  <m:r>
                    <w:rPr>
                      <w:rFonts w:ascii="Cambria Math" w:hAnsi="Cambria Math"/>
                    </w:rPr>
                    <m:t>hrCDHsqr</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m:t>
                      </m:r>
                      <m:r>
                        <w:rPr>
                          <w:rFonts w:ascii="Cambria Math" w:hAnsi="Cambria Math"/>
                        </w:rPr>
                        <m:t>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rateblock</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100001">
              <w:rPr>
                <w:rFonts w:eastAsia="Times New Roman" w:cs="Times New Roman"/>
              </w:rPr>
              <w:t xml:space="preserve"> </w:t>
            </w:r>
          </w:p>
        </w:tc>
      </w:tr>
      <w:tr w:rsidR="00100001" w:rsidRPr="00050374" w:rsidTr="006B7BA6">
        <w:trPr>
          <w:trHeight w:val="524"/>
        </w:trPr>
        <w:tc>
          <w:tcPr>
            <w:tcW w:w="1723" w:type="dxa"/>
            <w:shd w:val="clear" w:color="auto" w:fill="auto"/>
            <w:noWrap/>
            <w:vAlign w:val="center"/>
          </w:tcPr>
          <w:p w:rsidR="00100001" w:rsidRDefault="00100001" w:rsidP="00266606">
            <w:pPr>
              <w:pStyle w:val="TableText"/>
              <w:rPr>
                <w:rFonts w:eastAsia="Times New Roman"/>
              </w:rPr>
            </w:pPr>
            <w:r>
              <w:rPr>
                <w:rFonts w:eastAsia="Times New Roman"/>
              </w:rPr>
              <w:t>11</w:t>
            </w:r>
          </w:p>
        </w:tc>
        <w:tc>
          <w:tcPr>
            <w:tcW w:w="7758" w:type="dxa"/>
            <w:shd w:val="clear" w:color="auto" w:fill="auto"/>
            <w:noWrap/>
            <w:vAlign w:val="center"/>
          </w:tcPr>
          <w:p w:rsidR="00100001" w:rsidRDefault="00C61D83" w:rsidP="00BC53BD">
            <w:pPr>
              <w:pStyle w:val="TableText"/>
              <w:jc w:val="left"/>
              <w:rPr>
                <w:rFonts w:eastAsia="Times New Roman" w:cs="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∙24</m:t>
              </m:r>
              <m:r>
                <w:rPr>
                  <w:rFonts w:ascii="Cambria Math" w:hAnsi="Cambria Math"/>
                </w:rPr>
                <m:t>hr</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24</m:t>
                  </m:r>
                  <m:r>
                    <w:rPr>
                      <w:rFonts w:ascii="Cambria Math" w:hAnsi="Cambria Math"/>
                    </w:rPr>
                    <m:t>hrCDHsqr</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morningload</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100001">
              <w:rPr>
                <w:rFonts w:eastAsia="Times New Roman" w:cs="Times New Roman"/>
              </w:rPr>
              <w:t xml:space="preserve"> </w:t>
            </w:r>
          </w:p>
        </w:tc>
      </w:tr>
      <w:tr w:rsidR="00100001" w:rsidRPr="00050374" w:rsidTr="006B7BA6">
        <w:trPr>
          <w:trHeight w:val="524"/>
        </w:trPr>
        <w:tc>
          <w:tcPr>
            <w:tcW w:w="1723" w:type="dxa"/>
            <w:shd w:val="clear" w:color="auto" w:fill="auto"/>
            <w:noWrap/>
            <w:vAlign w:val="center"/>
          </w:tcPr>
          <w:p w:rsidR="00100001" w:rsidRDefault="00100001" w:rsidP="00266606">
            <w:pPr>
              <w:pStyle w:val="TableText"/>
              <w:rPr>
                <w:rFonts w:eastAsia="Times New Roman"/>
              </w:rPr>
            </w:pPr>
            <w:r>
              <w:rPr>
                <w:rFonts w:eastAsia="Times New Roman"/>
              </w:rPr>
              <w:t>12</w:t>
            </w:r>
          </w:p>
        </w:tc>
        <w:tc>
          <w:tcPr>
            <w:tcW w:w="7758" w:type="dxa"/>
            <w:shd w:val="clear" w:color="auto" w:fill="auto"/>
            <w:noWrap/>
            <w:vAlign w:val="center"/>
          </w:tcPr>
          <w:p w:rsidR="00100001" w:rsidRDefault="00C61D83" w:rsidP="00BC53BD">
            <w:pPr>
              <w:pStyle w:val="TableText"/>
              <w:jc w:val="left"/>
              <w:rPr>
                <w:rFonts w:eastAsia="Times New Roman" w:cs="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∙24</m:t>
              </m:r>
              <m:r>
                <w:rPr>
                  <w:rFonts w:ascii="Cambria Math" w:hAnsi="Cambria Math"/>
                </w:rPr>
                <m:t>hr</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24</m:t>
                  </m:r>
                  <m:r>
                    <w:rPr>
                      <w:rFonts w:ascii="Cambria Math" w:hAnsi="Cambria Math"/>
                    </w:rPr>
                    <m:t>hrCDHsqr</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morningload</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twoweekavg</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100001">
              <w:rPr>
                <w:rFonts w:eastAsia="Times New Roman" w:cs="Times New Roman"/>
              </w:rPr>
              <w:t xml:space="preserve"> </w:t>
            </w:r>
          </w:p>
        </w:tc>
      </w:tr>
      <w:tr w:rsidR="00100001" w:rsidRPr="00050374" w:rsidTr="007B49B6">
        <w:trPr>
          <w:trHeight w:val="332"/>
        </w:trPr>
        <w:tc>
          <w:tcPr>
            <w:tcW w:w="1723" w:type="dxa"/>
            <w:shd w:val="clear" w:color="auto" w:fill="auto"/>
            <w:noWrap/>
            <w:vAlign w:val="center"/>
          </w:tcPr>
          <w:p w:rsidR="00100001" w:rsidRDefault="00100001" w:rsidP="00266606">
            <w:pPr>
              <w:pStyle w:val="TableText"/>
              <w:rPr>
                <w:rFonts w:eastAsia="Times New Roman"/>
              </w:rPr>
            </w:pPr>
            <w:r>
              <w:rPr>
                <w:rFonts w:eastAsia="Times New Roman"/>
              </w:rPr>
              <w:t>13</w:t>
            </w:r>
          </w:p>
        </w:tc>
        <w:tc>
          <w:tcPr>
            <w:tcW w:w="7758" w:type="dxa"/>
            <w:shd w:val="clear" w:color="auto" w:fill="auto"/>
            <w:noWrap/>
            <w:vAlign w:val="center"/>
          </w:tcPr>
          <w:p w:rsidR="00100001" w:rsidRDefault="00C61D83" w:rsidP="004F2384">
            <w:pPr>
              <w:pStyle w:val="TableText"/>
              <w:jc w:val="left"/>
              <w:rPr>
                <w:rFonts w:eastAsia="Times New Roman" w:cs="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∙24</m:t>
              </m:r>
              <m:r>
                <w:rPr>
                  <w:rFonts w:ascii="Cambria Math" w:hAnsi="Cambria Math"/>
                </w:rPr>
                <m:t>hr</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rateblock</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100001">
              <w:rPr>
                <w:rFonts w:eastAsia="Times New Roman" w:cs="Times New Roman"/>
              </w:rPr>
              <w:t xml:space="preserve"> </w:t>
            </w:r>
          </w:p>
        </w:tc>
      </w:tr>
      <w:tr w:rsidR="00100001" w:rsidRPr="00050374" w:rsidTr="006B7BA6">
        <w:trPr>
          <w:trHeight w:val="524"/>
        </w:trPr>
        <w:tc>
          <w:tcPr>
            <w:tcW w:w="1723" w:type="dxa"/>
            <w:shd w:val="clear" w:color="auto" w:fill="auto"/>
            <w:noWrap/>
            <w:vAlign w:val="center"/>
          </w:tcPr>
          <w:p w:rsidR="00100001" w:rsidRDefault="00100001" w:rsidP="00266606">
            <w:pPr>
              <w:pStyle w:val="TableText"/>
              <w:rPr>
                <w:rFonts w:eastAsia="Times New Roman"/>
              </w:rPr>
            </w:pPr>
            <w:r>
              <w:rPr>
                <w:rFonts w:eastAsia="Times New Roman"/>
              </w:rPr>
              <w:t>14</w:t>
            </w:r>
          </w:p>
        </w:tc>
        <w:tc>
          <w:tcPr>
            <w:tcW w:w="7758" w:type="dxa"/>
            <w:shd w:val="clear" w:color="auto" w:fill="auto"/>
            <w:noWrap/>
            <w:vAlign w:val="center"/>
          </w:tcPr>
          <w:p w:rsidR="00100001" w:rsidRDefault="00C61D83" w:rsidP="004F2384">
            <w:pPr>
              <w:pStyle w:val="TableText"/>
              <w:jc w:val="left"/>
              <w:rPr>
                <w:rFonts w:eastAsia="Times New Roman" w:cs="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∙24</m:t>
              </m:r>
              <m:r>
                <w:rPr>
                  <w:rFonts w:ascii="Cambria Math" w:hAnsi="Cambria Math"/>
                </w:rPr>
                <m:t>hr</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morningload</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100001">
              <w:rPr>
                <w:rFonts w:eastAsia="Times New Roman" w:cs="Times New Roman"/>
              </w:rPr>
              <w:t xml:space="preserve"> </w:t>
            </w:r>
          </w:p>
        </w:tc>
      </w:tr>
      <w:tr w:rsidR="00100001" w:rsidRPr="00050374" w:rsidTr="007B49B6">
        <w:trPr>
          <w:trHeight w:val="260"/>
        </w:trPr>
        <w:tc>
          <w:tcPr>
            <w:tcW w:w="1723" w:type="dxa"/>
            <w:shd w:val="clear" w:color="auto" w:fill="auto"/>
            <w:noWrap/>
            <w:vAlign w:val="center"/>
          </w:tcPr>
          <w:p w:rsidR="00100001" w:rsidRDefault="00100001" w:rsidP="00266606">
            <w:pPr>
              <w:pStyle w:val="TableText"/>
              <w:rPr>
                <w:rFonts w:eastAsia="Times New Roman"/>
              </w:rPr>
            </w:pPr>
            <w:r>
              <w:rPr>
                <w:rFonts w:eastAsia="Times New Roman"/>
              </w:rPr>
              <w:t>15</w:t>
            </w:r>
          </w:p>
        </w:tc>
        <w:tc>
          <w:tcPr>
            <w:tcW w:w="7758" w:type="dxa"/>
            <w:shd w:val="clear" w:color="auto" w:fill="auto"/>
            <w:noWrap/>
            <w:vAlign w:val="center"/>
          </w:tcPr>
          <w:p w:rsidR="00100001" w:rsidRDefault="00C61D83" w:rsidP="00266606">
            <w:pPr>
              <w:pStyle w:val="TableText"/>
              <w:jc w:val="left"/>
              <w:rPr>
                <w:rFonts w:eastAsia="Times New Roman" w:cs="Times New Roman"/>
              </w:rPr>
            </w:pPr>
            <m:oMath>
              <m:sSub>
                <m:sSubPr>
                  <m:ctrlPr>
                    <w:rPr>
                      <w:rFonts w:ascii="Cambria Math" w:hAnsi="Cambria Math"/>
                    </w:rPr>
                  </m:ctrlPr>
                </m:sSubPr>
                <m:e>
                  <m:r>
                    <w:rPr>
                      <w:rFonts w:ascii="Cambria Math" w:hAnsi="Cambria Math"/>
                    </w:rPr>
                    <m:t>kw</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w:softHyphen/>
                <m:t>=</m:t>
              </m:r>
              <m:sSub>
                <m:sSubPr>
                  <m:ctrlPr>
                    <w:rPr>
                      <w:rFonts w:ascii="Cambria Math" w:hAnsi="Cambria Math"/>
                    </w:rPr>
                  </m:ctrlPr>
                </m:sSubPr>
                <m:e>
                  <m:r>
                    <w:rPr>
                      <w:rFonts w:ascii="Cambria Math" w:hAnsi="Cambria Math"/>
                    </w:rPr>
                    <m:t>α</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 xml:space="preserve">+ </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∙24</m:t>
              </m:r>
              <m:r>
                <w:rPr>
                  <w:rFonts w:ascii="Cambria Math" w:hAnsi="Cambria Math"/>
                </w:rPr>
                <m:t>hr</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CDH</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3</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daytype</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=5</m:t>
                  </m:r>
                </m:sub>
                <m:sup>
                  <m:r>
                    <m:rPr>
                      <m:sty m:val="p"/>
                    </m:rPr>
                    <w:rPr>
                      <w:rFonts w:ascii="Cambria Math" w:hAnsi="Cambria Math"/>
                    </w:rPr>
                    <m:t>10</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month</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daylight</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morningload</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twoweekavg</m:t>
                  </m:r>
                  <m:ctrlPr>
                    <w:rPr>
                      <w:rFonts w:ascii="Cambria Math" w:hAnsi="Cambria Math"/>
                      <w:i/>
                      <w:iCs/>
                    </w:rPr>
                  </m:ctrlPr>
                </m:e>
                <m:sub>
                  <m:r>
                    <w:rPr>
                      <w:rFonts w:ascii="Cambria Math" w:hAnsi="Cambria Math"/>
                    </w:rPr>
                    <m:t>h</m:t>
                  </m:r>
                  <m:ctrlPr>
                    <w:rPr>
                      <w:rFonts w:ascii="Cambria Math" w:hAnsi="Cambria Math"/>
                      <w:i/>
                      <w:iCs/>
                    </w:rPr>
                  </m:ctrlP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r>
                        <w:rPr>
                          <w:rFonts w:ascii="Cambria Math" w:hAnsi="Cambria Math"/>
                        </w:rPr>
                        <m:t>AMPorDRRCevent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β</m:t>
                      </m:r>
                      <m:ctrlPr>
                        <w:rPr>
                          <w:rFonts w:ascii="Cambria Math" w:hAnsi="Cambria Math"/>
                          <w:i/>
                          <w:iCs/>
                        </w:rPr>
                      </m:ctrlPr>
                    </m:e>
                    <m:sub>
                      <m:r>
                        <w:rPr>
                          <w:rFonts w:ascii="Cambria Math" w:hAnsi="Cambria Math"/>
                        </w:rPr>
                        <m:t>i</m:t>
                      </m:r>
                      <m:r>
                        <m:rPr>
                          <m:sty m:val="p"/>
                        </m:rPr>
                        <w:rPr>
                          <w:rFonts w:ascii="Cambria Math" w:hAnsi="Cambria Math"/>
                        </w:rPr>
                        <m:t>,</m:t>
                      </m:r>
                      <m:r>
                        <w:rPr>
                          <w:rFonts w:ascii="Cambria Math" w:hAnsi="Cambria Math"/>
                        </w:rPr>
                        <m:t>h</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w:rPr>
                          <w:rFonts w:ascii="Cambria Math" w:hAnsi="Cambria Math"/>
                        </w:rPr>
                        <m:t>CBPevent</m:t>
                      </m:r>
                      <m:ctrlPr>
                        <w:rPr>
                          <w:rFonts w:ascii="Cambria Math" w:hAnsi="Cambria Math"/>
                          <w:i/>
                          <w:iCs/>
                        </w:rPr>
                      </m:ctrlPr>
                    </m:e>
                    <m:sub>
                      <m:r>
                        <w:rPr>
                          <w:rFonts w:ascii="Cambria Math" w:hAnsi="Cambria Math"/>
                        </w:rPr>
                        <m:t>i</m:t>
                      </m:r>
                      <m:ctrlPr>
                        <w:rPr>
                          <w:rFonts w:ascii="Cambria Math" w:hAnsi="Cambria Math"/>
                          <w:i/>
                          <w:iCs/>
                        </w:rPr>
                      </m:ctrlPr>
                    </m:sub>
                  </m:sSub>
                </m:e>
              </m:nary>
              <m:r>
                <m:rPr>
                  <m:sty m:val="p"/>
                </m:rPr>
                <w:rPr>
                  <w:rFonts w:ascii="Cambria Math" w:hAnsi="Cambria Math"/>
                </w:rPr>
                <m:t xml:space="preserve">+ </m:t>
              </m:r>
              <m:sSub>
                <m:sSubPr>
                  <m:ctrlPr>
                    <w:rPr>
                      <w:rFonts w:ascii="Cambria Math" w:hAnsi="Cambria Math"/>
                    </w:rPr>
                  </m:ctrlPr>
                </m:sSubPr>
                <m:e>
                  <m:r>
                    <w:rPr>
                      <w:rFonts w:ascii="Cambria Math" w:hAnsi="Cambria Math"/>
                    </w:rPr>
                    <m:t>ε</m:t>
                  </m:r>
                  <m:ctrlPr>
                    <w:rPr>
                      <w:rFonts w:ascii="Cambria Math" w:hAnsi="Cambria Math"/>
                      <w:i/>
                      <w:iCs/>
                    </w:rPr>
                  </m:ctrlPr>
                </m:e>
                <m:sub>
                  <m:r>
                    <w:rPr>
                      <w:rFonts w:ascii="Cambria Math" w:hAnsi="Cambria Math"/>
                    </w:rPr>
                    <m:t>h</m:t>
                  </m:r>
                  <m:ctrlPr>
                    <w:rPr>
                      <w:rFonts w:ascii="Cambria Math" w:hAnsi="Cambria Math"/>
                      <w:i/>
                      <w:iCs/>
                    </w:rPr>
                  </m:ctrlPr>
                </m:sub>
              </m:sSub>
            </m:oMath>
            <w:r w:rsidR="00100001">
              <w:rPr>
                <w:rFonts w:eastAsia="Times New Roman" w:cs="Times New Roman"/>
              </w:rPr>
              <w:t xml:space="preserve"> </w:t>
            </w:r>
          </w:p>
        </w:tc>
      </w:tr>
    </w:tbl>
    <w:p w:rsidR="00BC53BD" w:rsidRPr="00266606" w:rsidRDefault="00BC53BD" w:rsidP="00BA25E2">
      <w:pPr>
        <w:pStyle w:val="TableFigureCaption"/>
      </w:pPr>
      <w:r>
        <w:lastRenderedPageBreak/>
        <w:t>Table A-2:</w:t>
      </w:r>
      <w:r w:rsidR="00D921E2">
        <w:t xml:space="preserve"> </w:t>
      </w:r>
      <w:r>
        <w:t>List of Terms in Models</w:t>
      </w:r>
    </w:p>
    <w:tbl>
      <w:tblPr>
        <w:tblW w:w="948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3"/>
        <w:gridCol w:w="7758"/>
      </w:tblGrid>
      <w:tr w:rsidR="00BC53BD" w:rsidRPr="00050374" w:rsidTr="006B7BA6">
        <w:trPr>
          <w:trHeight w:val="674"/>
          <w:tblHeader/>
        </w:trPr>
        <w:tc>
          <w:tcPr>
            <w:tcW w:w="1723" w:type="dxa"/>
            <w:tcBorders>
              <w:right w:val="single" w:sz="4" w:space="0" w:color="FFFFFF" w:themeColor="background1"/>
            </w:tcBorders>
            <w:shd w:val="clear" w:color="000000" w:fill="1F497D"/>
            <w:vAlign w:val="center"/>
            <w:hideMark/>
          </w:tcPr>
          <w:p w:rsidR="00BC53BD" w:rsidRPr="00050374" w:rsidRDefault="00BC53BD" w:rsidP="00AA39FA">
            <w:pPr>
              <w:pStyle w:val="TableHeader"/>
              <w:rPr>
                <w:rFonts w:eastAsia="Times New Roman"/>
              </w:rPr>
            </w:pPr>
            <w:r w:rsidRPr="00050374">
              <w:rPr>
                <w:rFonts w:eastAsia="Times New Roman"/>
              </w:rPr>
              <w:t>Term</w:t>
            </w:r>
          </w:p>
        </w:tc>
        <w:tc>
          <w:tcPr>
            <w:tcW w:w="7758" w:type="dxa"/>
            <w:tcBorders>
              <w:left w:val="single" w:sz="4" w:space="0" w:color="FFFFFF" w:themeColor="background1"/>
            </w:tcBorders>
            <w:shd w:val="clear" w:color="000000" w:fill="1F497D"/>
            <w:vAlign w:val="center"/>
            <w:hideMark/>
          </w:tcPr>
          <w:p w:rsidR="00BC53BD" w:rsidRPr="00050374" w:rsidRDefault="00BC53BD" w:rsidP="00AA39FA">
            <w:pPr>
              <w:pStyle w:val="TableHeader"/>
              <w:rPr>
                <w:rFonts w:eastAsia="Times New Roman"/>
              </w:rPr>
            </w:pPr>
            <w:r w:rsidRPr="00050374">
              <w:rPr>
                <w:rFonts w:eastAsia="Times New Roman"/>
              </w:rPr>
              <w:t>Description</w:t>
            </w:r>
          </w:p>
        </w:tc>
      </w:tr>
      <w:tr w:rsidR="005C5DB7" w:rsidRPr="00050374" w:rsidTr="006B7BA6">
        <w:trPr>
          <w:trHeight w:val="251"/>
        </w:trPr>
        <w:tc>
          <w:tcPr>
            <w:tcW w:w="1723" w:type="dxa"/>
            <w:shd w:val="clear" w:color="auto" w:fill="auto"/>
            <w:noWrap/>
            <w:vAlign w:val="center"/>
            <w:hideMark/>
          </w:tcPr>
          <w:p w:rsidR="005C5DB7" w:rsidRPr="005C5DB7" w:rsidRDefault="001D5412" w:rsidP="005C5DB7">
            <w:pPr>
              <w:spacing w:after="0" w:line="240" w:lineRule="auto"/>
              <w:jc w:val="center"/>
              <w:rPr>
                <w:rFonts w:ascii="Calibri" w:hAnsi="Calibri"/>
                <w:i/>
                <w:color w:val="000000"/>
                <w:sz w:val="20"/>
              </w:rPr>
            </w:pPr>
            <w:r w:rsidRPr="001D5412">
              <w:rPr>
                <w:rFonts w:ascii="Calibri" w:hAnsi="Calibri"/>
                <w:i/>
                <w:color w:val="000000"/>
                <w:sz w:val="20"/>
              </w:rPr>
              <w:t>kw</w:t>
            </w:r>
          </w:p>
        </w:tc>
        <w:tc>
          <w:tcPr>
            <w:tcW w:w="7758" w:type="dxa"/>
            <w:shd w:val="clear" w:color="auto" w:fill="auto"/>
            <w:noWrap/>
            <w:vAlign w:val="center"/>
            <w:hideMark/>
          </w:tcPr>
          <w:p w:rsidR="005C5DB7" w:rsidRPr="00050374" w:rsidRDefault="005C5DB7" w:rsidP="00AA39FA">
            <w:pPr>
              <w:pStyle w:val="TableText"/>
              <w:jc w:val="left"/>
              <w:rPr>
                <w:rFonts w:eastAsia="Times New Roman"/>
              </w:rPr>
            </w:pPr>
            <w:r>
              <w:rPr>
                <w:rFonts w:eastAsia="Times New Roman"/>
              </w:rPr>
              <w:t xml:space="preserve">Electricity demand (kW) in the current interval </w:t>
            </w:r>
            <w:r w:rsidRPr="005C5DB7">
              <w:rPr>
                <w:rFonts w:eastAsia="Times New Roman"/>
                <w:i/>
              </w:rPr>
              <w:t>h</w:t>
            </w:r>
            <w:r>
              <w:rPr>
                <w:rFonts w:eastAsia="Times New Roman"/>
              </w:rPr>
              <w:t>.</w:t>
            </w:r>
          </w:p>
        </w:tc>
      </w:tr>
      <w:tr w:rsidR="00BC53BD" w:rsidRPr="00050374" w:rsidTr="006B7BA6">
        <w:trPr>
          <w:trHeight w:val="359"/>
        </w:trPr>
        <w:tc>
          <w:tcPr>
            <w:tcW w:w="1723" w:type="dxa"/>
            <w:shd w:val="clear" w:color="auto" w:fill="auto"/>
            <w:noWrap/>
            <w:vAlign w:val="center"/>
            <w:hideMark/>
          </w:tcPr>
          <w:p w:rsidR="00BC53BD" w:rsidRPr="00050374" w:rsidRDefault="00BC53BD" w:rsidP="00BC53BD">
            <w:pPr>
              <w:spacing w:after="0" w:line="240" w:lineRule="auto"/>
              <w:rPr>
                <w:rFonts w:ascii="Calibri" w:hAnsi="Calibri"/>
                <w:color w:val="000000"/>
                <w:sz w:val="20"/>
              </w:rPr>
            </w:pPr>
            <m:oMathPara>
              <m:oMath>
                <m:r>
                  <w:rPr>
                    <w:rFonts w:ascii="Cambria Math" w:eastAsia="Times New Roman" w:hAnsi="Cambria Math" w:cs="Calibri"/>
                    <w:color w:val="000000"/>
                    <w:sz w:val="20"/>
                    <w:szCs w:val="20"/>
                  </w:rPr>
                  <m:t>α</m:t>
                </m:r>
              </m:oMath>
            </m:oMathPara>
          </w:p>
        </w:tc>
        <w:tc>
          <w:tcPr>
            <w:tcW w:w="7758" w:type="dxa"/>
            <w:shd w:val="clear" w:color="auto" w:fill="auto"/>
            <w:noWrap/>
            <w:vAlign w:val="center"/>
            <w:hideMark/>
          </w:tcPr>
          <w:p w:rsidR="00BC53BD" w:rsidRPr="00050374" w:rsidRDefault="00BC53BD" w:rsidP="00AA39FA">
            <w:pPr>
              <w:pStyle w:val="TableText"/>
              <w:jc w:val="left"/>
              <w:rPr>
                <w:rFonts w:eastAsia="Times New Roman"/>
              </w:rPr>
            </w:pPr>
            <w:r w:rsidRPr="00050374">
              <w:rPr>
                <w:rFonts w:eastAsia="Times New Roman"/>
              </w:rPr>
              <w:t>Represents the regression model constant for the interval.</w:t>
            </w:r>
          </w:p>
        </w:tc>
      </w:tr>
      <w:tr w:rsidR="00BC53BD" w:rsidRPr="00050374" w:rsidTr="006B7BA6">
        <w:trPr>
          <w:trHeight w:val="524"/>
        </w:trPr>
        <w:tc>
          <w:tcPr>
            <w:tcW w:w="1723" w:type="dxa"/>
            <w:shd w:val="clear" w:color="auto" w:fill="auto"/>
            <w:noWrap/>
            <w:vAlign w:val="center"/>
            <w:hideMark/>
          </w:tcPr>
          <w:p w:rsidR="00BC53BD" w:rsidRPr="00050374" w:rsidRDefault="00BC53BD" w:rsidP="00BC53BD">
            <w:pPr>
              <w:spacing w:after="0" w:line="240" w:lineRule="auto"/>
              <w:rPr>
                <w:rFonts w:ascii="Calibri" w:hAnsi="Calibri"/>
                <w:color w:val="000000"/>
                <w:sz w:val="20"/>
              </w:rPr>
            </w:pPr>
            <m:oMathPara>
              <m:oMath>
                <m:r>
                  <w:rPr>
                    <w:rFonts w:ascii="Cambria Math" w:eastAsia="Times New Roman" w:hAnsi="Cambria Math" w:cs="Calibri"/>
                    <w:color w:val="000000"/>
                    <w:sz w:val="20"/>
                    <w:szCs w:val="20"/>
                  </w:rPr>
                  <m:t>β</m:t>
                </m:r>
              </m:oMath>
            </m:oMathPara>
          </w:p>
        </w:tc>
        <w:tc>
          <w:tcPr>
            <w:tcW w:w="7758" w:type="dxa"/>
            <w:shd w:val="clear" w:color="auto" w:fill="auto"/>
            <w:noWrap/>
            <w:vAlign w:val="center"/>
            <w:hideMark/>
          </w:tcPr>
          <w:p w:rsidR="00BC53BD" w:rsidRPr="00050374" w:rsidRDefault="00BC53BD" w:rsidP="00AA39FA">
            <w:pPr>
              <w:pStyle w:val="TableText"/>
              <w:jc w:val="left"/>
              <w:rPr>
                <w:rFonts w:eastAsia="Times New Roman"/>
              </w:rPr>
            </w:pPr>
            <w:r w:rsidRPr="00050374">
              <w:rPr>
                <w:rFonts w:eastAsia="Times New Roman"/>
              </w:rPr>
              <w:t xml:space="preserve">Represents regression model coefficients. </w:t>
            </w:r>
          </w:p>
        </w:tc>
      </w:tr>
      <w:tr w:rsidR="00BC53BD" w:rsidRPr="00050374" w:rsidTr="006B7BA6">
        <w:trPr>
          <w:trHeight w:val="269"/>
        </w:trPr>
        <w:tc>
          <w:tcPr>
            <w:tcW w:w="1723" w:type="dxa"/>
            <w:shd w:val="clear" w:color="auto" w:fill="auto"/>
            <w:noWrap/>
            <w:vAlign w:val="center"/>
            <w:hideMark/>
          </w:tcPr>
          <w:p w:rsidR="00BC53BD" w:rsidRPr="00050374" w:rsidRDefault="00BC53BD" w:rsidP="00BC53BD">
            <w:pPr>
              <w:spacing w:after="0" w:line="240" w:lineRule="auto"/>
              <w:jc w:val="center"/>
              <w:rPr>
                <w:rFonts w:ascii="Calibri" w:hAnsi="Calibri"/>
                <w:i/>
                <w:color w:val="000000"/>
                <w:sz w:val="20"/>
              </w:rPr>
            </w:pPr>
            <w:r>
              <w:rPr>
                <w:i/>
                <w:color w:val="000000"/>
                <w:sz w:val="20"/>
              </w:rPr>
              <w:t>CDD</w:t>
            </w:r>
          </w:p>
        </w:tc>
        <w:tc>
          <w:tcPr>
            <w:tcW w:w="7758" w:type="dxa"/>
            <w:shd w:val="clear" w:color="auto" w:fill="auto"/>
            <w:noWrap/>
            <w:vAlign w:val="center"/>
            <w:hideMark/>
          </w:tcPr>
          <w:p w:rsidR="00BC53BD" w:rsidRPr="00050374" w:rsidRDefault="00BC53BD" w:rsidP="00AA39FA">
            <w:pPr>
              <w:pStyle w:val="TableText"/>
              <w:jc w:val="left"/>
              <w:rPr>
                <w:rFonts w:eastAsia="Times New Roman"/>
              </w:rPr>
            </w:pPr>
            <w:r w:rsidRPr="00050374">
              <w:t xml:space="preserve">Reflects </w:t>
            </w:r>
            <w:r>
              <w:t>daily</w:t>
            </w:r>
            <w:r w:rsidRPr="00050374">
              <w:t xml:space="preserve"> temperature by calculating cooling degree </w:t>
            </w:r>
            <w:r>
              <w:t>days</w:t>
            </w:r>
            <w:r w:rsidRPr="00050374">
              <w:t xml:space="preserve">, using a base of </w:t>
            </w:r>
            <w:r w:rsidRPr="00050374">
              <w:rPr>
                <w:rFonts w:eastAsia="Times New Roman"/>
              </w:rPr>
              <w:t>65˚F.</w:t>
            </w:r>
          </w:p>
        </w:tc>
      </w:tr>
      <w:tr w:rsidR="00BC53BD" w:rsidRPr="00050374" w:rsidTr="006B7BA6">
        <w:trPr>
          <w:trHeight w:val="296"/>
        </w:trPr>
        <w:tc>
          <w:tcPr>
            <w:tcW w:w="1723" w:type="dxa"/>
            <w:shd w:val="clear" w:color="auto" w:fill="auto"/>
            <w:noWrap/>
            <w:vAlign w:val="center"/>
            <w:hideMark/>
          </w:tcPr>
          <w:p w:rsidR="00BC53BD" w:rsidRPr="00050374" w:rsidRDefault="001D5412" w:rsidP="00BC53BD">
            <w:pPr>
              <w:spacing w:after="0" w:line="240" w:lineRule="auto"/>
              <w:jc w:val="center"/>
              <w:rPr>
                <w:rFonts w:ascii="Calibri" w:hAnsi="Calibri"/>
                <w:i/>
                <w:color w:val="000000"/>
                <w:sz w:val="20"/>
              </w:rPr>
            </w:pPr>
            <w:r w:rsidRPr="001D5412">
              <w:rPr>
                <w:rFonts w:ascii="Calibri" w:hAnsi="Calibri"/>
                <w:i/>
                <w:color w:val="000000"/>
                <w:sz w:val="20"/>
              </w:rPr>
              <w:t>CDH</w:t>
            </w:r>
          </w:p>
        </w:tc>
        <w:tc>
          <w:tcPr>
            <w:tcW w:w="7758" w:type="dxa"/>
            <w:shd w:val="clear" w:color="auto" w:fill="auto"/>
            <w:noWrap/>
            <w:vAlign w:val="center"/>
            <w:hideMark/>
          </w:tcPr>
          <w:p w:rsidR="00BC53BD" w:rsidRPr="00050374" w:rsidRDefault="00BC53BD" w:rsidP="00AA39FA">
            <w:pPr>
              <w:pStyle w:val="TableText"/>
              <w:jc w:val="left"/>
            </w:pPr>
            <w:r w:rsidRPr="00050374">
              <w:t xml:space="preserve">Reflects current temperature by calculating current cooling degree hours, using a base of </w:t>
            </w:r>
            <w:r w:rsidRPr="00050374">
              <w:rPr>
                <w:rFonts w:eastAsia="Times New Roman"/>
              </w:rPr>
              <w:t>65˚F.</w:t>
            </w:r>
          </w:p>
        </w:tc>
      </w:tr>
      <w:tr w:rsidR="00BC53BD" w:rsidRPr="00050374" w:rsidTr="006B7BA6">
        <w:trPr>
          <w:trHeight w:val="107"/>
        </w:trPr>
        <w:tc>
          <w:tcPr>
            <w:tcW w:w="1723" w:type="dxa"/>
            <w:shd w:val="clear" w:color="auto" w:fill="auto"/>
            <w:noWrap/>
            <w:vAlign w:val="center"/>
            <w:hideMark/>
          </w:tcPr>
          <w:p w:rsidR="00BC53BD" w:rsidRPr="00050374" w:rsidRDefault="00BC53BD" w:rsidP="00BC53BD">
            <w:pPr>
              <w:spacing w:after="0" w:line="240" w:lineRule="auto"/>
              <w:jc w:val="center"/>
              <w:rPr>
                <w:rFonts w:ascii="Calibri" w:hAnsi="Calibri"/>
                <w:i/>
                <w:color w:val="000000"/>
                <w:sz w:val="20"/>
              </w:rPr>
            </w:pPr>
            <w:proofErr w:type="spellStart"/>
            <w:r>
              <w:rPr>
                <w:i/>
                <w:color w:val="000000"/>
                <w:sz w:val="20"/>
              </w:rPr>
              <w:t>total</w:t>
            </w:r>
            <w:r w:rsidR="001D5412" w:rsidRPr="001D5412">
              <w:rPr>
                <w:rFonts w:ascii="Calibri" w:hAnsi="Calibri"/>
                <w:i/>
                <w:color w:val="000000"/>
                <w:sz w:val="20"/>
              </w:rPr>
              <w:t>CDH</w:t>
            </w:r>
            <w:proofErr w:type="spellEnd"/>
          </w:p>
        </w:tc>
        <w:tc>
          <w:tcPr>
            <w:tcW w:w="7758" w:type="dxa"/>
            <w:shd w:val="clear" w:color="auto" w:fill="auto"/>
            <w:noWrap/>
            <w:vAlign w:val="center"/>
            <w:hideMark/>
          </w:tcPr>
          <w:p w:rsidR="00BC53BD" w:rsidRPr="00050374" w:rsidRDefault="00BC53BD" w:rsidP="00AA39FA">
            <w:pPr>
              <w:pStyle w:val="TableText"/>
              <w:jc w:val="left"/>
              <w:rPr>
                <w:rFonts w:eastAsia="Times New Roman"/>
              </w:rPr>
            </w:pPr>
            <w:r w:rsidRPr="00050374">
              <w:rPr>
                <w:rFonts w:eastAsia="Times New Roman"/>
              </w:rPr>
              <w:t xml:space="preserve">Reflects the effect of heat build-up over the </w:t>
            </w:r>
            <w:r>
              <w:rPr>
                <w:rFonts w:eastAsia="Times New Roman"/>
              </w:rPr>
              <w:t>current day</w:t>
            </w:r>
            <w:r w:rsidRPr="00050374">
              <w:rPr>
                <w:rFonts w:eastAsia="Times New Roman"/>
              </w:rPr>
              <w:t xml:space="preserve"> o</w:t>
            </w:r>
            <w:r>
              <w:rPr>
                <w:rFonts w:eastAsia="Times New Roman"/>
              </w:rPr>
              <w:t>n</w:t>
            </w:r>
            <w:r w:rsidRPr="00050374">
              <w:rPr>
                <w:rFonts w:eastAsia="Times New Roman"/>
              </w:rPr>
              <w:t xml:space="preserve"> electricity use.  This is captured by calculating the total cooling degree hours over the </w:t>
            </w:r>
            <w:r>
              <w:rPr>
                <w:rFonts w:eastAsia="Times New Roman"/>
              </w:rPr>
              <w:t>course of the day</w:t>
            </w:r>
            <w:r w:rsidRPr="00050374">
              <w:rPr>
                <w:rFonts w:eastAsia="Times New Roman"/>
              </w:rPr>
              <w:t xml:space="preserve">, using a base of 65˚F.  </w:t>
            </w:r>
          </w:p>
        </w:tc>
      </w:tr>
      <w:tr w:rsidR="00BC53BD" w:rsidRPr="00050374" w:rsidTr="006B7BA6">
        <w:trPr>
          <w:trHeight w:val="548"/>
        </w:trPr>
        <w:tc>
          <w:tcPr>
            <w:tcW w:w="1723" w:type="dxa"/>
            <w:shd w:val="clear" w:color="auto" w:fill="auto"/>
            <w:noWrap/>
            <w:vAlign w:val="center"/>
            <w:hideMark/>
          </w:tcPr>
          <w:p w:rsidR="00BC53BD" w:rsidRPr="00050374" w:rsidRDefault="001D5412" w:rsidP="00BC53BD">
            <w:pPr>
              <w:spacing w:after="0" w:line="240" w:lineRule="auto"/>
              <w:jc w:val="center"/>
              <w:rPr>
                <w:rFonts w:ascii="Calibri" w:hAnsi="Calibri"/>
                <w:i/>
                <w:color w:val="000000"/>
                <w:sz w:val="20"/>
              </w:rPr>
            </w:pPr>
            <w:r w:rsidRPr="001D5412">
              <w:rPr>
                <w:rFonts w:ascii="Calibri" w:hAnsi="Calibri"/>
                <w:i/>
                <w:color w:val="000000"/>
                <w:sz w:val="20"/>
              </w:rPr>
              <w:t>24hrCDH</w:t>
            </w:r>
          </w:p>
        </w:tc>
        <w:tc>
          <w:tcPr>
            <w:tcW w:w="7758" w:type="dxa"/>
            <w:shd w:val="clear" w:color="auto" w:fill="auto"/>
            <w:noWrap/>
            <w:vAlign w:val="center"/>
            <w:hideMark/>
          </w:tcPr>
          <w:p w:rsidR="00BC53BD" w:rsidRPr="00050374" w:rsidRDefault="00BC53BD" w:rsidP="00AA39FA">
            <w:pPr>
              <w:pStyle w:val="TableText"/>
              <w:jc w:val="left"/>
              <w:rPr>
                <w:rFonts w:eastAsia="Times New Roman"/>
              </w:rPr>
            </w:pPr>
            <w:r w:rsidRPr="00050374">
              <w:rPr>
                <w:rFonts w:eastAsia="Times New Roman"/>
              </w:rPr>
              <w:t xml:space="preserve">Reflects the effect of heat build-up over the past 24 hours on electricity use.  This is captured by calculating the total cooling degree hours over the past 24 hours, using a base of 65˚F.  </w:t>
            </w:r>
          </w:p>
        </w:tc>
      </w:tr>
      <w:tr w:rsidR="00BC53BD" w:rsidRPr="00050374" w:rsidTr="006B7BA6">
        <w:trPr>
          <w:trHeight w:val="719"/>
        </w:trPr>
        <w:tc>
          <w:tcPr>
            <w:tcW w:w="1723" w:type="dxa"/>
            <w:shd w:val="clear" w:color="auto" w:fill="auto"/>
            <w:noWrap/>
            <w:vAlign w:val="center"/>
            <w:hideMark/>
          </w:tcPr>
          <w:p w:rsidR="00BC53BD" w:rsidRPr="00050374" w:rsidRDefault="001D5412" w:rsidP="00BC53BD">
            <w:pPr>
              <w:spacing w:after="0" w:line="240" w:lineRule="auto"/>
              <w:jc w:val="center"/>
              <w:rPr>
                <w:rFonts w:ascii="Calibri" w:hAnsi="Calibri"/>
                <w:i/>
                <w:color w:val="000000"/>
                <w:sz w:val="20"/>
              </w:rPr>
            </w:pPr>
            <w:proofErr w:type="spellStart"/>
            <w:r w:rsidRPr="001D5412">
              <w:rPr>
                <w:rFonts w:ascii="Calibri" w:hAnsi="Calibri"/>
                <w:i/>
                <w:color w:val="000000"/>
                <w:sz w:val="20"/>
              </w:rPr>
              <w:t>daytype</w:t>
            </w:r>
            <w:proofErr w:type="spellEnd"/>
          </w:p>
        </w:tc>
        <w:tc>
          <w:tcPr>
            <w:tcW w:w="7758" w:type="dxa"/>
            <w:shd w:val="clear" w:color="auto" w:fill="auto"/>
            <w:noWrap/>
            <w:vAlign w:val="center"/>
            <w:hideMark/>
          </w:tcPr>
          <w:p w:rsidR="00BC53BD" w:rsidRPr="00050374" w:rsidRDefault="00863638" w:rsidP="00863638">
            <w:pPr>
              <w:pStyle w:val="TableText"/>
              <w:jc w:val="left"/>
              <w:rPr>
                <w:rFonts w:eastAsia="Times New Roman"/>
              </w:rPr>
            </w:pPr>
            <w:r>
              <w:t>A</w:t>
            </w:r>
            <w:r w:rsidR="00BC53BD" w:rsidRPr="00050374">
              <w:t xml:space="preserve">n </w:t>
            </w:r>
            <w:r w:rsidRPr="00050374">
              <w:t>indicat</w:t>
            </w:r>
            <w:r>
              <w:t>ion</w:t>
            </w:r>
            <w:r w:rsidRPr="00050374">
              <w:t xml:space="preserve"> </w:t>
            </w:r>
            <w:r w:rsidR="00BC53BD" w:rsidRPr="00050374">
              <w:t xml:space="preserve">of whether the interval in question falls on the first </w:t>
            </w:r>
            <w:r w:rsidR="00F95446">
              <w:t>day-of</w:t>
            </w:r>
            <w:r w:rsidR="00BC53BD" w:rsidRPr="00050374">
              <w:t xml:space="preserve"> the business week, mid-week, or </w:t>
            </w:r>
            <w:r w:rsidR="00BC53BD">
              <w:t xml:space="preserve">on the last </w:t>
            </w:r>
            <w:r w:rsidR="00F95446">
              <w:t>day-of</w:t>
            </w:r>
            <w:r w:rsidR="00BC53BD">
              <w:t xml:space="preserve"> the business </w:t>
            </w:r>
            <w:r w:rsidR="00BC53BD" w:rsidRPr="00050374">
              <w:t>week.  Weekends and holidays were excluded from the ex post regression.</w:t>
            </w:r>
          </w:p>
        </w:tc>
      </w:tr>
      <w:tr w:rsidR="00BC53BD" w:rsidRPr="00050374" w:rsidTr="006B7BA6">
        <w:trPr>
          <w:trHeight w:val="503"/>
        </w:trPr>
        <w:tc>
          <w:tcPr>
            <w:tcW w:w="1723" w:type="dxa"/>
            <w:shd w:val="clear" w:color="auto" w:fill="auto"/>
            <w:noWrap/>
            <w:vAlign w:val="center"/>
            <w:hideMark/>
          </w:tcPr>
          <w:p w:rsidR="00BC53BD" w:rsidRPr="00050374" w:rsidRDefault="001D5412" w:rsidP="00BC53BD">
            <w:pPr>
              <w:spacing w:after="0" w:line="240" w:lineRule="auto"/>
              <w:jc w:val="center"/>
              <w:rPr>
                <w:rFonts w:ascii="Calibri" w:hAnsi="Calibri"/>
                <w:i/>
                <w:color w:val="000000"/>
                <w:sz w:val="20"/>
              </w:rPr>
            </w:pPr>
            <w:r w:rsidRPr="001D5412">
              <w:rPr>
                <w:rFonts w:ascii="Calibri" w:hAnsi="Calibri"/>
                <w:i/>
                <w:color w:val="000000"/>
                <w:sz w:val="20"/>
              </w:rPr>
              <w:t>month</w:t>
            </w:r>
          </w:p>
        </w:tc>
        <w:tc>
          <w:tcPr>
            <w:tcW w:w="7758" w:type="dxa"/>
            <w:shd w:val="clear" w:color="auto" w:fill="auto"/>
            <w:noWrap/>
            <w:vAlign w:val="center"/>
            <w:hideMark/>
          </w:tcPr>
          <w:p w:rsidR="00BC53BD" w:rsidRPr="00050374" w:rsidRDefault="00863638" w:rsidP="00863638">
            <w:pPr>
              <w:pStyle w:val="TableText"/>
              <w:jc w:val="left"/>
              <w:rPr>
                <w:rFonts w:eastAsia="Times New Roman"/>
              </w:rPr>
            </w:pPr>
            <w:r>
              <w:rPr>
                <w:rFonts w:eastAsia="Times New Roman"/>
              </w:rPr>
              <w:t>A</w:t>
            </w:r>
            <w:r w:rsidR="00BC53BD" w:rsidRPr="00050374">
              <w:rPr>
                <w:rFonts w:eastAsia="Times New Roman"/>
              </w:rPr>
              <w:t xml:space="preserve">n </w:t>
            </w:r>
            <w:r w:rsidRPr="00050374">
              <w:rPr>
                <w:rFonts w:eastAsia="Times New Roman"/>
              </w:rPr>
              <w:t>indicat</w:t>
            </w:r>
            <w:r>
              <w:rPr>
                <w:rFonts w:eastAsia="Times New Roman"/>
              </w:rPr>
              <w:t>ion</w:t>
            </w:r>
            <w:r w:rsidRPr="00050374">
              <w:rPr>
                <w:rFonts w:eastAsia="Times New Roman"/>
              </w:rPr>
              <w:t xml:space="preserve"> </w:t>
            </w:r>
            <w:r w:rsidR="00BC53BD" w:rsidRPr="00050374">
              <w:rPr>
                <w:rFonts w:eastAsia="Times New Roman"/>
              </w:rPr>
              <w:t xml:space="preserve">of the month of the year.  It is included to capture seasonal variations in non-weather sensitive electricity use. </w:t>
            </w:r>
          </w:p>
        </w:tc>
      </w:tr>
      <w:tr w:rsidR="00BC53BD" w:rsidRPr="00050374" w:rsidTr="006B7BA6">
        <w:trPr>
          <w:trHeight w:val="494"/>
        </w:trPr>
        <w:tc>
          <w:tcPr>
            <w:tcW w:w="1723" w:type="dxa"/>
            <w:shd w:val="clear" w:color="auto" w:fill="auto"/>
            <w:noWrap/>
            <w:vAlign w:val="center"/>
            <w:hideMark/>
          </w:tcPr>
          <w:p w:rsidR="00BC53BD" w:rsidRPr="00050374" w:rsidRDefault="001D5412" w:rsidP="00BC53BD">
            <w:pPr>
              <w:spacing w:after="0" w:line="240" w:lineRule="auto"/>
              <w:jc w:val="center"/>
              <w:rPr>
                <w:rFonts w:ascii="Calibri" w:hAnsi="Calibri"/>
                <w:i/>
                <w:color w:val="000000"/>
                <w:sz w:val="20"/>
              </w:rPr>
            </w:pPr>
            <w:r w:rsidRPr="001D5412">
              <w:rPr>
                <w:rFonts w:ascii="Calibri" w:hAnsi="Calibri"/>
                <w:i/>
                <w:color w:val="000000"/>
                <w:sz w:val="20"/>
              </w:rPr>
              <w:t>daylight</w:t>
            </w:r>
          </w:p>
        </w:tc>
        <w:tc>
          <w:tcPr>
            <w:tcW w:w="7758" w:type="dxa"/>
            <w:shd w:val="clear" w:color="auto" w:fill="auto"/>
            <w:noWrap/>
            <w:vAlign w:val="center"/>
            <w:hideMark/>
          </w:tcPr>
          <w:p w:rsidR="00BC53BD" w:rsidRPr="00050374" w:rsidRDefault="00BC53BD" w:rsidP="00AA39FA">
            <w:pPr>
              <w:pStyle w:val="TableText"/>
              <w:jc w:val="left"/>
              <w:rPr>
                <w:rFonts w:eastAsia="Times New Roman"/>
              </w:rPr>
            </w:pPr>
            <w:r w:rsidRPr="00050374">
              <w:t>An indication of the percent of the interval in daylight (1 = full day, 0 = full night, fractions are during dusk and dawn).</w:t>
            </w:r>
          </w:p>
        </w:tc>
      </w:tr>
      <w:tr w:rsidR="00BC53BD" w:rsidRPr="00050374" w:rsidTr="006B7BA6">
        <w:trPr>
          <w:trHeight w:val="63"/>
        </w:trPr>
        <w:tc>
          <w:tcPr>
            <w:tcW w:w="1723" w:type="dxa"/>
            <w:shd w:val="clear" w:color="auto" w:fill="auto"/>
            <w:noWrap/>
            <w:vAlign w:val="center"/>
            <w:hideMark/>
          </w:tcPr>
          <w:p w:rsidR="00BC53BD" w:rsidRPr="00050374" w:rsidRDefault="00BC53BD" w:rsidP="00BC53BD">
            <w:pPr>
              <w:spacing w:after="0" w:line="240" w:lineRule="auto"/>
              <w:jc w:val="center"/>
              <w:rPr>
                <w:rFonts w:ascii="Calibri" w:hAnsi="Calibri"/>
                <w:i/>
                <w:color w:val="000000"/>
                <w:sz w:val="20"/>
              </w:rPr>
            </w:pPr>
            <w:proofErr w:type="spellStart"/>
            <w:r>
              <w:rPr>
                <w:i/>
                <w:color w:val="000000"/>
                <w:sz w:val="20"/>
              </w:rPr>
              <w:t>rateblock</w:t>
            </w:r>
            <w:proofErr w:type="spellEnd"/>
          </w:p>
        </w:tc>
        <w:tc>
          <w:tcPr>
            <w:tcW w:w="7758" w:type="dxa"/>
            <w:shd w:val="clear" w:color="auto" w:fill="auto"/>
            <w:noWrap/>
            <w:vAlign w:val="center"/>
            <w:hideMark/>
          </w:tcPr>
          <w:p w:rsidR="00BC53BD" w:rsidRPr="00050374" w:rsidRDefault="00BC53BD" w:rsidP="00AA39FA">
            <w:pPr>
              <w:pStyle w:val="TableText"/>
              <w:jc w:val="left"/>
            </w:pPr>
            <w:r>
              <w:t>An indication of the current rate period: either peak, part-peak, or off-peak.</w:t>
            </w:r>
          </w:p>
        </w:tc>
      </w:tr>
      <w:tr w:rsidR="00BC53BD" w:rsidRPr="00050374" w:rsidTr="006B7BA6">
        <w:trPr>
          <w:trHeight w:val="341"/>
        </w:trPr>
        <w:tc>
          <w:tcPr>
            <w:tcW w:w="1723" w:type="dxa"/>
            <w:shd w:val="clear" w:color="auto" w:fill="auto"/>
            <w:noWrap/>
            <w:vAlign w:val="center"/>
            <w:hideMark/>
          </w:tcPr>
          <w:p w:rsidR="00BC53BD" w:rsidRPr="00050374" w:rsidRDefault="001D5412" w:rsidP="00BC53BD">
            <w:pPr>
              <w:spacing w:after="0" w:line="240" w:lineRule="auto"/>
              <w:jc w:val="center"/>
              <w:rPr>
                <w:rFonts w:ascii="Calibri" w:hAnsi="Calibri"/>
                <w:i/>
                <w:color w:val="000000"/>
                <w:sz w:val="20"/>
              </w:rPr>
            </w:pPr>
            <w:proofErr w:type="spellStart"/>
            <w:r w:rsidRPr="001D5412">
              <w:rPr>
                <w:rFonts w:ascii="Calibri" w:hAnsi="Calibri"/>
                <w:i/>
                <w:color w:val="000000"/>
                <w:sz w:val="20"/>
              </w:rPr>
              <w:t>morningload</w:t>
            </w:r>
            <w:proofErr w:type="spellEnd"/>
          </w:p>
        </w:tc>
        <w:tc>
          <w:tcPr>
            <w:tcW w:w="7758" w:type="dxa"/>
            <w:shd w:val="clear" w:color="auto" w:fill="auto"/>
            <w:noWrap/>
            <w:vAlign w:val="center"/>
            <w:hideMark/>
          </w:tcPr>
          <w:p w:rsidR="00BC53BD" w:rsidRPr="00050374" w:rsidRDefault="00BC53BD" w:rsidP="00AA39FA">
            <w:pPr>
              <w:pStyle w:val="TableText"/>
              <w:jc w:val="left"/>
              <w:rPr>
                <w:rFonts w:eastAsia="Times New Roman"/>
              </w:rPr>
            </w:pPr>
            <w:r w:rsidRPr="00050374">
              <w:rPr>
                <w:rFonts w:eastAsia="Times New Roman"/>
              </w:rPr>
              <w:t xml:space="preserve">Reflects the total kWh consumed between midnight and 9 AM the same </w:t>
            </w:r>
            <w:r w:rsidR="00F95446">
              <w:rPr>
                <w:rFonts w:eastAsia="Times New Roman"/>
              </w:rPr>
              <w:t>day-of</w:t>
            </w:r>
            <w:r w:rsidRPr="00050374">
              <w:rPr>
                <w:rFonts w:eastAsia="Times New Roman"/>
              </w:rPr>
              <w:t xml:space="preserve"> the interval in question.</w:t>
            </w:r>
          </w:p>
        </w:tc>
      </w:tr>
      <w:tr w:rsidR="00BC53BD" w:rsidRPr="00050374" w:rsidTr="006B7BA6">
        <w:trPr>
          <w:trHeight w:val="161"/>
        </w:trPr>
        <w:tc>
          <w:tcPr>
            <w:tcW w:w="1723" w:type="dxa"/>
            <w:shd w:val="clear" w:color="auto" w:fill="auto"/>
            <w:noWrap/>
            <w:vAlign w:val="center"/>
            <w:hideMark/>
          </w:tcPr>
          <w:p w:rsidR="00BC53BD" w:rsidRPr="00050374" w:rsidRDefault="001D5412" w:rsidP="00BC53BD">
            <w:pPr>
              <w:spacing w:after="0" w:line="240" w:lineRule="auto"/>
              <w:jc w:val="center"/>
              <w:rPr>
                <w:rFonts w:ascii="Calibri" w:hAnsi="Calibri"/>
                <w:i/>
                <w:color w:val="000000"/>
                <w:sz w:val="20"/>
              </w:rPr>
            </w:pPr>
            <w:proofErr w:type="spellStart"/>
            <w:r w:rsidRPr="001D5412">
              <w:rPr>
                <w:rFonts w:ascii="Calibri" w:hAnsi="Calibri"/>
                <w:i/>
                <w:color w:val="000000"/>
                <w:sz w:val="20"/>
              </w:rPr>
              <w:t>twoweekavg</w:t>
            </w:r>
            <w:proofErr w:type="spellEnd"/>
          </w:p>
        </w:tc>
        <w:tc>
          <w:tcPr>
            <w:tcW w:w="7758" w:type="dxa"/>
            <w:shd w:val="clear" w:color="auto" w:fill="auto"/>
            <w:noWrap/>
            <w:vAlign w:val="center"/>
            <w:hideMark/>
          </w:tcPr>
          <w:p w:rsidR="00BC53BD" w:rsidRPr="00050374" w:rsidRDefault="00863638" w:rsidP="00AA39FA">
            <w:pPr>
              <w:pStyle w:val="TableText"/>
              <w:jc w:val="left"/>
              <w:rPr>
                <w:rFonts w:eastAsia="Times New Roman"/>
              </w:rPr>
            </w:pPr>
            <w:r>
              <w:t>A</w:t>
            </w:r>
            <w:r w:rsidR="00BC53BD" w:rsidRPr="00050374">
              <w:t xml:space="preserve">verage kW for the interval in question during all non-holiday, non-weekend, </w:t>
            </w:r>
            <w:proofErr w:type="gramStart"/>
            <w:r w:rsidR="00EB4CC2">
              <w:t>non</w:t>
            </w:r>
            <w:proofErr w:type="gramEnd"/>
            <w:r w:rsidR="00EB4CC2">
              <w:t>-event</w:t>
            </w:r>
            <w:r w:rsidR="00BC53BD" w:rsidRPr="00050374">
              <w:t xml:space="preserve"> days in the past two weeks.</w:t>
            </w:r>
          </w:p>
        </w:tc>
      </w:tr>
      <w:tr w:rsidR="00BC53BD" w:rsidRPr="00050374" w:rsidTr="006B7BA6">
        <w:trPr>
          <w:trHeight w:val="431"/>
        </w:trPr>
        <w:tc>
          <w:tcPr>
            <w:tcW w:w="1723" w:type="dxa"/>
            <w:shd w:val="clear" w:color="auto" w:fill="auto"/>
            <w:noWrap/>
            <w:vAlign w:val="center"/>
            <w:hideMark/>
          </w:tcPr>
          <w:p w:rsidR="00BC53BD" w:rsidRPr="00050374" w:rsidRDefault="001D5412" w:rsidP="00BC53BD">
            <w:pPr>
              <w:spacing w:after="0" w:line="240" w:lineRule="auto"/>
              <w:jc w:val="center"/>
              <w:rPr>
                <w:rFonts w:ascii="Calibri" w:hAnsi="Calibri"/>
                <w:i/>
                <w:color w:val="000000"/>
                <w:sz w:val="20"/>
              </w:rPr>
            </w:pPr>
            <w:proofErr w:type="spellStart"/>
            <w:r w:rsidRPr="001D5412">
              <w:rPr>
                <w:rFonts w:ascii="Calibri" w:hAnsi="Calibri"/>
                <w:i/>
                <w:color w:val="000000"/>
                <w:sz w:val="20"/>
              </w:rPr>
              <w:t>AMPorDRRCevent</w:t>
            </w:r>
            <w:proofErr w:type="spellEnd"/>
          </w:p>
        </w:tc>
        <w:tc>
          <w:tcPr>
            <w:tcW w:w="7758" w:type="dxa"/>
            <w:shd w:val="clear" w:color="auto" w:fill="auto"/>
            <w:noWrap/>
            <w:vAlign w:val="center"/>
            <w:hideMark/>
          </w:tcPr>
          <w:p w:rsidR="00BC53BD" w:rsidRPr="00050374" w:rsidRDefault="00BC53BD" w:rsidP="00863638">
            <w:pPr>
              <w:pStyle w:val="TableText"/>
              <w:jc w:val="left"/>
              <w:rPr>
                <w:rFonts w:eastAsia="Times New Roman"/>
              </w:rPr>
            </w:pPr>
            <w:r w:rsidRPr="00050374">
              <w:t xml:space="preserve">An </w:t>
            </w:r>
            <w:r w:rsidR="00863638" w:rsidRPr="00050374">
              <w:t>indicat</w:t>
            </w:r>
            <w:r w:rsidR="00863638">
              <w:t>ion</w:t>
            </w:r>
            <w:r w:rsidR="00863638" w:rsidRPr="00050374">
              <w:t xml:space="preserve"> </w:t>
            </w:r>
            <w:r w:rsidRPr="00050374">
              <w:t>of whether an AMP or DRRC event was called that day.</w:t>
            </w:r>
            <w:r>
              <w:t xml:space="preserve">  Each event is its own variable</w:t>
            </w:r>
            <w:r w:rsidR="00863638">
              <w:t xml:space="preserve">; </w:t>
            </w:r>
            <w:r>
              <w:t>thus the coefficient represents impacts for the particular event.</w:t>
            </w:r>
            <w:r w:rsidRPr="00050374">
              <w:t xml:space="preserve">  These variables take into account whether the customer was nominated for participation.  A customer that is not nominated for participation is assumed not to have been activated for the event.</w:t>
            </w:r>
          </w:p>
        </w:tc>
      </w:tr>
      <w:tr w:rsidR="00BC53BD" w:rsidRPr="00050374" w:rsidTr="006B7BA6">
        <w:trPr>
          <w:trHeight w:val="368"/>
        </w:trPr>
        <w:tc>
          <w:tcPr>
            <w:tcW w:w="1723" w:type="dxa"/>
            <w:shd w:val="clear" w:color="auto" w:fill="auto"/>
            <w:noWrap/>
            <w:vAlign w:val="center"/>
            <w:hideMark/>
          </w:tcPr>
          <w:p w:rsidR="00BC53BD" w:rsidRPr="00050374" w:rsidRDefault="001D5412" w:rsidP="00BC53BD">
            <w:pPr>
              <w:spacing w:after="0" w:line="240" w:lineRule="auto"/>
              <w:jc w:val="center"/>
              <w:rPr>
                <w:rFonts w:ascii="Calibri" w:hAnsi="Calibri"/>
                <w:i/>
                <w:color w:val="000000"/>
                <w:sz w:val="20"/>
              </w:rPr>
            </w:pPr>
            <w:proofErr w:type="spellStart"/>
            <w:r w:rsidRPr="001D5412">
              <w:rPr>
                <w:rFonts w:ascii="Calibri" w:hAnsi="Calibri"/>
                <w:i/>
                <w:color w:val="000000"/>
                <w:sz w:val="20"/>
              </w:rPr>
              <w:t>CBPEvent</w:t>
            </w:r>
            <w:proofErr w:type="spellEnd"/>
          </w:p>
        </w:tc>
        <w:tc>
          <w:tcPr>
            <w:tcW w:w="7758" w:type="dxa"/>
            <w:shd w:val="clear" w:color="auto" w:fill="auto"/>
            <w:noWrap/>
            <w:vAlign w:val="center"/>
            <w:hideMark/>
          </w:tcPr>
          <w:p w:rsidR="00BC53BD" w:rsidRPr="00050374" w:rsidRDefault="00BC53BD" w:rsidP="00863638">
            <w:pPr>
              <w:pStyle w:val="TableText"/>
              <w:jc w:val="left"/>
              <w:rPr>
                <w:rFonts w:eastAsia="Times New Roman"/>
              </w:rPr>
            </w:pPr>
            <w:r w:rsidRPr="00050374">
              <w:t xml:space="preserve">An </w:t>
            </w:r>
            <w:r w:rsidR="00863638" w:rsidRPr="00050374">
              <w:t>indicat</w:t>
            </w:r>
            <w:r w:rsidR="00863638">
              <w:t>ion</w:t>
            </w:r>
            <w:r w:rsidR="00863638" w:rsidRPr="00050374">
              <w:t xml:space="preserve"> </w:t>
            </w:r>
            <w:r w:rsidRPr="00050374">
              <w:t>of whether a CBP event was called that day.</w:t>
            </w:r>
            <w:r>
              <w:t xml:space="preserve">  Each event is its own variable</w:t>
            </w:r>
            <w:r w:rsidR="00863638">
              <w:t xml:space="preserve">; </w:t>
            </w:r>
            <w:r>
              <w:t>thus the coefficient represents impacts for the particular event.</w:t>
            </w:r>
            <w:r w:rsidR="00BB6A50">
              <w:t xml:space="preserve">  </w:t>
            </w:r>
            <w:r w:rsidRPr="00050374">
              <w:t>This variable takes into account whether the customer was nominated for participation.  A customer that is not nominated for participation is assumed not to have been activated for the event.</w:t>
            </w:r>
          </w:p>
        </w:tc>
      </w:tr>
      <w:tr w:rsidR="00BC53BD" w:rsidRPr="00050374" w:rsidTr="006B7BA6">
        <w:trPr>
          <w:trHeight w:val="63"/>
        </w:trPr>
        <w:tc>
          <w:tcPr>
            <w:tcW w:w="1723" w:type="dxa"/>
            <w:shd w:val="clear" w:color="auto" w:fill="auto"/>
            <w:noWrap/>
            <w:vAlign w:val="center"/>
          </w:tcPr>
          <w:p w:rsidR="00BC53BD" w:rsidRPr="00050374" w:rsidRDefault="00BC53BD" w:rsidP="00BC53BD">
            <w:pPr>
              <w:spacing w:after="0" w:line="240" w:lineRule="auto"/>
              <w:jc w:val="center"/>
              <w:rPr>
                <w:rFonts w:ascii="Calibri" w:hAnsi="Calibri"/>
                <w:i/>
                <w:color w:val="000000"/>
                <w:sz w:val="20"/>
              </w:rPr>
            </w:pPr>
            <w:r>
              <w:rPr>
                <w:i/>
                <w:color w:val="000000"/>
                <w:sz w:val="20"/>
              </w:rPr>
              <w:t>-</w:t>
            </w:r>
            <w:proofErr w:type="spellStart"/>
            <w:r>
              <w:rPr>
                <w:i/>
                <w:color w:val="000000"/>
                <w:sz w:val="20"/>
              </w:rPr>
              <w:t>sqr</w:t>
            </w:r>
            <w:proofErr w:type="spellEnd"/>
          </w:p>
        </w:tc>
        <w:tc>
          <w:tcPr>
            <w:tcW w:w="7758" w:type="dxa"/>
            <w:shd w:val="clear" w:color="auto" w:fill="auto"/>
            <w:noWrap/>
            <w:vAlign w:val="center"/>
          </w:tcPr>
          <w:p w:rsidR="00BC53BD" w:rsidRPr="00050374" w:rsidRDefault="00BC53BD" w:rsidP="00AA39FA">
            <w:pPr>
              <w:pStyle w:val="TableText"/>
              <w:jc w:val="left"/>
            </w:pPr>
            <w:r>
              <w:t>Suffix indicates that the term is squared.</w:t>
            </w:r>
          </w:p>
        </w:tc>
      </w:tr>
    </w:tbl>
    <w:p w:rsidR="005C5DB7" w:rsidRDefault="005C5DB7" w:rsidP="00BC53BD">
      <w:pPr>
        <w:pStyle w:val="BodyParaAfterTableFigure"/>
      </w:pPr>
      <w:r>
        <w:t xml:space="preserve">FSC ran all 15 of these individual regressions while excluding event days and a set of proxy event days.  Proxy event days </w:t>
      </w:r>
      <w:r w:rsidR="007B49B6">
        <w:t>a</w:t>
      </w:r>
      <w:r>
        <w:t>re non-event days that matched event days in terms of maximum temperature and maximum system load.  Once the regressions were run, FSC used the estimated coefficients to predict electricity demand for every customer during all intervals on proxy event days.  These out-of-sample predictions were then compared to actual electricity demand for each customer on proxy event days.</w:t>
      </w:r>
    </w:p>
    <w:p w:rsidR="00561B16" w:rsidRDefault="005C5DB7" w:rsidP="004A3D00">
      <w:pPr>
        <w:pStyle w:val="BodyParagraph"/>
      </w:pPr>
      <w:r>
        <w:t>We used two separate measure</w:t>
      </w:r>
      <w:r w:rsidR="00863638">
        <w:t>s</w:t>
      </w:r>
      <w:r>
        <w:t xml:space="preserve"> of </w:t>
      </w:r>
      <w:r w:rsidR="00BC2577">
        <w:t>accuracy</w:t>
      </w:r>
      <w:r>
        <w:t>: mean percent error (MPE) as an indicator of bias and mean absolute percent error (MAPE) as an indicator of</w:t>
      </w:r>
      <w:r w:rsidR="00BC2577">
        <w:t xml:space="preserve"> goodness</w:t>
      </w:r>
      <w:r w:rsidR="009918EE">
        <w:t>-</w:t>
      </w:r>
      <w:r w:rsidR="00BC2577">
        <w:t>of</w:t>
      </w:r>
      <w:r w:rsidR="009918EE">
        <w:t>-</w:t>
      </w:r>
      <w:r w:rsidR="00BC2577">
        <w:t>fit</w:t>
      </w:r>
      <w:r>
        <w:t xml:space="preserve">.  </w:t>
      </w:r>
      <w:r w:rsidR="00B10502">
        <w:t xml:space="preserve"> The</w:t>
      </w:r>
      <w:r w:rsidR="00FE3DA8">
        <w:t xml:space="preserve"> </w:t>
      </w:r>
      <w:r>
        <w:t xml:space="preserve">MPE </w:t>
      </w:r>
      <w:r w:rsidR="00B10502">
        <w:t xml:space="preserve">described the extent to which a model tends to over or under predict.  It </w:t>
      </w:r>
      <w:r>
        <w:t xml:space="preserve">is </w:t>
      </w:r>
      <w:r w:rsidR="00B10502">
        <w:t>based on</w:t>
      </w:r>
      <w:r>
        <w:t xml:space="preserve"> the percent difference between </w:t>
      </w:r>
      <w:r w:rsidR="00B10502">
        <w:lastRenderedPageBreak/>
        <w:t xml:space="preserve">average </w:t>
      </w:r>
      <w:r>
        <w:t xml:space="preserve">predicted and </w:t>
      </w:r>
      <w:r w:rsidR="00B10502">
        <w:t xml:space="preserve">average </w:t>
      </w:r>
      <w:r>
        <w:t xml:space="preserve">observed electricity demand </w:t>
      </w:r>
      <w:r w:rsidR="00B10502">
        <w:t>over the relevant time period</w:t>
      </w:r>
      <w:r>
        <w:t>.  Because errors can take negative and positive values due to under</w:t>
      </w:r>
      <w:r w:rsidR="00FE3DA8">
        <w:t xml:space="preserve"> </w:t>
      </w:r>
      <w:r>
        <w:t>prediction or over</w:t>
      </w:r>
      <w:r w:rsidR="00FE3DA8">
        <w:t xml:space="preserve"> </w:t>
      </w:r>
      <w:r>
        <w:t>prediction, respectively, consistently under</w:t>
      </w:r>
      <w:r w:rsidR="00FE3DA8">
        <w:t xml:space="preserve"> </w:t>
      </w:r>
      <w:r>
        <w:t>predicting or over</w:t>
      </w:r>
      <w:r w:rsidR="00FE3DA8">
        <w:t xml:space="preserve"> </w:t>
      </w:r>
      <w:r>
        <w:t>predicting would cause the MPE to be further away from zero.  Thus, MPE represents a measure of bias.  MAPE</w:t>
      </w:r>
      <w:r w:rsidR="00B10502">
        <w:t xml:space="preserve"> reflects how closely the predictions match the actual values and can be interpreted as the average size of the errors</w:t>
      </w:r>
      <w:r w:rsidR="003F5AC5">
        <w:t xml:space="preserve"> in percentage terms</w:t>
      </w:r>
      <w:r w:rsidR="00B10502">
        <w:t>.</w:t>
      </w:r>
      <w:r w:rsidR="00B10502">
        <w:rPr>
          <w:rStyle w:val="FootnoteReference"/>
        </w:rPr>
        <w:footnoteReference w:id="14"/>
      </w:r>
      <w:r w:rsidR="00B10502">
        <w:t xml:space="preserve">  </w:t>
      </w:r>
      <w:r w:rsidR="003F5AC5">
        <w:t xml:space="preserve">A lower value indicates a better fit.  </w:t>
      </w:r>
      <w:r w:rsidR="00B10502">
        <w:t>It</w:t>
      </w:r>
      <w:r>
        <w:t xml:space="preserve"> is calculated by averaging the absolute percent difference between predicted and observed electricity demand </w:t>
      </w:r>
      <w:r w:rsidR="00B10502">
        <w:t>across the relevant</w:t>
      </w:r>
      <w:r>
        <w:t xml:space="preserve"> interval</w:t>
      </w:r>
      <w:r w:rsidR="00B10502">
        <w:t>s</w:t>
      </w:r>
      <w:r>
        <w:t xml:space="preserve">.  Since percent errors are all converted to positive values, </w:t>
      </w:r>
      <w:r w:rsidR="00CA36DE">
        <w:t xml:space="preserve">errors </w:t>
      </w:r>
      <w:r w:rsidR="00464542">
        <w:t>of</w:t>
      </w:r>
      <w:r w:rsidR="00CA36DE">
        <w:t xml:space="preserve"> un</w:t>
      </w:r>
      <w:r w:rsidR="00561B16">
        <w:t>der</w:t>
      </w:r>
      <w:r w:rsidR="00FE3DA8">
        <w:t xml:space="preserve"> </w:t>
      </w:r>
      <w:r w:rsidR="00561B16">
        <w:t xml:space="preserve">prediction </w:t>
      </w:r>
      <w:r w:rsidR="00464542">
        <w:t>and</w:t>
      </w:r>
      <w:r w:rsidR="00561B16">
        <w:t xml:space="preserve"> over</w:t>
      </w:r>
      <w:r w:rsidR="00FE3DA8">
        <w:t xml:space="preserve"> </w:t>
      </w:r>
      <w:r w:rsidR="00561B16">
        <w:t>prediction</w:t>
      </w:r>
      <w:r w:rsidR="00464542">
        <w:t xml:space="preserve"> will not cancel each other out</w:t>
      </w:r>
      <w:r w:rsidR="00926B55">
        <w:t>; as such, the</w:t>
      </w:r>
      <w:r w:rsidR="00926B55" w:rsidRPr="00926B55">
        <w:t xml:space="preserve"> </w:t>
      </w:r>
      <w:r w:rsidR="00926B55">
        <w:t>MAPE represents an absolute measure of accuracy, regardless of the direction of bias.</w:t>
      </w:r>
    </w:p>
    <w:p w:rsidR="00FA0570" w:rsidRDefault="00FA0570" w:rsidP="00A00B41">
      <w:pPr>
        <w:pStyle w:val="BodyBeforeBullet"/>
      </w:pPr>
      <w:r>
        <w:t>The model was selected based on three criteria, ranked in order of importance:</w:t>
      </w:r>
    </w:p>
    <w:p w:rsidR="00FA0570" w:rsidRPr="00050374" w:rsidRDefault="00FA0570" w:rsidP="00FA0570">
      <w:pPr>
        <w:pStyle w:val="Bullets"/>
      </w:pPr>
      <w:r>
        <w:rPr>
          <w:i/>
        </w:rPr>
        <w:t>Does</w:t>
      </w:r>
      <w:r w:rsidRPr="00050374">
        <w:rPr>
          <w:i/>
        </w:rPr>
        <w:t xml:space="preserve"> the model</w:t>
      </w:r>
      <w:r>
        <w:rPr>
          <w:i/>
        </w:rPr>
        <w:t xml:space="preserve"> tend to over or under </w:t>
      </w:r>
      <w:r w:rsidR="003F397F">
        <w:rPr>
          <w:i/>
        </w:rPr>
        <w:t>predict aggregate</w:t>
      </w:r>
      <w:r>
        <w:rPr>
          <w:i/>
        </w:rPr>
        <w:t xml:space="preserve"> results for out-of-sample event like days</w:t>
      </w:r>
      <w:r w:rsidRPr="00050374">
        <w:rPr>
          <w:i/>
        </w:rPr>
        <w:t>?</w:t>
      </w:r>
      <w:r>
        <w:t xml:space="preserve">  </w:t>
      </w:r>
      <w:r w:rsidRPr="00050374">
        <w:t>The main metric</w:t>
      </w:r>
      <w:r>
        <w:t xml:space="preserve"> used to address this question wa</w:t>
      </w:r>
      <w:r w:rsidRPr="00050374">
        <w:t xml:space="preserve">s the program </w:t>
      </w:r>
      <w:r>
        <w:t>MPE</w:t>
      </w:r>
      <w:r w:rsidRPr="00050374">
        <w:t xml:space="preserve"> – a metric for assessing if </w:t>
      </w:r>
      <w:r>
        <w:t>a</w:t>
      </w:r>
      <w:r w:rsidRPr="00050374">
        <w:t xml:space="preserve"> model produces unbiased results on average.  </w:t>
      </w:r>
    </w:p>
    <w:p w:rsidR="00FA0570" w:rsidRPr="00050374" w:rsidRDefault="00FA0570" w:rsidP="00FA0570">
      <w:pPr>
        <w:pStyle w:val="Bullets"/>
      </w:pPr>
      <w:r>
        <w:rPr>
          <w:i/>
        </w:rPr>
        <w:t xml:space="preserve">Which model’s predictions of program loads most closely match actual </w:t>
      </w:r>
      <w:r w:rsidR="003F397F">
        <w:rPr>
          <w:i/>
        </w:rPr>
        <w:t>aggregate</w:t>
      </w:r>
      <w:r>
        <w:rPr>
          <w:i/>
        </w:rPr>
        <w:t xml:space="preserve"> loads in the out-of-sample test</w:t>
      </w:r>
      <w:r w:rsidRPr="00050374">
        <w:rPr>
          <w:i/>
        </w:rPr>
        <w:t>?</w:t>
      </w:r>
      <w:r>
        <w:t xml:space="preserve">  </w:t>
      </w:r>
      <w:r w:rsidRPr="00050374">
        <w:t xml:space="preserve">A </w:t>
      </w:r>
      <w:r>
        <w:t>regression</w:t>
      </w:r>
      <w:r w:rsidRPr="00050374">
        <w:t xml:space="preserve"> model can be accurate on average but perform poorly for individual event hours.  This occurs when the errors cancel each other out.  </w:t>
      </w:r>
      <w:r>
        <w:t>Here</w:t>
      </w:r>
      <w:r w:rsidRPr="00050374">
        <w:t>, we assess</w:t>
      </w:r>
      <w:r>
        <w:t>ed</w:t>
      </w:r>
      <w:r w:rsidRPr="00050374">
        <w:t xml:space="preserve"> the good</w:t>
      </w:r>
      <w:r>
        <w:t>ness</w:t>
      </w:r>
      <w:r w:rsidRPr="00050374">
        <w:t xml:space="preserve">-of-fit of the regression results using the </w:t>
      </w:r>
      <w:r>
        <w:t>program level MAPE value</w:t>
      </w:r>
      <w:r w:rsidRPr="00050374">
        <w:t xml:space="preserve">. </w:t>
      </w:r>
    </w:p>
    <w:p w:rsidR="005E3FA6" w:rsidRDefault="00FA0570">
      <w:pPr>
        <w:pStyle w:val="BulletLast"/>
      </w:pPr>
      <w:r w:rsidRPr="00050374">
        <w:rPr>
          <w:i/>
        </w:rPr>
        <w:t>Are there are any systematic biases in the individual customer results?</w:t>
      </w:r>
      <w:r w:rsidRPr="00050374">
        <w:t xml:space="preserve">  To address this question, we calculate</w:t>
      </w:r>
      <w:r>
        <w:t>d</w:t>
      </w:r>
      <w:r w:rsidRPr="00050374">
        <w:t xml:space="preserve"> customer</w:t>
      </w:r>
      <w:r>
        <w:t xml:space="preserve">-specific estimates of bias, MPE values, </w:t>
      </w:r>
      <w:r w:rsidRPr="00050374">
        <w:t>and</w:t>
      </w:r>
      <w:r w:rsidR="00550A3F">
        <w:t xml:space="preserve"> analyzed them into three different ways.  First, we ensured </w:t>
      </w:r>
      <w:r w:rsidRPr="00050374">
        <w:t xml:space="preserve">there </w:t>
      </w:r>
      <w:r>
        <w:t>we</w:t>
      </w:r>
      <w:r w:rsidRPr="00050374">
        <w:t xml:space="preserve">re no systematic biases for specific </w:t>
      </w:r>
      <w:r w:rsidR="00550A3F">
        <w:t xml:space="preserve">industries and customer size categories.  Second, we assessed instances where the out-of-sample tests indicated bias for </w:t>
      </w:r>
      <w:r>
        <w:t>larg</w:t>
      </w:r>
      <w:r w:rsidR="00550A3F">
        <w:t xml:space="preserve">e customers – those in </w:t>
      </w:r>
      <w:r w:rsidR="00E60B98">
        <w:t xml:space="preserve">the </w:t>
      </w:r>
      <w:r w:rsidR="00550A3F">
        <w:t>larg</w:t>
      </w:r>
      <w:r>
        <w:t xml:space="preserve">est fifth </w:t>
      </w:r>
      <w:r w:rsidR="00550A3F">
        <w:t xml:space="preserve">– </w:t>
      </w:r>
      <w:r>
        <w:t>since</w:t>
      </w:r>
      <w:r w:rsidR="00E60B98">
        <w:t xml:space="preserve"> they</w:t>
      </w:r>
      <w:r>
        <w:t xml:space="preserve"> account for the majority of load impacts</w:t>
      </w:r>
      <w:r w:rsidR="00550A3F">
        <w:t>.</w:t>
      </w:r>
      <w:r w:rsidR="00E60B98">
        <w:t xml:space="preserve"> </w:t>
      </w:r>
      <w:r w:rsidR="00550A3F">
        <w:t xml:space="preserve">Third, we analyzed the range of individual customer results.  </w:t>
      </w:r>
    </w:p>
    <w:p w:rsidR="007A3E92" w:rsidRDefault="00EB4CC2" w:rsidP="004A3D00">
      <w:pPr>
        <w:pStyle w:val="BodyParagraph"/>
      </w:pPr>
      <w:r>
        <w:t>Table A-3</w:t>
      </w:r>
      <w:r w:rsidR="00561B16">
        <w:t xml:space="preserve"> </w:t>
      </w:r>
      <w:r w:rsidR="003F397F">
        <w:t>summarizes the results across all utilities.  It</w:t>
      </w:r>
      <w:r w:rsidR="00561B16">
        <w:t xml:space="preserve"> present</w:t>
      </w:r>
      <w:r>
        <w:t>s</w:t>
      </w:r>
      <w:r w:rsidR="006A5420">
        <w:t xml:space="preserve"> the aggregate metric of bias (</w:t>
      </w:r>
      <w:r w:rsidR="003F397F">
        <w:t>Aggregate</w:t>
      </w:r>
      <w:r w:rsidR="006A5420">
        <w:t xml:space="preserve"> </w:t>
      </w:r>
      <w:r w:rsidR="00561B16">
        <w:t>MPE</w:t>
      </w:r>
      <w:r w:rsidR="006A5420">
        <w:t>), goodness</w:t>
      </w:r>
      <w:r w:rsidR="009918EE">
        <w:t>-</w:t>
      </w:r>
      <w:r w:rsidR="006A5420">
        <w:t>of</w:t>
      </w:r>
      <w:r w:rsidR="009918EE">
        <w:t>-</w:t>
      </w:r>
      <w:r w:rsidR="006A5420">
        <w:t>fit (</w:t>
      </w:r>
      <w:r w:rsidR="003F397F">
        <w:t xml:space="preserve">Aggregate </w:t>
      </w:r>
      <w:r w:rsidR="006A5420">
        <w:t>MAPE), a</w:t>
      </w:r>
      <w:r w:rsidR="007A3E92">
        <w:t>s</w:t>
      </w:r>
      <w:r w:rsidR="006A5420">
        <w:t xml:space="preserve"> well as individual customer </w:t>
      </w:r>
      <w:r w:rsidR="003F5AC5">
        <w:t>bias and goodness-of-fit.</w:t>
      </w:r>
      <w:r w:rsidR="006A5420">
        <w:t xml:space="preserve"> </w:t>
      </w:r>
      <w:r w:rsidR="001348A1">
        <w:t xml:space="preserve"> </w:t>
      </w:r>
      <w:r w:rsidR="006A5420">
        <w:t>The metrics were calculated for the out-of-sample event like days for the</w:t>
      </w:r>
      <w:r w:rsidR="007A3E92">
        <w:t xml:space="preserve"> peak hours of 1</w:t>
      </w:r>
      <w:r w:rsidR="006A5420">
        <w:t xml:space="preserve"> PM to </w:t>
      </w:r>
      <w:r w:rsidR="007A3E92">
        <w:t>6</w:t>
      </w:r>
      <w:r w:rsidR="006A5420">
        <w:t xml:space="preserve"> PM. </w:t>
      </w:r>
      <w:r w:rsidR="003F397F">
        <w:t xml:space="preserve"> The model selected, Model 15, is presented in bold.  </w:t>
      </w:r>
    </w:p>
    <w:p w:rsidR="007A3E92" w:rsidRDefault="007A3E92" w:rsidP="00E60B98">
      <w:pPr>
        <w:pStyle w:val="BodyParagraph"/>
      </w:pPr>
      <w:r>
        <w:t xml:space="preserve">All the models </w:t>
      </w:r>
      <w:r w:rsidR="003F397F">
        <w:t>produce very similar results</w:t>
      </w:r>
      <w:r>
        <w:t>, though there are subtle differences</w:t>
      </w:r>
      <w:r w:rsidR="003F397F">
        <w:t>.</w:t>
      </w:r>
      <w:r>
        <w:t xml:space="preserve">  </w:t>
      </w:r>
      <w:r w:rsidR="003F397F">
        <w:t>Substituting one model for another would not lead to substantively different load impacts.  Model 15</w:t>
      </w:r>
      <w:r>
        <w:t xml:space="preserve"> was selected for several reasons.  It</w:t>
      </w:r>
      <w:r w:rsidR="003F397F">
        <w:t xml:space="preserve"> exhibited less than a 0.2% bias for event-like hours.</w:t>
      </w:r>
      <w:r>
        <w:t xml:space="preserve">  </w:t>
      </w:r>
      <w:r w:rsidR="003F397F">
        <w:t>I</w:t>
      </w:r>
      <w:r>
        <w:t>t produced</w:t>
      </w:r>
      <w:r w:rsidR="003F397F">
        <w:t xml:space="preserve"> </w:t>
      </w:r>
      <w:r>
        <w:t xml:space="preserve">the </w:t>
      </w:r>
      <w:r w:rsidR="003F397F">
        <w:t>out-of-sample predictions</w:t>
      </w:r>
      <w:r>
        <w:t xml:space="preserve"> that</w:t>
      </w:r>
      <w:r w:rsidR="003F397F">
        <w:t xml:space="preserve"> most closely matched actual loads</w:t>
      </w:r>
      <w:r>
        <w:t>, as can be seen by the aggregate goodness</w:t>
      </w:r>
      <w:r w:rsidR="009918EE">
        <w:t>-</w:t>
      </w:r>
      <w:r>
        <w:t>of</w:t>
      </w:r>
      <w:r w:rsidR="009918EE">
        <w:t>-</w:t>
      </w:r>
      <w:r>
        <w:t>fit metric</w:t>
      </w:r>
      <w:r w:rsidR="003F397F">
        <w:t xml:space="preserve">.  </w:t>
      </w:r>
      <w:r>
        <w:t>It also performed better for individual customers.  The model did not produce any bias for the median customer and had a smaller range of over and under predictions for individual customers.</w:t>
      </w:r>
      <w:r w:rsidR="001348A1">
        <w:t xml:space="preserve"> </w:t>
      </w:r>
      <w:r w:rsidR="003F5AC5">
        <w:t xml:space="preserve"> It also had the smaller errors for individual customers.  </w:t>
      </w:r>
      <w:r>
        <w:t xml:space="preserve">Finally, Model 15 performed well across all three utilities. </w:t>
      </w:r>
    </w:p>
    <w:p w:rsidR="007A3E92" w:rsidRDefault="007A3E92" w:rsidP="00E60B98">
      <w:pPr>
        <w:pStyle w:val="BodyParagraph"/>
      </w:pPr>
      <w:r>
        <w:t>Tables A-4, A-5 and A-6 show the bias and goodness</w:t>
      </w:r>
      <w:r w:rsidR="009918EE">
        <w:t>-</w:t>
      </w:r>
      <w:r>
        <w:t>of</w:t>
      </w:r>
      <w:r w:rsidR="009918EE">
        <w:t>-</w:t>
      </w:r>
      <w:r>
        <w:t xml:space="preserve">fit metrics for </w:t>
      </w:r>
      <w:r w:rsidR="002112E8">
        <w:t xml:space="preserve">PG&amp;E, SCE and SDG&amp;E.  Model 15 </w:t>
      </w:r>
      <w:r w:rsidR="002112E8" w:rsidRPr="00E60B98">
        <w:t>is</w:t>
      </w:r>
      <w:r w:rsidR="002112E8">
        <w:t xml:space="preserve"> among the best of models for each utility.  It generally produces aggregate results without bias, small individual hour errors and consistent individual customer results. </w:t>
      </w:r>
    </w:p>
    <w:p w:rsidR="005E3FA6" w:rsidRDefault="007A3E92" w:rsidP="00BA25E2">
      <w:pPr>
        <w:pStyle w:val="TableFigureCaption"/>
      </w:pPr>
      <w:r>
        <w:br w:type="column"/>
      </w:r>
      <w:r>
        <w:lastRenderedPageBreak/>
        <w:t xml:space="preserve"> </w:t>
      </w:r>
      <w:r w:rsidR="008B2468" w:rsidRPr="006B7BA6">
        <w:t>Table</w:t>
      </w:r>
      <w:r w:rsidR="008B2468">
        <w:t xml:space="preserve"> A-3:</w:t>
      </w:r>
      <w:r w:rsidR="00D921E2">
        <w:t xml:space="preserve"> </w:t>
      </w:r>
      <w:r w:rsidR="006A5420">
        <w:t>Bias and Goodness</w:t>
      </w:r>
      <w:r w:rsidR="009918EE">
        <w:t>-</w:t>
      </w:r>
      <w:r w:rsidR="006A5420">
        <w:t>of</w:t>
      </w:r>
      <w:r w:rsidR="009918EE">
        <w:t>-</w:t>
      </w:r>
      <w:r w:rsidR="006A5420">
        <w:t xml:space="preserve">Fit Metrics </w:t>
      </w:r>
      <w:r w:rsidR="008B2468">
        <w:t xml:space="preserve">by </w:t>
      </w:r>
      <w:r w:rsidR="006A5420">
        <w:t>Model</w:t>
      </w:r>
      <w:r w:rsidR="003F397F">
        <w:t xml:space="preserve"> All IOU’s Combined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
        <w:gridCol w:w="920"/>
        <w:gridCol w:w="1016"/>
        <w:gridCol w:w="1112"/>
        <w:gridCol w:w="1112"/>
        <w:gridCol w:w="1112"/>
        <w:gridCol w:w="1114"/>
        <w:gridCol w:w="1113"/>
        <w:gridCol w:w="1114"/>
      </w:tblGrid>
      <w:tr w:rsidR="00AE29CB" w:rsidRPr="00AE29CB" w:rsidTr="00A00B41">
        <w:trPr>
          <w:trHeight w:val="300"/>
        </w:trPr>
        <w:tc>
          <w:tcPr>
            <w:tcW w:w="963" w:type="dxa"/>
            <w:vMerge w:val="restart"/>
            <w:tcBorders>
              <w:right w:val="single" w:sz="4" w:space="0" w:color="FFFFFF" w:themeColor="background1"/>
            </w:tcBorders>
            <w:shd w:val="clear" w:color="000000" w:fill="376091"/>
            <w:noWrap/>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Utility</w:t>
            </w:r>
          </w:p>
        </w:tc>
        <w:tc>
          <w:tcPr>
            <w:tcW w:w="920" w:type="dxa"/>
            <w:vMerge w:val="restart"/>
            <w:tcBorders>
              <w:left w:val="single" w:sz="4" w:space="0" w:color="FFFFFF" w:themeColor="background1"/>
              <w:right w:val="single" w:sz="4" w:space="0" w:color="FFFFFF" w:themeColor="background1"/>
            </w:tcBorders>
            <w:shd w:val="clear" w:color="000000" w:fill="376091"/>
            <w:noWrap/>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Model</w:t>
            </w:r>
          </w:p>
        </w:tc>
        <w:tc>
          <w:tcPr>
            <w:tcW w:w="1016" w:type="dxa"/>
            <w:vMerge w:val="restart"/>
            <w:tcBorders>
              <w:left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Aggregate Bias (MPE)</w:t>
            </w:r>
          </w:p>
        </w:tc>
        <w:tc>
          <w:tcPr>
            <w:tcW w:w="1112" w:type="dxa"/>
            <w:vMerge w:val="restart"/>
            <w:tcBorders>
              <w:left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Aggregate  Goodness</w:t>
            </w:r>
            <w:r w:rsidR="009918EE">
              <w:rPr>
                <w:rFonts w:ascii="Arial" w:eastAsia="Times New Roman" w:hAnsi="Arial" w:cs="Arial"/>
                <w:b/>
                <w:bCs/>
                <w:color w:val="FFFFFF"/>
                <w:sz w:val="16"/>
                <w:szCs w:val="16"/>
              </w:rPr>
              <w:t>-</w:t>
            </w:r>
            <w:r w:rsidRPr="00AE29CB">
              <w:rPr>
                <w:rFonts w:ascii="Arial" w:eastAsia="Times New Roman" w:hAnsi="Arial" w:cs="Arial"/>
                <w:b/>
                <w:bCs/>
                <w:color w:val="FFFFFF"/>
                <w:sz w:val="16"/>
                <w:szCs w:val="16"/>
              </w:rPr>
              <w:t>of</w:t>
            </w:r>
            <w:r w:rsidR="009918EE">
              <w:rPr>
                <w:rFonts w:ascii="Arial" w:eastAsia="Times New Roman" w:hAnsi="Arial" w:cs="Arial"/>
                <w:b/>
                <w:bCs/>
                <w:color w:val="FFFFFF"/>
                <w:sz w:val="16"/>
                <w:szCs w:val="16"/>
              </w:rPr>
              <w:t>-</w:t>
            </w:r>
            <w:r w:rsidRPr="00AE29CB">
              <w:rPr>
                <w:rFonts w:ascii="Arial" w:eastAsia="Times New Roman" w:hAnsi="Arial" w:cs="Arial"/>
                <w:b/>
                <w:bCs/>
                <w:color w:val="FFFFFF"/>
                <w:sz w:val="16"/>
                <w:szCs w:val="16"/>
              </w:rPr>
              <w:t>Fit (MAPE)</w:t>
            </w:r>
          </w:p>
        </w:tc>
        <w:tc>
          <w:tcPr>
            <w:tcW w:w="3338" w:type="dxa"/>
            <w:gridSpan w:val="3"/>
            <w:tcBorders>
              <w:left w:val="single" w:sz="4" w:space="0" w:color="FFFFFF" w:themeColor="background1"/>
              <w:bottom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Individual Customer MPE</w:t>
            </w:r>
          </w:p>
        </w:tc>
        <w:tc>
          <w:tcPr>
            <w:tcW w:w="2227" w:type="dxa"/>
            <w:gridSpan w:val="2"/>
            <w:tcBorders>
              <w:left w:val="single" w:sz="4" w:space="0" w:color="FFFFFF" w:themeColor="background1"/>
              <w:bottom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Individual Customer MAPE</w:t>
            </w:r>
          </w:p>
        </w:tc>
      </w:tr>
      <w:tr w:rsidR="00AE29CB" w:rsidRPr="00AE29CB" w:rsidTr="00A00B41">
        <w:trPr>
          <w:trHeight w:val="420"/>
        </w:trPr>
        <w:tc>
          <w:tcPr>
            <w:tcW w:w="963" w:type="dxa"/>
            <w:vMerge/>
            <w:tcBorders>
              <w:right w:val="single" w:sz="4" w:space="0" w:color="FFFFFF" w:themeColor="background1"/>
            </w:tcBorders>
            <w:vAlign w:val="center"/>
            <w:hideMark/>
          </w:tcPr>
          <w:p w:rsidR="00AE29CB" w:rsidRPr="00AE29CB" w:rsidRDefault="00AE29CB" w:rsidP="00AE29CB">
            <w:pPr>
              <w:spacing w:after="0" w:line="240" w:lineRule="auto"/>
              <w:rPr>
                <w:rFonts w:ascii="Arial" w:eastAsia="Times New Roman" w:hAnsi="Arial" w:cs="Arial"/>
                <w:b/>
                <w:bCs/>
                <w:color w:val="FFFFFF"/>
                <w:sz w:val="16"/>
                <w:szCs w:val="16"/>
              </w:rPr>
            </w:pPr>
          </w:p>
        </w:tc>
        <w:tc>
          <w:tcPr>
            <w:tcW w:w="920" w:type="dxa"/>
            <w:vMerge/>
            <w:tcBorders>
              <w:left w:val="single" w:sz="4" w:space="0" w:color="FFFFFF" w:themeColor="background1"/>
              <w:right w:val="single" w:sz="4" w:space="0" w:color="FFFFFF" w:themeColor="background1"/>
            </w:tcBorders>
            <w:vAlign w:val="center"/>
            <w:hideMark/>
          </w:tcPr>
          <w:p w:rsidR="00AE29CB" w:rsidRPr="00AE29CB" w:rsidRDefault="00AE29CB" w:rsidP="00AE29CB">
            <w:pPr>
              <w:spacing w:after="0" w:line="240" w:lineRule="auto"/>
              <w:rPr>
                <w:rFonts w:ascii="Arial" w:eastAsia="Times New Roman" w:hAnsi="Arial" w:cs="Arial"/>
                <w:b/>
                <w:bCs/>
                <w:color w:val="FFFFFF"/>
                <w:sz w:val="16"/>
                <w:szCs w:val="16"/>
              </w:rPr>
            </w:pPr>
          </w:p>
        </w:tc>
        <w:tc>
          <w:tcPr>
            <w:tcW w:w="1016" w:type="dxa"/>
            <w:vMerge/>
            <w:tcBorders>
              <w:left w:val="single" w:sz="4" w:space="0" w:color="FFFFFF" w:themeColor="background1"/>
              <w:right w:val="single" w:sz="4" w:space="0" w:color="FFFFFF" w:themeColor="background1"/>
            </w:tcBorders>
            <w:vAlign w:val="center"/>
            <w:hideMark/>
          </w:tcPr>
          <w:p w:rsidR="00AE29CB" w:rsidRPr="00AE29CB" w:rsidRDefault="00AE29CB" w:rsidP="00AE29CB">
            <w:pPr>
              <w:spacing w:after="0" w:line="240" w:lineRule="auto"/>
              <w:rPr>
                <w:rFonts w:ascii="Arial" w:eastAsia="Times New Roman" w:hAnsi="Arial" w:cs="Arial"/>
                <w:b/>
                <w:bCs/>
                <w:color w:val="FFFFFF"/>
                <w:sz w:val="16"/>
                <w:szCs w:val="16"/>
              </w:rPr>
            </w:pPr>
          </w:p>
        </w:tc>
        <w:tc>
          <w:tcPr>
            <w:tcW w:w="1112" w:type="dxa"/>
            <w:vMerge/>
            <w:tcBorders>
              <w:left w:val="single" w:sz="4" w:space="0" w:color="FFFFFF" w:themeColor="background1"/>
              <w:right w:val="single" w:sz="4" w:space="0" w:color="FFFFFF" w:themeColor="background1"/>
            </w:tcBorders>
            <w:vAlign w:val="center"/>
            <w:hideMark/>
          </w:tcPr>
          <w:p w:rsidR="00AE29CB" w:rsidRPr="00AE29CB" w:rsidRDefault="00AE29CB" w:rsidP="00AE29CB">
            <w:pPr>
              <w:spacing w:after="0" w:line="240" w:lineRule="auto"/>
              <w:rPr>
                <w:rFonts w:ascii="Arial" w:eastAsia="Times New Roman" w:hAnsi="Arial" w:cs="Arial"/>
                <w:b/>
                <w:bCs/>
                <w:color w:val="FFFFFF"/>
                <w:sz w:val="16"/>
                <w:szCs w:val="16"/>
              </w:rPr>
            </w:pPr>
          </w:p>
        </w:tc>
        <w:tc>
          <w:tcPr>
            <w:tcW w:w="1112"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Median</w:t>
            </w:r>
          </w:p>
        </w:tc>
        <w:tc>
          <w:tcPr>
            <w:tcW w:w="1112"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011137" w:rsidRDefault="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 xml:space="preserve">10th </w:t>
            </w:r>
            <w:r w:rsidR="009918EE">
              <w:rPr>
                <w:rFonts w:ascii="Arial" w:eastAsia="Times New Roman" w:hAnsi="Arial" w:cs="Arial"/>
                <w:b/>
                <w:bCs/>
                <w:color w:val="FFFFFF"/>
                <w:sz w:val="16"/>
                <w:szCs w:val="16"/>
              </w:rPr>
              <w:t>P</w:t>
            </w:r>
            <w:r w:rsidRPr="00AE29CB">
              <w:rPr>
                <w:rFonts w:ascii="Arial" w:eastAsia="Times New Roman" w:hAnsi="Arial" w:cs="Arial"/>
                <w:b/>
                <w:bCs/>
                <w:color w:val="FFFFFF"/>
                <w:sz w:val="16"/>
                <w:szCs w:val="16"/>
              </w:rPr>
              <w:t>ercentile</w:t>
            </w:r>
          </w:p>
        </w:tc>
        <w:tc>
          <w:tcPr>
            <w:tcW w:w="1114"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 xml:space="preserve">90th </w:t>
            </w:r>
            <w:r w:rsidR="009918EE">
              <w:rPr>
                <w:rFonts w:ascii="Arial" w:eastAsia="Times New Roman" w:hAnsi="Arial" w:cs="Arial"/>
                <w:b/>
                <w:bCs/>
                <w:color w:val="FFFFFF"/>
                <w:sz w:val="16"/>
                <w:szCs w:val="16"/>
              </w:rPr>
              <w:t>P</w:t>
            </w:r>
            <w:r w:rsidRPr="00AE29CB">
              <w:rPr>
                <w:rFonts w:ascii="Arial" w:eastAsia="Times New Roman" w:hAnsi="Arial" w:cs="Arial"/>
                <w:b/>
                <w:bCs/>
                <w:color w:val="FFFFFF"/>
                <w:sz w:val="16"/>
                <w:szCs w:val="16"/>
              </w:rPr>
              <w:t>ercentile</w:t>
            </w:r>
          </w:p>
        </w:tc>
        <w:tc>
          <w:tcPr>
            <w:tcW w:w="1113"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Median</w:t>
            </w:r>
          </w:p>
        </w:tc>
        <w:tc>
          <w:tcPr>
            <w:tcW w:w="1114" w:type="dxa"/>
            <w:tcBorders>
              <w:top w:val="single" w:sz="4" w:space="0" w:color="FFFFFF" w:themeColor="background1"/>
              <w:lef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75th Percentile</w:t>
            </w:r>
          </w:p>
        </w:tc>
      </w:tr>
      <w:tr w:rsidR="00AE29CB" w:rsidRPr="00AE29CB" w:rsidTr="00A00B41">
        <w:trPr>
          <w:trHeight w:val="288"/>
        </w:trPr>
        <w:tc>
          <w:tcPr>
            <w:tcW w:w="963" w:type="dxa"/>
            <w:vMerge w:val="restart"/>
            <w:shd w:val="clear" w:color="auto" w:fill="auto"/>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ALL UTILITIES</w:t>
            </w: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-1.1%</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4.3%</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-0.3%</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-9.4%</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8.7%</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7.1%</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25.2%</w:t>
            </w:r>
          </w:p>
        </w:tc>
      </w:tr>
      <w:tr w:rsidR="00AE29CB" w:rsidRPr="00AE29CB" w:rsidTr="00A00B41">
        <w:trPr>
          <w:trHeight w:val="288"/>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-1.1%</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3.1%</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-0.8%</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-9.6%</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7.4%</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7.3%</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22.8%</w:t>
            </w:r>
          </w:p>
        </w:tc>
      </w:tr>
      <w:tr w:rsidR="00AE29CB" w:rsidRPr="00AE29CB" w:rsidTr="00A00B41">
        <w:trPr>
          <w:trHeight w:val="288"/>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3</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-0.6%</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2.9%</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-0.4%</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-8.1%</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7.6%</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6.7%</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21.6%</w:t>
            </w:r>
          </w:p>
        </w:tc>
      </w:tr>
      <w:tr w:rsidR="00AE29CB" w:rsidRPr="00AE29CB" w:rsidTr="00A00B41">
        <w:trPr>
          <w:trHeight w:val="288"/>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4</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-0.8%</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4.2%</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-0.3%</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-9.2%</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8.6%</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7.2%</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24.2%</w:t>
            </w:r>
          </w:p>
        </w:tc>
      </w:tr>
      <w:tr w:rsidR="00AE29CB" w:rsidRPr="00AE29CB" w:rsidTr="00A00B41">
        <w:trPr>
          <w:trHeight w:val="288"/>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-1.0%</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3.1%</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-0.8%</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-10.2%</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7.4%</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7.7%</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22.3%</w:t>
            </w:r>
          </w:p>
        </w:tc>
      </w:tr>
      <w:tr w:rsidR="00AE29CB" w:rsidRPr="00AE29CB" w:rsidTr="00A00B41">
        <w:trPr>
          <w:trHeight w:val="288"/>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-0.5%</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-0.5%</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-8.2%</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7.0%</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6.9%</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20.6%</w:t>
            </w:r>
          </w:p>
        </w:tc>
      </w:tr>
      <w:tr w:rsidR="00AE29CB" w:rsidRPr="00AE29CB" w:rsidTr="00A00B41">
        <w:trPr>
          <w:trHeight w:val="288"/>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-1.0%</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4.3%</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-0.2%</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-9.9%</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9.0%</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7.1%</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24.5%</w:t>
            </w:r>
          </w:p>
        </w:tc>
      </w:tr>
      <w:tr w:rsidR="00AE29CB" w:rsidRPr="00AE29CB" w:rsidTr="00A00B41">
        <w:trPr>
          <w:trHeight w:val="288"/>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-0.9%</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3.0%</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-0.6%</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-9.9%</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7.5%</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7.4%</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22.6%</w:t>
            </w:r>
          </w:p>
        </w:tc>
      </w:tr>
      <w:tr w:rsidR="00AE29CB" w:rsidRPr="00AE29CB" w:rsidTr="00A00B41">
        <w:trPr>
          <w:trHeight w:val="288"/>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-0.5%</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2.7%</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-0.3%</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-8.4%</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7.5%</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6.7%</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20.9%</w:t>
            </w:r>
          </w:p>
        </w:tc>
      </w:tr>
      <w:tr w:rsidR="00AE29CB" w:rsidRPr="00AE29CB" w:rsidTr="00A00B41">
        <w:trPr>
          <w:trHeight w:val="288"/>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10</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-1.1%</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3.9%</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-0.7%</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-9.3%</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8.5%</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7.1%</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24.1%</w:t>
            </w:r>
          </w:p>
        </w:tc>
      </w:tr>
      <w:tr w:rsidR="00AE29CB" w:rsidRPr="00AE29CB" w:rsidTr="00A00B41">
        <w:trPr>
          <w:trHeight w:val="288"/>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11</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-0.9%</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2.9%</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-1.0%</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-9.3%</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7.2%</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7.2%</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22.1%</w:t>
            </w:r>
          </w:p>
        </w:tc>
      </w:tr>
      <w:tr w:rsidR="00AE29CB" w:rsidRPr="00AE29CB" w:rsidTr="00A00B41">
        <w:trPr>
          <w:trHeight w:val="288"/>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12</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-0.7%</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2.7%</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-0.8%</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-8.0%</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7.2%</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6.8%</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20.6%</w:t>
            </w:r>
          </w:p>
        </w:tc>
      </w:tr>
      <w:tr w:rsidR="00AE29CB" w:rsidRPr="00AE29CB" w:rsidTr="00A00B41">
        <w:trPr>
          <w:trHeight w:val="288"/>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13</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-0.2%</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3.7%</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0.1%</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-8.3%</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9.2%</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6.7%</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24.2%</w:t>
            </w:r>
          </w:p>
        </w:tc>
      </w:tr>
      <w:tr w:rsidR="00AE29CB" w:rsidRPr="00AE29CB" w:rsidTr="00A00B41">
        <w:trPr>
          <w:trHeight w:val="288"/>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14</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-0.2%</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-0.3%</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-7.6%</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8.2%</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7.1%</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22.2%</w:t>
            </w:r>
          </w:p>
        </w:tc>
      </w:tr>
      <w:tr w:rsidR="00AE29CB" w:rsidRPr="00AE29CB" w:rsidTr="00A00B41">
        <w:trPr>
          <w:trHeight w:val="300"/>
        </w:trPr>
        <w:tc>
          <w:tcPr>
            <w:tcW w:w="963"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0"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15</w:t>
            </w:r>
          </w:p>
        </w:tc>
        <w:tc>
          <w:tcPr>
            <w:tcW w:w="101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0.2%</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0.0%</w:t>
            </w:r>
          </w:p>
        </w:tc>
        <w:tc>
          <w:tcPr>
            <w:tcW w:w="1112"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-6.6%</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8.7%</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6.6%</w:t>
            </w:r>
          </w:p>
        </w:tc>
        <w:tc>
          <w:tcPr>
            <w:tcW w:w="1114"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20.4%</w:t>
            </w:r>
          </w:p>
        </w:tc>
      </w:tr>
    </w:tbl>
    <w:p w:rsidR="007A3E92" w:rsidRDefault="007A3E92" w:rsidP="00BA25E2">
      <w:pPr>
        <w:pStyle w:val="TableFigureCaption"/>
      </w:pPr>
    </w:p>
    <w:p w:rsidR="007A3E92" w:rsidRDefault="007A3E92" w:rsidP="00BA25E2">
      <w:pPr>
        <w:pStyle w:val="TableFigureCaption"/>
      </w:pPr>
      <w:r w:rsidRPr="006B7BA6">
        <w:t>Table</w:t>
      </w:r>
      <w:r>
        <w:t xml:space="preserve"> A-4:</w:t>
      </w:r>
      <w:r w:rsidR="00D921E2">
        <w:t xml:space="preserve"> </w:t>
      </w:r>
      <w:r w:rsidR="00CC5A64">
        <w:t xml:space="preserve">PG&amp;E </w:t>
      </w:r>
      <w:r>
        <w:t>Bias and Goodness</w:t>
      </w:r>
      <w:r w:rsidR="009918EE">
        <w:t>-</w:t>
      </w:r>
      <w:r>
        <w:t>of</w:t>
      </w:r>
      <w:r w:rsidR="009918EE">
        <w:t>-</w:t>
      </w:r>
      <w:r>
        <w:t xml:space="preserve">Fit Metrics by Model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6"/>
        <w:gridCol w:w="926"/>
        <w:gridCol w:w="1021"/>
        <w:gridCol w:w="1118"/>
        <w:gridCol w:w="1118"/>
        <w:gridCol w:w="1118"/>
        <w:gridCol w:w="1118"/>
        <w:gridCol w:w="1118"/>
        <w:gridCol w:w="1113"/>
      </w:tblGrid>
      <w:tr w:rsidR="00AE29CB" w:rsidRPr="00AE29CB" w:rsidTr="00A00B41">
        <w:trPr>
          <w:trHeight w:val="516"/>
        </w:trPr>
        <w:tc>
          <w:tcPr>
            <w:tcW w:w="926" w:type="dxa"/>
            <w:vMerge w:val="restart"/>
            <w:tcBorders>
              <w:right w:val="single" w:sz="4" w:space="0" w:color="FFFFFF" w:themeColor="background1"/>
            </w:tcBorders>
            <w:shd w:val="clear" w:color="000000" w:fill="376091"/>
            <w:noWrap/>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Utility</w:t>
            </w:r>
          </w:p>
        </w:tc>
        <w:tc>
          <w:tcPr>
            <w:tcW w:w="926" w:type="dxa"/>
            <w:vMerge w:val="restart"/>
            <w:tcBorders>
              <w:left w:val="single" w:sz="4" w:space="0" w:color="FFFFFF" w:themeColor="background1"/>
              <w:right w:val="single" w:sz="4" w:space="0" w:color="FFFFFF" w:themeColor="background1"/>
            </w:tcBorders>
            <w:shd w:val="clear" w:color="000000" w:fill="376091"/>
            <w:noWrap/>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Model</w:t>
            </w:r>
          </w:p>
        </w:tc>
        <w:tc>
          <w:tcPr>
            <w:tcW w:w="1021" w:type="dxa"/>
            <w:vMerge w:val="restart"/>
            <w:tcBorders>
              <w:left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Aggregate Bias (MPE)</w:t>
            </w:r>
          </w:p>
        </w:tc>
        <w:tc>
          <w:tcPr>
            <w:tcW w:w="1118" w:type="dxa"/>
            <w:vMerge w:val="restart"/>
            <w:tcBorders>
              <w:left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Aggregate  Goodness</w:t>
            </w:r>
            <w:r w:rsidR="009918EE">
              <w:rPr>
                <w:rFonts w:ascii="Arial" w:eastAsia="Times New Roman" w:hAnsi="Arial" w:cs="Arial"/>
                <w:b/>
                <w:bCs/>
                <w:color w:val="FFFFFF"/>
                <w:sz w:val="16"/>
                <w:szCs w:val="16"/>
              </w:rPr>
              <w:t>-</w:t>
            </w:r>
            <w:r w:rsidRPr="00AE29CB">
              <w:rPr>
                <w:rFonts w:ascii="Arial" w:eastAsia="Times New Roman" w:hAnsi="Arial" w:cs="Arial"/>
                <w:b/>
                <w:bCs/>
                <w:color w:val="FFFFFF"/>
                <w:sz w:val="16"/>
                <w:szCs w:val="16"/>
              </w:rPr>
              <w:t>of</w:t>
            </w:r>
            <w:r w:rsidR="009918EE">
              <w:rPr>
                <w:rFonts w:ascii="Arial" w:eastAsia="Times New Roman" w:hAnsi="Arial" w:cs="Arial"/>
                <w:b/>
                <w:bCs/>
                <w:color w:val="FFFFFF"/>
                <w:sz w:val="16"/>
                <w:szCs w:val="16"/>
              </w:rPr>
              <w:t>-</w:t>
            </w:r>
            <w:r w:rsidRPr="00AE29CB">
              <w:rPr>
                <w:rFonts w:ascii="Arial" w:eastAsia="Times New Roman" w:hAnsi="Arial" w:cs="Arial"/>
                <w:b/>
                <w:bCs/>
                <w:color w:val="FFFFFF"/>
                <w:sz w:val="16"/>
                <w:szCs w:val="16"/>
              </w:rPr>
              <w:t>Fit (MAPE)</w:t>
            </w:r>
          </w:p>
        </w:tc>
        <w:tc>
          <w:tcPr>
            <w:tcW w:w="3354" w:type="dxa"/>
            <w:gridSpan w:val="3"/>
            <w:tcBorders>
              <w:left w:val="single" w:sz="4" w:space="0" w:color="FFFFFF" w:themeColor="background1"/>
              <w:bottom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Individual Customer MPE</w:t>
            </w:r>
          </w:p>
        </w:tc>
        <w:tc>
          <w:tcPr>
            <w:tcW w:w="2231" w:type="dxa"/>
            <w:gridSpan w:val="2"/>
            <w:tcBorders>
              <w:left w:val="single" w:sz="4" w:space="0" w:color="FFFFFF" w:themeColor="background1"/>
              <w:bottom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Individual Customer MAPE</w:t>
            </w:r>
          </w:p>
        </w:tc>
      </w:tr>
      <w:tr w:rsidR="00AE29CB" w:rsidRPr="00AE29CB" w:rsidTr="00A00B41">
        <w:trPr>
          <w:trHeight w:val="420"/>
        </w:trPr>
        <w:tc>
          <w:tcPr>
            <w:tcW w:w="926" w:type="dxa"/>
            <w:vMerge/>
            <w:tcBorders>
              <w:right w:val="single" w:sz="4" w:space="0" w:color="FFFFFF" w:themeColor="background1"/>
            </w:tcBorders>
            <w:vAlign w:val="center"/>
            <w:hideMark/>
          </w:tcPr>
          <w:p w:rsidR="00AE29CB" w:rsidRPr="00AE29CB" w:rsidRDefault="00AE29CB" w:rsidP="00AE29CB">
            <w:pPr>
              <w:spacing w:after="0" w:line="240" w:lineRule="auto"/>
              <w:rPr>
                <w:rFonts w:ascii="Arial" w:eastAsia="Times New Roman" w:hAnsi="Arial" w:cs="Arial"/>
                <w:b/>
                <w:bCs/>
                <w:color w:val="FFFFFF"/>
                <w:sz w:val="16"/>
                <w:szCs w:val="16"/>
              </w:rPr>
            </w:pPr>
          </w:p>
        </w:tc>
        <w:tc>
          <w:tcPr>
            <w:tcW w:w="926" w:type="dxa"/>
            <w:vMerge/>
            <w:tcBorders>
              <w:left w:val="single" w:sz="4" w:space="0" w:color="FFFFFF" w:themeColor="background1"/>
              <w:right w:val="single" w:sz="4" w:space="0" w:color="FFFFFF" w:themeColor="background1"/>
            </w:tcBorders>
            <w:vAlign w:val="center"/>
            <w:hideMark/>
          </w:tcPr>
          <w:p w:rsidR="00AE29CB" w:rsidRPr="00AE29CB" w:rsidRDefault="00AE29CB" w:rsidP="00AE29CB">
            <w:pPr>
              <w:spacing w:after="0" w:line="240" w:lineRule="auto"/>
              <w:rPr>
                <w:rFonts w:ascii="Arial" w:eastAsia="Times New Roman" w:hAnsi="Arial" w:cs="Arial"/>
                <w:b/>
                <w:bCs/>
                <w:color w:val="FFFFFF"/>
                <w:sz w:val="16"/>
                <w:szCs w:val="16"/>
              </w:rPr>
            </w:pPr>
          </w:p>
        </w:tc>
        <w:tc>
          <w:tcPr>
            <w:tcW w:w="1021" w:type="dxa"/>
            <w:vMerge/>
            <w:tcBorders>
              <w:left w:val="single" w:sz="4" w:space="0" w:color="FFFFFF" w:themeColor="background1"/>
              <w:right w:val="single" w:sz="4" w:space="0" w:color="FFFFFF" w:themeColor="background1"/>
            </w:tcBorders>
            <w:vAlign w:val="center"/>
            <w:hideMark/>
          </w:tcPr>
          <w:p w:rsidR="00AE29CB" w:rsidRPr="00AE29CB" w:rsidRDefault="00AE29CB" w:rsidP="00AE29CB">
            <w:pPr>
              <w:spacing w:after="0" w:line="240" w:lineRule="auto"/>
              <w:rPr>
                <w:rFonts w:ascii="Arial" w:eastAsia="Times New Roman" w:hAnsi="Arial" w:cs="Arial"/>
                <w:b/>
                <w:bCs/>
                <w:color w:val="FFFFFF"/>
                <w:sz w:val="16"/>
                <w:szCs w:val="16"/>
              </w:rPr>
            </w:pPr>
          </w:p>
        </w:tc>
        <w:tc>
          <w:tcPr>
            <w:tcW w:w="1118" w:type="dxa"/>
            <w:vMerge/>
            <w:tcBorders>
              <w:left w:val="single" w:sz="4" w:space="0" w:color="FFFFFF" w:themeColor="background1"/>
              <w:right w:val="single" w:sz="4" w:space="0" w:color="FFFFFF" w:themeColor="background1"/>
            </w:tcBorders>
            <w:vAlign w:val="center"/>
            <w:hideMark/>
          </w:tcPr>
          <w:p w:rsidR="00AE29CB" w:rsidRPr="00AE29CB" w:rsidRDefault="00AE29CB" w:rsidP="00AE29CB">
            <w:pPr>
              <w:spacing w:after="0" w:line="240" w:lineRule="auto"/>
              <w:rPr>
                <w:rFonts w:ascii="Arial" w:eastAsia="Times New Roman" w:hAnsi="Arial" w:cs="Arial"/>
                <w:b/>
                <w:bCs/>
                <w:color w:val="FFFFFF"/>
                <w:sz w:val="16"/>
                <w:szCs w:val="16"/>
              </w:rPr>
            </w:pPr>
          </w:p>
        </w:tc>
        <w:tc>
          <w:tcPr>
            <w:tcW w:w="1118"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Median</w:t>
            </w:r>
          </w:p>
        </w:tc>
        <w:tc>
          <w:tcPr>
            <w:tcW w:w="1118"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011137" w:rsidRDefault="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 xml:space="preserve">10th </w:t>
            </w:r>
            <w:r w:rsidR="009918EE">
              <w:rPr>
                <w:rFonts w:ascii="Arial" w:eastAsia="Times New Roman" w:hAnsi="Arial" w:cs="Arial"/>
                <w:b/>
                <w:bCs/>
                <w:color w:val="FFFFFF"/>
                <w:sz w:val="16"/>
                <w:szCs w:val="16"/>
              </w:rPr>
              <w:t>P</w:t>
            </w:r>
            <w:r w:rsidRPr="00AE29CB">
              <w:rPr>
                <w:rFonts w:ascii="Arial" w:eastAsia="Times New Roman" w:hAnsi="Arial" w:cs="Arial"/>
                <w:b/>
                <w:bCs/>
                <w:color w:val="FFFFFF"/>
                <w:sz w:val="16"/>
                <w:szCs w:val="16"/>
              </w:rPr>
              <w:t>ercentile</w:t>
            </w:r>
          </w:p>
        </w:tc>
        <w:tc>
          <w:tcPr>
            <w:tcW w:w="1118"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011137" w:rsidRDefault="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 xml:space="preserve">90th </w:t>
            </w:r>
            <w:r w:rsidR="009918EE">
              <w:rPr>
                <w:rFonts w:ascii="Arial" w:eastAsia="Times New Roman" w:hAnsi="Arial" w:cs="Arial"/>
                <w:b/>
                <w:bCs/>
                <w:color w:val="FFFFFF"/>
                <w:sz w:val="16"/>
                <w:szCs w:val="16"/>
              </w:rPr>
              <w:t>P</w:t>
            </w:r>
            <w:r w:rsidRPr="00AE29CB">
              <w:rPr>
                <w:rFonts w:ascii="Arial" w:eastAsia="Times New Roman" w:hAnsi="Arial" w:cs="Arial"/>
                <w:b/>
                <w:bCs/>
                <w:color w:val="FFFFFF"/>
                <w:sz w:val="16"/>
                <w:szCs w:val="16"/>
              </w:rPr>
              <w:t>ercentile</w:t>
            </w:r>
          </w:p>
        </w:tc>
        <w:tc>
          <w:tcPr>
            <w:tcW w:w="1118"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Median</w:t>
            </w:r>
          </w:p>
        </w:tc>
        <w:tc>
          <w:tcPr>
            <w:tcW w:w="1113" w:type="dxa"/>
            <w:tcBorders>
              <w:top w:val="single" w:sz="4" w:space="0" w:color="FFFFFF" w:themeColor="background1"/>
              <w:lef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75th Percentile</w:t>
            </w:r>
          </w:p>
        </w:tc>
      </w:tr>
      <w:tr w:rsidR="00AE29CB" w:rsidRPr="00AE29CB" w:rsidTr="00A00B41">
        <w:trPr>
          <w:trHeight w:val="288"/>
        </w:trPr>
        <w:tc>
          <w:tcPr>
            <w:tcW w:w="926" w:type="dxa"/>
            <w:vMerge w:val="restar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PG&amp;E</w:t>
            </w: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3.7%</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-0.3%</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-10.3%</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9.3%</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9.1%</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28.3%</w:t>
            </w:r>
          </w:p>
        </w:tc>
      </w:tr>
      <w:tr w:rsidR="00AE29CB" w:rsidRPr="00AE29CB" w:rsidTr="00A00B41">
        <w:trPr>
          <w:trHeight w:val="288"/>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-0.4%</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-0.5%</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-9.8%</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8.6%</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8.9%</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26.2%</w:t>
            </w:r>
          </w:p>
        </w:tc>
      </w:tr>
      <w:tr w:rsidR="00AE29CB" w:rsidRPr="00AE29CB" w:rsidTr="00A00B41">
        <w:trPr>
          <w:trHeight w:val="288"/>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3</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1.9%</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-0.2%</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-7.8%</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8.5%</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8.4%</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24.5%</w:t>
            </w:r>
          </w:p>
        </w:tc>
      </w:tr>
      <w:tr w:rsidR="00AE29CB" w:rsidRPr="00AE29CB" w:rsidTr="00A00B41">
        <w:trPr>
          <w:trHeight w:val="288"/>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4</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3.7%</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0.0%</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-8.8%</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9.0%</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9.1%</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26.9%</w:t>
            </w:r>
          </w:p>
        </w:tc>
      </w:tr>
      <w:tr w:rsidR="00AE29CB" w:rsidRPr="00AE29CB" w:rsidTr="00A00B41">
        <w:trPr>
          <w:trHeight w:val="288"/>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-0.4%</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-0.6%</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-8.9%</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8.4%</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9.3%</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24.3%</w:t>
            </w:r>
          </w:p>
        </w:tc>
      </w:tr>
      <w:tr w:rsidR="00AE29CB" w:rsidRPr="00AE29CB" w:rsidTr="00A00B41">
        <w:trPr>
          <w:trHeight w:val="288"/>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2.0%</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-7.3%</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8.5%</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23.0%</w:t>
            </w:r>
          </w:p>
        </w:tc>
      </w:tr>
      <w:tr w:rsidR="00AE29CB" w:rsidRPr="00AE29CB" w:rsidTr="00A00B41">
        <w:trPr>
          <w:trHeight w:val="288"/>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3.8%</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0.0%</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-9.3%</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9.4%</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9.0%</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26.9%</w:t>
            </w:r>
          </w:p>
        </w:tc>
      </w:tr>
      <w:tr w:rsidR="00AE29CB" w:rsidRPr="00AE29CB" w:rsidTr="00A00B41">
        <w:trPr>
          <w:trHeight w:val="288"/>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-0.3%</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2.2%</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-0.2%</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-9.3%</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8.8%</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8.9%</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25.2%</w:t>
            </w:r>
          </w:p>
        </w:tc>
      </w:tr>
      <w:tr w:rsidR="00AE29CB" w:rsidRPr="00AE29CB" w:rsidTr="00A00B41">
        <w:trPr>
          <w:trHeight w:val="288"/>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0.0%</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2.0%</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8.4%</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8.3%</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23.2%</w:t>
            </w:r>
          </w:p>
        </w:tc>
      </w:tr>
      <w:tr w:rsidR="00AE29CB" w:rsidRPr="00AE29CB" w:rsidTr="00A00B41">
        <w:trPr>
          <w:trHeight w:val="288"/>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10</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-0.4%</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3.5%</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-0.8%</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-9.3%</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9.2%</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9.2%</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26.5%</w:t>
            </w:r>
          </w:p>
        </w:tc>
      </w:tr>
      <w:tr w:rsidR="00AE29CB" w:rsidRPr="00AE29CB" w:rsidTr="00A00B41">
        <w:trPr>
          <w:trHeight w:val="288"/>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11</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-0.7%</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2.3%</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-8.8%</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9.1%</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24.5%</w:t>
            </w:r>
          </w:p>
        </w:tc>
      </w:tr>
      <w:tr w:rsidR="00AE29CB" w:rsidRPr="00AE29CB" w:rsidTr="00A00B41">
        <w:trPr>
          <w:trHeight w:val="288"/>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12</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-0.4%</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2.0%</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-0.8%</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-7.2%</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8.0%</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8.5%</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23.0%</w:t>
            </w:r>
          </w:p>
        </w:tc>
      </w:tr>
      <w:tr w:rsidR="00AE29CB" w:rsidRPr="00AE29CB" w:rsidTr="00A00B41">
        <w:trPr>
          <w:trHeight w:val="288"/>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13</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0.0%</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3.4%</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0.0%</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-8.7%</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9.5%</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8.9%</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26.9%</w:t>
            </w:r>
          </w:p>
        </w:tc>
      </w:tr>
      <w:tr w:rsidR="00AE29CB" w:rsidRPr="00AE29CB" w:rsidTr="00A00B41">
        <w:trPr>
          <w:trHeight w:val="288"/>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14</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-0.2%</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2.0%</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-0.2%</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-7.2%</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9.2%</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8.8%</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24.3%</w:t>
            </w:r>
          </w:p>
        </w:tc>
      </w:tr>
      <w:tr w:rsidR="00AE29CB" w:rsidRPr="00AE29CB" w:rsidTr="00A00B41">
        <w:trPr>
          <w:trHeight w:val="300"/>
        </w:trPr>
        <w:tc>
          <w:tcPr>
            <w:tcW w:w="926" w:type="dxa"/>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15</w:t>
            </w:r>
          </w:p>
        </w:tc>
        <w:tc>
          <w:tcPr>
            <w:tcW w:w="1021"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0.0%</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2.0%</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0.1%</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-6.5%</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8.8%</w:t>
            </w:r>
          </w:p>
        </w:tc>
        <w:tc>
          <w:tcPr>
            <w:tcW w:w="1118"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8.3%</w:t>
            </w:r>
          </w:p>
        </w:tc>
        <w:tc>
          <w:tcPr>
            <w:tcW w:w="1113" w:type="dxa"/>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22.9%</w:t>
            </w:r>
          </w:p>
        </w:tc>
      </w:tr>
    </w:tbl>
    <w:p w:rsidR="00136632" w:rsidRDefault="00D921E2" w:rsidP="00BA25E2">
      <w:pPr>
        <w:pStyle w:val="TableFigureCaption"/>
      </w:pPr>
      <w:r>
        <w:br/>
      </w:r>
    </w:p>
    <w:p w:rsidR="00136632" w:rsidRDefault="00136632" w:rsidP="00136632">
      <w:pPr>
        <w:pStyle w:val="BodyParaAfterTableFigure"/>
        <w:rPr>
          <w:rFonts w:ascii="TitilliumText22L Rg" w:hAnsi="TitilliumText22L Rg"/>
          <w:sz w:val="20"/>
        </w:rPr>
      </w:pPr>
      <w:r>
        <w:br w:type="page"/>
      </w:r>
    </w:p>
    <w:p w:rsidR="00CC5A64" w:rsidRDefault="00AE29CB" w:rsidP="00BA25E2">
      <w:pPr>
        <w:pStyle w:val="TableFigureCaption"/>
      </w:pPr>
      <w:r>
        <w:lastRenderedPageBreak/>
        <w:t>T</w:t>
      </w:r>
      <w:r w:rsidR="00CC5A64" w:rsidRPr="006B7BA6">
        <w:t>able</w:t>
      </w:r>
      <w:r w:rsidR="00CC5A64">
        <w:t xml:space="preserve"> A-5:</w:t>
      </w:r>
      <w:r w:rsidR="00D921E2">
        <w:t xml:space="preserve"> </w:t>
      </w:r>
      <w:r w:rsidR="00CC5A64">
        <w:t>SCE Bias and Goodness</w:t>
      </w:r>
      <w:r w:rsidR="009918EE">
        <w:t>-</w:t>
      </w:r>
      <w:r w:rsidR="00CC5A64">
        <w:t>of</w:t>
      </w:r>
      <w:r w:rsidR="009918EE">
        <w:t>-</w:t>
      </w:r>
      <w:r w:rsidR="00CC5A64">
        <w:t xml:space="preserve">Fit Metrics by Model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6"/>
        <w:gridCol w:w="926"/>
        <w:gridCol w:w="1021"/>
        <w:gridCol w:w="1118"/>
        <w:gridCol w:w="1118"/>
        <w:gridCol w:w="1118"/>
        <w:gridCol w:w="1118"/>
        <w:gridCol w:w="1118"/>
        <w:gridCol w:w="1113"/>
      </w:tblGrid>
      <w:tr w:rsidR="00AE29CB" w:rsidRPr="00AE29CB" w:rsidTr="00A00B41">
        <w:trPr>
          <w:trHeight w:val="300"/>
        </w:trPr>
        <w:tc>
          <w:tcPr>
            <w:tcW w:w="483" w:type="pct"/>
            <w:vMerge w:val="restart"/>
            <w:tcBorders>
              <w:right w:val="single" w:sz="4" w:space="0" w:color="FFFFFF" w:themeColor="background1"/>
            </w:tcBorders>
            <w:shd w:val="clear" w:color="000000" w:fill="376091"/>
            <w:noWrap/>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Utility</w:t>
            </w:r>
          </w:p>
        </w:tc>
        <w:tc>
          <w:tcPr>
            <w:tcW w:w="483" w:type="pct"/>
            <w:vMerge w:val="restart"/>
            <w:tcBorders>
              <w:left w:val="single" w:sz="4" w:space="0" w:color="FFFFFF" w:themeColor="background1"/>
              <w:right w:val="single" w:sz="4" w:space="0" w:color="FFFFFF" w:themeColor="background1"/>
            </w:tcBorders>
            <w:shd w:val="clear" w:color="000000" w:fill="376091"/>
            <w:noWrap/>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Model</w:t>
            </w:r>
          </w:p>
        </w:tc>
        <w:tc>
          <w:tcPr>
            <w:tcW w:w="533" w:type="pct"/>
            <w:vMerge w:val="restart"/>
            <w:tcBorders>
              <w:left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Aggregate Bias (MPE)</w:t>
            </w:r>
          </w:p>
        </w:tc>
        <w:tc>
          <w:tcPr>
            <w:tcW w:w="584" w:type="pct"/>
            <w:vMerge w:val="restart"/>
            <w:tcBorders>
              <w:left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Aggregate  Goodness of Fit (MAPE)</w:t>
            </w:r>
          </w:p>
        </w:tc>
        <w:tc>
          <w:tcPr>
            <w:tcW w:w="1751" w:type="pct"/>
            <w:gridSpan w:val="3"/>
            <w:tcBorders>
              <w:left w:val="single" w:sz="4" w:space="0" w:color="FFFFFF" w:themeColor="background1"/>
              <w:bottom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Individual Customer MPE</w:t>
            </w:r>
          </w:p>
        </w:tc>
        <w:tc>
          <w:tcPr>
            <w:tcW w:w="1167" w:type="pct"/>
            <w:gridSpan w:val="2"/>
            <w:tcBorders>
              <w:left w:val="single" w:sz="4" w:space="0" w:color="FFFFFF" w:themeColor="background1"/>
              <w:bottom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Individual Customer MAPE</w:t>
            </w:r>
          </w:p>
        </w:tc>
      </w:tr>
      <w:tr w:rsidR="00AE29CB" w:rsidRPr="00AE29CB" w:rsidTr="00A00B41">
        <w:trPr>
          <w:trHeight w:val="420"/>
        </w:trPr>
        <w:tc>
          <w:tcPr>
            <w:tcW w:w="483" w:type="pct"/>
            <w:vMerge/>
            <w:tcBorders>
              <w:right w:val="single" w:sz="4" w:space="0" w:color="FFFFFF" w:themeColor="background1"/>
            </w:tcBorders>
            <w:vAlign w:val="center"/>
            <w:hideMark/>
          </w:tcPr>
          <w:p w:rsidR="00AE29CB" w:rsidRPr="00AE29CB" w:rsidRDefault="00AE29CB" w:rsidP="00AE29CB">
            <w:pPr>
              <w:spacing w:after="0" w:line="240" w:lineRule="auto"/>
              <w:rPr>
                <w:rFonts w:ascii="Arial" w:eastAsia="Times New Roman" w:hAnsi="Arial" w:cs="Arial"/>
                <w:b/>
                <w:bCs/>
                <w:color w:val="FFFFFF"/>
                <w:sz w:val="16"/>
                <w:szCs w:val="16"/>
              </w:rPr>
            </w:pPr>
          </w:p>
        </w:tc>
        <w:tc>
          <w:tcPr>
            <w:tcW w:w="483" w:type="pct"/>
            <w:vMerge/>
            <w:tcBorders>
              <w:left w:val="single" w:sz="4" w:space="0" w:color="FFFFFF" w:themeColor="background1"/>
              <w:right w:val="single" w:sz="4" w:space="0" w:color="FFFFFF" w:themeColor="background1"/>
            </w:tcBorders>
            <w:vAlign w:val="center"/>
            <w:hideMark/>
          </w:tcPr>
          <w:p w:rsidR="00AE29CB" w:rsidRPr="00AE29CB" w:rsidRDefault="00AE29CB" w:rsidP="00AE29CB">
            <w:pPr>
              <w:spacing w:after="0" w:line="240" w:lineRule="auto"/>
              <w:rPr>
                <w:rFonts w:ascii="Arial" w:eastAsia="Times New Roman" w:hAnsi="Arial" w:cs="Arial"/>
                <w:b/>
                <w:bCs/>
                <w:color w:val="FFFFFF"/>
                <w:sz w:val="16"/>
                <w:szCs w:val="16"/>
              </w:rPr>
            </w:pPr>
          </w:p>
        </w:tc>
        <w:tc>
          <w:tcPr>
            <w:tcW w:w="533" w:type="pct"/>
            <w:vMerge/>
            <w:tcBorders>
              <w:left w:val="single" w:sz="4" w:space="0" w:color="FFFFFF" w:themeColor="background1"/>
              <w:right w:val="single" w:sz="4" w:space="0" w:color="FFFFFF" w:themeColor="background1"/>
            </w:tcBorders>
            <w:vAlign w:val="center"/>
            <w:hideMark/>
          </w:tcPr>
          <w:p w:rsidR="00AE29CB" w:rsidRPr="00AE29CB" w:rsidRDefault="00AE29CB" w:rsidP="00AE29CB">
            <w:pPr>
              <w:spacing w:after="0" w:line="240" w:lineRule="auto"/>
              <w:rPr>
                <w:rFonts w:ascii="Arial" w:eastAsia="Times New Roman" w:hAnsi="Arial" w:cs="Arial"/>
                <w:b/>
                <w:bCs/>
                <w:color w:val="FFFFFF"/>
                <w:sz w:val="16"/>
                <w:szCs w:val="16"/>
              </w:rPr>
            </w:pPr>
          </w:p>
        </w:tc>
        <w:tc>
          <w:tcPr>
            <w:tcW w:w="584" w:type="pct"/>
            <w:vMerge/>
            <w:tcBorders>
              <w:left w:val="single" w:sz="4" w:space="0" w:color="FFFFFF" w:themeColor="background1"/>
              <w:right w:val="single" w:sz="4" w:space="0" w:color="FFFFFF" w:themeColor="background1"/>
            </w:tcBorders>
            <w:vAlign w:val="center"/>
            <w:hideMark/>
          </w:tcPr>
          <w:p w:rsidR="00AE29CB" w:rsidRPr="00AE29CB" w:rsidRDefault="00AE29CB" w:rsidP="00AE29CB">
            <w:pPr>
              <w:spacing w:after="0" w:line="240" w:lineRule="auto"/>
              <w:rPr>
                <w:rFonts w:ascii="Arial" w:eastAsia="Times New Roman" w:hAnsi="Arial" w:cs="Arial"/>
                <w:b/>
                <w:bCs/>
                <w:color w:val="FFFFFF"/>
                <w:sz w:val="16"/>
                <w:szCs w:val="16"/>
              </w:rPr>
            </w:pPr>
          </w:p>
        </w:tc>
        <w:tc>
          <w:tcPr>
            <w:tcW w:w="584" w:type="pct"/>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Median</w:t>
            </w:r>
          </w:p>
        </w:tc>
        <w:tc>
          <w:tcPr>
            <w:tcW w:w="584" w:type="pct"/>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011137" w:rsidRDefault="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 xml:space="preserve">10th </w:t>
            </w:r>
            <w:r w:rsidR="009918EE">
              <w:rPr>
                <w:rFonts w:ascii="Arial" w:eastAsia="Times New Roman" w:hAnsi="Arial" w:cs="Arial"/>
                <w:b/>
                <w:bCs/>
                <w:color w:val="FFFFFF"/>
                <w:sz w:val="16"/>
                <w:szCs w:val="16"/>
              </w:rPr>
              <w:t>P</w:t>
            </w:r>
            <w:r w:rsidRPr="00AE29CB">
              <w:rPr>
                <w:rFonts w:ascii="Arial" w:eastAsia="Times New Roman" w:hAnsi="Arial" w:cs="Arial"/>
                <w:b/>
                <w:bCs/>
                <w:color w:val="FFFFFF"/>
                <w:sz w:val="16"/>
                <w:szCs w:val="16"/>
              </w:rPr>
              <w:t>ercentile</w:t>
            </w:r>
          </w:p>
        </w:tc>
        <w:tc>
          <w:tcPr>
            <w:tcW w:w="584" w:type="pct"/>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011137" w:rsidRDefault="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 xml:space="preserve">90th </w:t>
            </w:r>
            <w:r w:rsidR="009918EE">
              <w:rPr>
                <w:rFonts w:ascii="Arial" w:eastAsia="Times New Roman" w:hAnsi="Arial" w:cs="Arial"/>
                <w:b/>
                <w:bCs/>
                <w:color w:val="FFFFFF"/>
                <w:sz w:val="16"/>
                <w:szCs w:val="16"/>
              </w:rPr>
              <w:t>P</w:t>
            </w:r>
            <w:r w:rsidRPr="00AE29CB">
              <w:rPr>
                <w:rFonts w:ascii="Arial" w:eastAsia="Times New Roman" w:hAnsi="Arial" w:cs="Arial"/>
                <w:b/>
                <w:bCs/>
                <w:color w:val="FFFFFF"/>
                <w:sz w:val="16"/>
                <w:szCs w:val="16"/>
              </w:rPr>
              <w:t>ercentile</w:t>
            </w:r>
          </w:p>
        </w:tc>
        <w:tc>
          <w:tcPr>
            <w:tcW w:w="584" w:type="pct"/>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Median</w:t>
            </w:r>
          </w:p>
        </w:tc>
        <w:tc>
          <w:tcPr>
            <w:tcW w:w="584" w:type="pct"/>
            <w:tcBorders>
              <w:top w:val="single" w:sz="4" w:space="0" w:color="FFFFFF" w:themeColor="background1"/>
              <w:left w:val="single" w:sz="4" w:space="0" w:color="FFFFFF" w:themeColor="background1"/>
            </w:tcBorders>
            <w:shd w:val="clear" w:color="000000" w:fill="376091"/>
            <w:vAlign w:val="center"/>
            <w:hideMark/>
          </w:tcPr>
          <w:p w:rsidR="00AE29CB" w:rsidRPr="00AE29CB" w:rsidRDefault="00AE29CB" w:rsidP="00AE29CB">
            <w:pPr>
              <w:spacing w:after="0" w:line="240" w:lineRule="auto"/>
              <w:jc w:val="center"/>
              <w:rPr>
                <w:rFonts w:ascii="Arial" w:eastAsia="Times New Roman" w:hAnsi="Arial" w:cs="Arial"/>
                <w:b/>
                <w:bCs/>
                <w:color w:val="FFFFFF"/>
                <w:sz w:val="16"/>
                <w:szCs w:val="16"/>
              </w:rPr>
            </w:pPr>
            <w:r w:rsidRPr="00AE29CB">
              <w:rPr>
                <w:rFonts w:ascii="Arial" w:eastAsia="Times New Roman" w:hAnsi="Arial" w:cs="Arial"/>
                <w:b/>
                <w:bCs/>
                <w:color w:val="FFFFFF"/>
                <w:sz w:val="16"/>
                <w:szCs w:val="16"/>
              </w:rPr>
              <w:t>75th Percentile</w:t>
            </w:r>
          </w:p>
        </w:tc>
      </w:tr>
      <w:tr w:rsidR="00AE29CB" w:rsidRPr="00AE29CB" w:rsidTr="00A00B41">
        <w:trPr>
          <w:trHeight w:val="288"/>
        </w:trPr>
        <w:tc>
          <w:tcPr>
            <w:tcW w:w="483" w:type="pct"/>
            <w:vMerge w:val="restar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SCE</w:t>
            </w: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-0.4%</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0.3%</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-8.9%</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10.3%</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6.1%</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26.9%</w:t>
            </w:r>
          </w:p>
        </w:tc>
      </w:tr>
      <w:tr w:rsidR="00AE29CB" w:rsidRPr="00AE29CB" w:rsidTr="00A00B41">
        <w:trPr>
          <w:trHeight w:val="288"/>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-0.5%</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-0.6%</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-8.4%</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7.5%</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6.0%</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25.1%</w:t>
            </w:r>
          </w:p>
        </w:tc>
      </w:tr>
      <w:tr w:rsidR="00AE29CB" w:rsidRPr="00AE29CB" w:rsidTr="00A00B41">
        <w:trPr>
          <w:trHeight w:val="288"/>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3</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-0.3%</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1.7%</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-0.4%</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-8.0%</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7.6%</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5.5%</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23.0%</w:t>
            </w:r>
          </w:p>
        </w:tc>
      </w:tr>
      <w:tr w:rsidR="00AE29CB" w:rsidRPr="00AE29CB" w:rsidTr="00A00B41">
        <w:trPr>
          <w:trHeight w:val="288"/>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4</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-0.2%</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2.9%</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-0.2%</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-9.1%</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5.9%</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26.5%</w:t>
            </w:r>
          </w:p>
        </w:tc>
      </w:tr>
      <w:tr w:rsidR="00AE29CB" w:rsidRPr="00AE29CB" w:rsidTr="00A00B41">
        <w:trPr>
          <w:trHeight w:val="288"/>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-0.4%</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-0.7%</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-9.1%</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7.6%</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6.3%</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24.6%</w:t>
            </w:r>
          </w:p>
        </w:tc>
      </w:tr>
      <w:tr w:rsidR="00AE29CB" w:rsidRPr="00AE29CB" w:rsidTr="00A00B41">
        <w:trPr>
          <w:trHeight w:val="288"/>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-0.3%</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-0.6%</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-8.0%</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7.2%</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23.5%</w:t>
            </w:r>
          </w:p>
        </w:tc>
      </w:tr>
      <w:tr w:rsidR="00AE29CB" w:rsidRPr="00AE29CB" w:rsidTr="00A00B41">
        <w:trPr>
          <w:trHeight w:val="288"/>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-0.1%</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0.0%</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-9.2%</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10.3%</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26.1%</w:t>
            </w:r>
          </w:p>
        </w:tc>
      </w:tr>
      <w:tr w:rsidR="00AE29CB" w:rsidRPr="00AE29CB" w:rsidTr="00A00B41">
        <w:trPr>
          <w:trHeight w:val="288"/>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-0.4%</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-0.6%</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-8.6%</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7.5%</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5.9%</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24.9%</w:t>
            </w:r>
          </w:p>
        </w:tc>
      </w:tr>
      <w:tr w:rsidR="00AE29CB" w:rsidRPr="00AE29CB" w:rsidTr="00A00B41">
        <w:trPr>
          <w:trHeight w:val="288"/>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-0.2%</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1.7%</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-0.4%</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-7.6%</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7.6%</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5.5%</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23.1%</w:t>
            </w:r>
          </w:p>
        </w:tc>
      </w:tr>
      <w:tr w:rsidR="00AE29CB" w:rsidRPr="00AE29CB" w:rsidTr="00A00B41">
        <w:trPr>
          <w:trHeight w:val="288"/>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10</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-0.4%</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-0.3%</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-9.5%</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5.6%</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26.5%</w:t>
            </w:r>
          </w:p>
        </w:tc>
      </w:tr>
      <w:tr w:rsidR="00AE29CB" w:rsidRPr="00AE29CB" w:rsidTr="00A00B41">
        <w:trPr>
          <w:trHeight w:val="288"/>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11</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-0.5%</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-0.7%</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-8.5%</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7.5%</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24.9%</w:t>
            </w:r>
          </w:p>
        </w:tc>
      </w:tr>
      <w:tr w:rsidR="00AE29CB" w:rsidRPr="00AE29CB" w:rsidTr="00A00B41">
        <w:trPr>
          <w:trHeight w:val="288"/>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12</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-0.4%</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1.9%</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-0.6%</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-7.6%</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7.3%</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5.5%</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23.3%</w:t>
            </w:r>
          </w:p>
        </w:tc>
      </w:tr>
      <w:tr w:rsidR="00AE29CB" w:rsidRPr="00AE29CB" w:rsidTr="00A00B41">
        <w:trPr>
          <w:trHeight w:val="288"/>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13</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-0.3%</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2.4%</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0.1%</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-9.2%</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10.4%</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26.2%</w:t>
            </w:r>
          </w:p>
        </w:tc>
      </w:tr>
      <w:tr w:rsidR="00AE29CB" w:rsidRPr="00AE29CB" w:rsidTr="00A00B41">
        <w:trPr>
          <w:trHeight w:val="288"/>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14</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-0.5%</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-0.7%</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8.1%</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6.1%</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25.3%</w:t>
            </w:r>
          </w:p>
        </w:tc>
      </w:tr>
      <w:tr w:rsidR="00AE29CB" w:rsidRPr="00AE29CB" w:rsidTr="00A00B41">
        <w:trPr>
          <w:trHeight w:val="300"/>
        </w:trPr>
        <w:tc>
          <w:tcPr>
            <w:tcW w:w="483" w:type="pct"/>
            <w:vMerge/>
            <w:vAlign w:val="center"/>
            <w:hideMark/>
          </w:tcPr>
          <w:p w:rsidR="00AE29CB" w:rsidRPr="00AE29CB" w:rsidRDefault="00AE29CB" w:rsidP="00AE29CB">
            <w:pPr>
              <w:spacing w:after="0" w:line="240" w:lineRule="auto"/>
              <w:rPr>
                <w:rFonts w:ascii="Arial" w:eastAsia="Times New Roman" w:hAnsi="Arial" w:cs="Arial"/>
                <w:color w:val="000000"/>
                <w:sz w:val="16"/>
                <w:szCs w:val="16"/>
              </w:rPr>
            </w:pPr>
          </w:p>
        </w:tc>
        <w:tc>
          <w:tcPr>
            <w:tcW w:w="48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15</w:t>
            </w:r>
          </w:p>
        </w:tc>
        <w:tc>
          <w:tcPr>
            <w:tcW w:w="533"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-0.3%</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1.8%</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-0.4%</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-8.0%</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8.1%</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5.5%</w:t>
            </w:r>
          </w:p>
        </w:tc>
        <w:tc>
          <w:tcPr>
            <w:tcW w:w="584" w:type="pct"/>
            <w:shd w:val="clear" w:color="auto" w:fill="auto"/>
            <w:noWrap/>
            <w:vAlign w:val="center"/>
            <w:hideMark/>
          </w:tcPr>
          <w:p w:rsidR="00AE29CB" w:rsidRPr="00AE29CB" w:rsidRDefault="00AE29CB" w:rsidP="00AE29CB">
            <w:pPr>
              <w:spacing w:after="0" w:line="240" w:lineRule="auto"/>
              <w:jc w:val="center"/>
              <w:rPr>
                <w:rFonts w:ascii="Arial" w:eastAsia="Times New Roman" w:hAnsi="Arial" w:cs="Arial"/>
                <w:color w:val="000000"/>
                <w:sz w:val="16"/>
                <w:szCs w:val="16"/>
              </w:rPr>
            </w:pPr>
            <w:r w:rsidRPr="00AE29CB">
              <w:rPr>
                <w:rFonts w:ascii="Arial" w:eastAsia="Times New Roman" w:hAnsi="Arial" w:cs="Arial"/>
                <w:color w:val="000000"/>
                <w:sz w:val="16"/>
                <w:szCs w:val="16"/>
              </w:rPr>
              <w:t>23.7%</w:t>
            </w:r>
          </w:p>
        </w:tc>
      </w:tr>
    </w:tbl>
    <w:p w:rsidR="00AE29CB" w:rsidRDefault="00AE29CB" w:rsidP="00BA25E2">
      <w:pPr>
        <w:pStyle w:val="TableFigureCaption"/>
      </w:pPr>
    </w:p>
    <w:p w:rsidR="00CC5A64" w:rsidRDefault="00CC5A64" w:rsidP="00BA25E2">
      <w:pPr>
        <w:pStyle w:val="TableFigureCaption"/>
      </w:pPr>
      <w:r w:rsidRPr="006B7BA6">
        <w:t>Table</w:t>
      </w:r>
      <w:r>
        <w:t xml:space="preserve"> A-6:</w:t>
      </w:r>
      <w:r w:rsidR="00D921E2">
        <w:t xml:space="preserve"> </w:t>
      </w:r>
      <w:r>
        <w:t>SDG&amp;E Bias and Goodness</w:t>
      </w:r>
      <w:r w:rsidR="009918EE">
        <w:t>-</w:t>
      </w:r>
      <w:r>
        <w:t>of</w:t>
      </w:r>
      <w:r w:rsidR="009918EE">
        <w:t>-</w:t>
      </w:r>
      <w:r>
        <w:t xml:space="preserve">Fit Metrics by Model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6"/>
        <w:gridCol w:w="926"/>
        <w:gridCol w:w="1021"/>
        <w:gridCol w:w="1118"/>
        <w:gridCol w:w="1118"/>
        <w:gridCol w:w="1118"/>
        <w:gridCol w:w="1118"/>
        <w:gridCol w:w="1118"/>
        <w:gridCol w:w="1113"/>
      </w:tblGrid>
      <w:tr w:rsidR="003F5AC5" w:rsidRPr="003F5AC5" w:rsidTr="00A00B41">
        <w:trPr>
          <w:trHeight w:val="300"/>
        </w:trPr>
        <w:tc>
          <w:tcPr>
            <w:tcW w:w="926" w:type="dxa"/>
            <w:vMerge w:val="restart"/>
            <w:tcBorders>
              <w:right w:val="single" w:sz="4" w:space="0" w:color="FFFFFF" w:themeColor="background1"/>
            </w:tcBorders>
            <w:shd w:val="clear" w:color="000000" w:fill="376091"/>
            <w:noWrap/>
            <w:vAlign w:val="center"/>
            <w:hideMark/>
          </w:tcPr>
          <w:p w:rsidR="003F5AC5" w:rsidRPr="003F5AC5" w:rsidRDefault="003F5AC5" w:rsidP="003F5AC5">
            <w:pPr>
              <w:spacing w:after="0" w:line="240" w:lineRule="auto"/>
              <w:jc w:val="center"/>
              <w:rPr>
                <w:rFonts w:ascii="Arial" w:eastAsia="Times New Roman" w:hAnsi="Arial" w:cs="Arial"/>
                <w:b/>
                <w:bCs/>
                <w:color w:val="FFFFFF"/>
                <w:sz w:val="16"/>
                <w:szCs w:val="16"/>
              </w:rPr>
            </w:pPr>
            <w:r w:rsidRPr="003F5AC5">
              <w:rPr>
                <w:rFonts w:ascii="Arial" w:eastAsia="Times New Roman" w:hAnsi="Arial" w:cs="Arial"/>
                <w:b/>
                <w:bCs/>
                <w:color w:val="FFFFFF"/>
                <w:sz w:val="16"/>
                <w:szCs w:val="16"/>
              </w:rPr>
              <w:t>Utility</w:t>
            </w:r>
          </w:p>
        </w:tc>
        <w:tc>
          <w:tcPr>
            <w:tcW w:w="926" w:type="dxa"/>
            <w:vMerge w:val="restart"/>
            <w:tcBorders>
              <w:left w:val="single" w:sz="4" w:space="0" w:color="FFFFFF" w:themeColor="background1"/>
              <w:right w:val="single" w:sz="4" w:space="0" w:color="FFFFFF" w:themeColor="background1"/>
            </w:tcBorders>
            <w:shd w:val="clear" w:color="000000" w:fill="376091"/>
            <w:noWrap/>
            <w:vAlign w:val="center"/>
            <w:hideMark/>
          </w:tcPr>
          <w:p w:rsidR="003F5AC5" w:rsidRPr="003F5AC5" w:rsidRDefault="003F5AC5" w:rsidP="003F5AC5">
            <w:pPr>
              <w:spacing w:after="0" w:line="240" w:lineRule="auto"/>
              <w:jc w:val="center"/>
              <w:rPr>
                <w:rFonts w:ascii="Arial" w:eastAsia="Times New Roman" w:hAnsi="Arial" w:cs="Arial"/>
                <w:b/>
                <w:bCs/>
                <w:color w:val="FFFFFF"/>
                <w:sz w:val="16"/>
                <w:szCs w:val="16"/>
              </w:rPr>
            </w:pPr>
            <w:r w:rsidRPr="003F5AC5">
              <w:rPr>
                <w:rFonts w:ascii="Arial" w:eastAsia="Times New Roman" w:hAnsi="Arial" w:cs="Arial"/>
                <w:b/>
                <w:bCs/>
                <w:color w:val="FFFFFF"/>
                <w:sz w:val="16"/>
                <w:szCs w:val="16"/>
              </w:rPr>
              <w:t>Model</w:t>
            </w:r>
          </w:p>
        </w:tc>
        <w:tc>
          <w:tcPr>
            <w:tcW w:w="1021" w:type="dxa"/>
            <w:vMerge w:val="restart"/>
            <w:tcBorders>
              <w:left w:val="single" w:sz="4" w:space="0" w:color="FFFFFF" w:themeColor="background1"/>
              <w:right w:val="single" w:sz="4" w:space="0" w:color="FFFFFF" w:themeColor="background1"/>
            </w:tcBorders>
            <w:shd w:val="clear" w:color="000000" w:fill="376091"/>
            <w:vAlign w:val="center"/>
            <w:hideMark/>
          </w:tcPr>
          <w:p w:rsidR="003F5AC5" w:rsidRPr="003F5AC5" w:rsidRDefault="003F5AC5" w:rsidP="003F5AC5">
            <w:pPr>
              <w:spacing w:after="0" w:line="240" w:lineRule="auto"/>
              <w:jc w:val="center"/>
              <w:rPr>
                <w:rFonts w:ascii="Arial" w:eastAsia="Times New Roman" w:hAnsi="Arial" w:cs="Arial"/>
                <w:b/>
                <w:bCs/>
                <w:color w:val="FFFFFF"/>
                <w:sz w:val="16"/>
                <w:szCs w:val="16"/>
              </w:rPr>
            </w:pPr>
            <w:r w:rsidRPr="003F5AC5">
              <w:rPr>
                <w:rFonts w:ascii="Arial" w:eastAsia="Times New Roman" w:hAnsi="Arial" w:cs="Arial"/>
                <w:b/>
                <w:bCs/>
                <w:color w:val="FFFFFF"/>
                <w:sz w:val="16"/>
                <w:szCs w:val="16"/>
              </w:rPr>
              <w:t>Aggregate Bias (MPE)</w:t>
            </w:r>
          </w:p>
        </w:tc>
        <w:tc>
          <w:tcPr>
            <w:tcW w:w="1118" w:type="dxa"/>
            <w:vMerge w:val="restart"/>
            <w:tcBorders>
              <w:left w:val="single" w:sz="4" w:space="0" w:color="FFFFFF" w:themeColor="background1"/>
              <w:right w:val="single" w:sz="4" w:space="0" w:color="FFFFFF" w:themeColor="background1"/>
            </w:tcBorders>
            <w:shd w:val="clear" w:color="000000" w:fill="376091"/>
            <w:vAlign w:val="center"/>
            <w:hideMark/>
          </w:tcPr>
          <w:p w:rsidR="003F5AC5" w:rsidRPr="003F5AC5" w:rsidRDefault="003F5AC5" w:rsidP="003F5AC5">
            <w:pPr>
              <w:spacing w:after="0" w:line="240" w:lineRule="auto"/>
              <w:jc w:val="center"/>
              <w:rPr>
                <w:rFonts w:ascii="Arial" w:eastAsia="Times New Roman" w:hAnsi="Arial" w:cs="Arial"/>
                <w:b/>
                <w:bCs/>
                <w:color w:val="FFFFFF"/>
                <w:sz w:val="16"/>
                <w:szCs w:val="16"/>
              </w:rPr>
            </w:pPr>
            <w:r w:rsidRPr="003F5AC5">
              <w:rPr>
                <w:rFonts w:ascii="Arial" w:eastAsia="Times New Roman" w:hAnsi="Arial" w:cs="Arial"/>
                <w:b/>
                <w:bCs/>
                <w:color w:val="FFFFFF"/>
                <w:sz w:val="16"/>
                <w:szCs w:val="16"/>
              </w:rPr>
              <w:t>Aggregate  Goodness of Fit (MAPE)</w:t>
            </w:r>
          </w:p>
        </w:tc>
        <w:tc>
          <w:tcPr>
            <w:tcW w:w="3354" w:type="dxa"/>
            <w:gridSpan w:val="3"/>
            <w:tcBorders>
              <w:left w:val="single" w:sz="4" w:space="0" w:color="FFFFFF" w:themeColor="background1"/>
              <w:bottom w:val="single" w:sz="4" w:space="0" w:color="FFFFFF" w:themeColor="background1"/>
              <w:right w:val="single" w:sz="4" w:space="0" w:color="FFFFFF" w:themeColor="background1"/>
            </w:tcBorders>
            <w:shd w:val="clear" w:color="000000" w:fill="376091"/>
            <w:vAlign w:val="center"/>
            <w:hideMark/>
          </w:tcPr>
          <w:p w:rsidR="003F5AC5" w:rsidRPr="003F5AC5" w:rsidRDefault="003F5AC5" w:rsidP="003F5AC5">
            <w:pPr>
              <w:spacing w:after="0" w:line="240" w:lineRule="auto"/>
              <w:jc w:val="center"/>
              <w:rPr>
                <w:rFonts w:ascii="Arial" w:eastAsia="Times New Roman" w:hAnsi="Arial" w:cs="Arial"/>
                <w:b/>
                <w:bCs/>
                <w:color w:val="FFFFFF"/>
                <w:sz w:val="16"/>
                <w:szCs w:val="16"/>
              </w:rPr>
            </w:pPr>
            <w:r w:rsidRPr="003F5AC5">
              <w:rPr>
                <w:rFonts w:ascii="Arial" w:eastAsia="Times New Roman" w:hAnsi="Arial" w:cs="Arial"/>
                <w:b/>
                <w:bCs/>
                <w:color w:val="FFFFFF"/>
                <w:sz w:val="16"/>
                <w:szCs w:val="16"/>
              </w:rPr>
              <w:t>Individual Customer MPE</w:t>
            </w:r>
          </w:p>
        </w:tc>
        <w:tc>
          <w:tcPr>
            <w:tcW w:w="2231" w:type="dxa"/>
            <w:gridSpan w:val="2"/>
            <w:tcBorders>
              <w:left w:val="single" w:sz="4" w:space="0" w:color="FFFFFF" w:themeColor="background1"/>
              <w:bottom w:val="single" w:sz="4" w:space="0" w:color="FFFFFF" w:themeColor="background1"/>
            </w:tcBorders>
            <w:shd w:val="clear" w:color="000000" w:fill="376091"/>
            <w:vAlign w:val="center"/>
            <w:hideMark/>
          </w:tcPr>
          <w:p w:rsidR="003F5AC5" w:rsidRPr="003F5AC5" w:rsidRDefault="003F5AC5" w:rsidP="003F5AC5">
            <w:pPr>
              <w:spacing w:after="0" w:line="240" w:lineRule="auto"/>
              <w:jc w:val="center"/>
              <w:rPr>
                <w:rFonts w:ascii="Arial" w:eastAsia="Times New Roman" w:hAnsi="Arial" w:cs="Arial"/>
                <w:b/>
                <w:bCs/>
                <w:color w:val="FFFFFF"/>
                <w:sz w:val="16"/>
                <w:szCs w:val="16"/>
              </w:rPr>
            </w:pPr>
            <w:r w:rsidRPr="003F5AC5">
              <w:rPr>
                <w:rFonts w:ascii="Arial" w:eastAsia="Times New Roman" w:hAnsi="Arial" w:cs="Arial"/>
                <w:b/>
                <w:bCs/>
                <w:color w:val="FFFFFF"/>
                <w:sz w:val="16"/>
                <w:szCs w:val="16"/>
              </w:rPr>
              <w:t>Individual Customer MAPE</w:t>
            </w:r>
          </w:p>
        </w:tc>
      </w:tr>
      <w:tr w:rsidR="003F5AC5" w:rsidRPr="003F5AC5" w:rsidTr="00A00B41">
        <w:trPr>
          <w:trHeight w:val="420"/>
        </w:trPr>
        <w:tc>
          <w:tcPr>
            <w:tcW w:w="926" w:type="dxa"/>
            <w:vMerge/>
            <w:tcBorders>
              <w:right w:val="single" w:sz="4" w:space="0" w:color="FFFFFF" w:themeColor="background1"/>
            </w:tcBorders>
            <w:vAlign w:val="center"/>
            <w:hideMark/>
          </w:tcPr>
          <w:p w:rsidR="003F5AC5" w:rsidRPr="003F5AC5" w:rsidRDefault="003F5AC5" w:rsidP="003F5AC5">
            <w:pPr>
              <w:spacing w:after="0" w:line="240" w:lineRule="auto"/>
              <w:rPr>
                <w:rFonts w:ascii="Arial" w:eastAsia="Times New Roman" w:hAnsi="Arial" w:cs="Arial"/>
                <w:b/>
                <w:bCs/>
                <w:color w:val="FFFFFF"/>
                <w:sz w:val="16"/>
                <w:szCs w:val="16"/>
              </w:rPr>
            </w:pPr>
          </w:p>
        </w:tc>
        <w:tc>
          <w:tcPr>
            <w:tcW w:w="926" w:type="dxa"/>
            <w:vMerge/>
            <w:tcBorders>
              <w:left w:val="single" w:sz="4" w:space="0" w:color="FFFFFF" w:themeColor="background1"/>
              <w:right w:val="single" w:sz="4" w:space="0" w:color="FFFFFF" w:themeColor="background1"/>
            </w:tcBorders>
            <w:vAlign w:val="center"/>
            <w:hideMark/>
          </w:tcPr>
          <w:p w:rsidR="003F5AC5" w:rsidRPr="003F5AC5" w:rsidRDefault="003F5AC5" w:rsidP="003F5AC5">
            <w:pPr>
              <w:spacing w:after="0" w:line="240" w:lineRule="auto"/>
              <w:rPr>
                <w:rFonts w:ascii="Arial" w:eastAsia="Times New Roman" w:hAnsi="Arial" w:cs="Arial"/>
                <w:b/>
                <w:bCs/>
                <w:color w:val="FFFFFF"/>
                <w:sz w:val="16"/>
                <w:szCs w:val="16"/>
              </w:rPr>
            </w:pPr>
          </w:p>
        </w:tc>
        <w:tc>
          <w:tcPr>
            <w:tcW w:w="1021" w:type="dxa"/>
            <w:vMerge/>
            <w:tcBorders>
              <w:left w:val="single" w:sz="4" w:space="0" w:color="FFFFFF" w:themeColor="background1"/>
              <w:right w:val="single" w:sz="4" w:space="0" w:color="FFFFFF" w:themeColor="background1"/>
            </w:tcBorders>
            <w:vAlign w:val="center"/>
            <w:hideMark/>
          </w:tcPr>
          <w:p w:rsidR="003F5AC5" w:rsidRPr="003F5AC5" w:rsidRDefault="003F5AC5" w:rsidP="003F5AC5">
            <w:pPr>
              <w:spacing w:after="0" w:line="240" w:lineRule="auto"/>
              <w:rPr>
                <w:rFonts w:ascii="Arial" w:eastAsia="Times New Roman" w:hAnsi="Arial" w:cs="Arial"/>
                <w:b/>
                <w:bCs/>
                <w:color w:val="FFFFFF"/>
                <w:sz w:val="16"/>
                <w:szCs w:val="16"/>
              </w:rPr>
            </w:pPr>
          </w:p>
        </w:tc>
        <w:tc>
          <w:tcPr>
            <w:tcW w:w="1118" w:type="dxa"/>
            <w:vMerge/>
            <w:tcBorders>
              <w:left w:val="single" w:sz="4" w:space="0" w:color="FFFFFF" w:themeColor="background1"/>
              <w:right w:val="single" w:sz="4" w:space="0" w:color="FFFFFF" w:themeColor="background1"/>
            </w:tcBorders>
            <w:vAlign w:val="center"/>
            <w:hideMark/>
          </w:tcPr>
          <w:p w:rsidR="003F5AC5" w:rsidRPr="003F5AC5" w:rsidRDefault="003F5AC5" w:rsidP="003F5AC5">
            <w:pPr>
              <w:spacing w:after="0" w:line="240" w:lineRule="auto"/>
              <w:rPr>
                <w:rFonts w:ascii="Arial" w:eastAsia="Times New Roman" w:hAnsi="Arial" w:cs="Arial"/>
                <w:b/>
                <w:bCs/>
                <w:color w:val="FFFFFF"/>
                <w:sz w:val="16"/>
                <w:szCs w:val="16"/>
              </w:rPr>
            </w:pPr>
          </w:p>
        </w:tc>
        <w:tc>
          <w:tcPr>
            <w:tcW w:w="1118"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3F5AC5" w:rsidRPr="003F5AC5" w:rsidRDefault="003F5AC5" w:rsidP="003F5AC5">
            <w:pPr>
              <w:spacing w:after="0" w:line="240" w:lineRule="auto"/>
              <w:jc w:val="center"/>
              <w:rPr>
                <w:rFonts w:ascii="Arial" w:eastAsia="Times New Roman" w:hAnsi="Arial" w:cs="Arial"/>
                <w:b/>
                <w:bCs/>
                <w:color w:val="FFFFFF"/>
                <w:sz w:val="16"/>
                <w:szCs w:val="16"/>
              </w:rPr>
            </w:pPr>
            <w:r w:rsidRPr="003F5AC5">
              <w:rPr>
                <w:rFonts w:ascii="Arial" w:eastAsia="Times New Roman" w:hAnsi="Arial" w:cs="Arial"/>
                <w:b/>
                <w:bCs/>
                <w:color w:val="FFFFFF"/>
                <w:sz w:val="16"/>
                <w:szCs w:val="16"/>
              </w:rPr>
              <w:t>Median</w:t>
            </w:r>
          </w:p>
        </w:tc>
        <w:tc>
          <w:tcPr>
            <w:tcW w:w="1118"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011137" w:rsidRDefault="003F5AC5">
            <w:pPr>
              <w:spacing w:after="0" w:line="240" w:lineRule="auto"/>
              <w:jc w:val="center"/>
              <w:rPr>
                <w:rFonts w:ascii="Arial" w:eastAsia="Times New Roman" w:hAnsi="Arial" w:cs="Arial"/>
                <w:b/>
                <w:bCs/>
                <w:color w:val="FFFFFF"/>
                <w:sz w:val="16"/>
                <w:szCs w:val="16"/>
              </w:rPr>
            </w:pPr>
            <w:r w:rsidRPr="003F5AC5">
              <w:rPr>
                <w:rFonts w:ascii="Arial" w:eastAsia="Times New Roman" w:hAnsi="Arial" w:cs="Arial"/>
                <w:b/>
                <w:bCs/>
                <w:color w:val="FFFFFF"/>
                <w:sz w:val="16"/>
                <w:szCs w:val="16"/>
              </w:rPr>
              <w:t xml:space="preserve">10th </w:t>
            </w:r>
            <w:r w:rsidR="009918EE">
              <w:rPr>
                <w:rFonts w:ascii="Arial" w:eastAsia="Times New Roman" w:hAnsi="Arial" w:cs="Arial"/>
                <w:b/>
                <w:bCs/>
                <w:color w:val="FFFFFF"/>
                <w:sz w:val="16"/>
                <w:szCs w:val="16"/>
              </w:rPr>
              <w:t>P</w:t>
            </w:r>
            <w:r w:rsidRPr="003F5AC5">
              <w:rPr>
                <w:rFonts w:ascii="Arial" w:eastAsia="Times New Roman" w:hAnsi="Arial" w:cs="Arial"/>
                <w:b/>
                <w:bCs/>
                <w:color w:val="FFFFFF"/>
                <w:sz w:val="16"/>
                <w:szCs w:val="16"/>
              </w:rPr>
              <w:t>ercentile</w:t>
            </w:r>
          </w:p>
        </w:tc>
        <w:tc>
          <w:tcPr>
            <w:tcW w:w="1118"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011137" w:rsidRDefault="003F5AC5">
            <w:pPr>
              <w:spacing w:after="0" w:line="240" w:lineRule="auto"/>
              <w:jc w:val="center"/>
              <w:rPr>
                <w:rFonts w:ascii="Arial" w:eastAsia="Times New Roman" w:hAnsi="Arial" w:cs="Arial"/>
                <w:b/>
                <w:bCs/>
                <w:color w:val="FFFFFF"/>
                <w:sz w:val="16"/>
                <w:szCs w:val="16"/>
              </w:rPr>
            </w:pPr>
            <w:r w:rsidRPr="003F5AC5">
              <w:rPr>
                <w:rFonts w:ascii="Arial" w:eastAsia="Times New Roman" w:hAnsi="Arial" w:cs="Arial"/>
                <w:b/>
                <w:bCs/>
                <w:color w:val="FFFFFF"/>
                <w:sz w:val="16"/>
                <w:szCs w:val="16"/>
              </w:rPr>
              <w:t xml:space="preserve">90th </w:t>
            </w:r>
            <w:r w:rsidR="009918EE">
              <w:rPr>
                <w:rFonts w:ascii="Arial" w:eastAsia="Times New Roman" w:hAnsi="Arial" w:cs="Arial"/>
                <w:b/>
                <w:bCs/>
                <w:color w:val="FFFFFF"/>
                <w:sz w:val="16"/>
                <w:szCs w:val="16"/>
              </w:rPr>
              <w:t>P</w:t>
            </w:r>
            <w:r w:rsidRPr="003F5AC5">
              <w:rPr>
                <w:rFonts w:ascii="Arial" w:eastAsia="Times New Roman" w:hAnsi="Arial" w:cs="Arial"/>
                <w:b/>
                <w:bCs/>
                <w:color w:val="FFFFFF"/>
                <w:sz w:val="16"/>
                <w:szCs w:val="16"/>
              </w:rPr>
              <w:t>ercentile</w:t>
            </w:r>
          </w:p>
        </w:tc>
        <w:tc>
          <w:tcPr>
            <w:tcW w:w="1118"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3F5AC5" w:rsidRPr="003F5AC5" w:rsidRDefault="003F5AC5" w:rsidP="003F5AC5">
            <w:pPr>
              <w:spacing w:after="0" w:line="240" w:lineRule="auto"/>
              <w:jc w:val="center"/>
              <w:rPr>
                <w:rFonts w:ascii="Arial" w:eastAsia="Times New Roman" w:hAnsi="Arial" w:cs="Arial"/>
                <w:b/>
                <w:bCs/>
                <w:color w:val="FFFFFF"/>
                <w:sz w:val="16"/>
                <w:szCs w:val="16"/>
              </w:rPr>
            </w:pPr>
            <w:r w:rsidRPr="003F5AC5">
              <w:rPr>
                <w:rFonts w:ascii="Arial" w:eastAsia="Times New Roman" w:hAnsi="Arial" w:cs="Arial"/>
                <w:b/>
                <w:bCs/>
                <w:color w:val="FFFFFF"/>
                <w:sz w:val="16"/>
                <w:szCs w:val="16"/>
              </w:rPr>
              <w:t>Median</w:t>
            </w:r>
          </w:p>
        </w:tc>
        <w:tc>
          <w:tcPr>
            <w:tcW w:w="1113" w:type="dxa"/>
            <w:tcBorders>
              <w:top w:val="single" w:sz="4" w:space="0" w:color="FFFFFF" w:themeColor="background1"/>
              <w:left w:val="single" w:sz="4" w:space="0" w:color="FFFFFF" w:themeColor="background1"/>
            </w:tcBorders>
            <w:shd w:val="clear" w:color="000000" w:fill="376091"/>
            <w:vAlign w:val="center"/>
            <w:hideMark/>
          </w:tcPr>
          <w:p w:rsidR="003F5AC5" w:rsidRPr="003F5AC5" w:rsidRDefault="003F5AC5" w:rsidP="003F5AC5">
            <w:pPr>
              <w:spacing w:after="0" w:line="240" w:lineRule="auto"/>
              <w:jc w:val="center"/>
              <w:rPr>
                <w:rFonts w:ascii="Arial" w:eastAsia="Times New Roman" w:hAnsi="Arial" w:cs="Arial"/>
                <w:b/>
                <w:bCs/>
                <w:color w:val="FFFFFF"/>
                <w:sz w:val="16"/>
                <w:szCs w:val="16"/>
              </w:rPr>
            </w:pPr>
            <w:r w:rsidRPr="003F5AC5">
              <w:rPr>
                <w:rFonts w:ascii="Arial" w:eastAsia="Times New Roman" w:hAnsi="Arial" w:cs="Arial"/>
                <w:b/>
                <w:bCs/>
                <w:color w:val="FFFFFF"/>
                <w:sz w:val="16"/>
                <w:szCs w:val="16"/>
              </w:rPr>
              <w:t>75th Percentile</w:t>
            </w:r>
          </w:p>
        </w:tc>
      </w:tr>
      <w:tr w:rsidR="003F5AC5" w:rsidRPr="003F5AC5" w:rsidTr="00A00B41">
        <w:trPr>
          <w:trHeight w:val="288"/>
        </w:trPr>
        <w:tc>
          <w:tcPr>
            <w:tcW w:w="926" w:type="dxa"/>
            <w:vMerge w:val="restart"/>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SDG&amp;E</w:t>
            </w: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-2.8%</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6.5%</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-2.9%</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-9.0%</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3.0%</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6.5%</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10.4%</w:t>
            </w:r>
          </w:p>
        </w:tc>
      </w:tr>
      <w:tr w:rsidR="003F5AC5" w:rsidRPr="003F5AC5" w:rsidTr="00A00B41">
        <w:trPr>
          <w:trHeight w:val="288"/>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-2.3%</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5.3%</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-2.7%</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-11.4%</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3.1%</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6.9%</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11.6%</w:t>
            </w:r>
          </w:p>
        </w:tc>
      </w:tr>
      <w:tr w:rsidR="003F5AC5" w:rsidRPr="003F5AC5" w:rsidTr="00A00B41">
        <w:trPr>
          <w:trHeight w:val="288"/>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3</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-1.3%</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5.1%</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-1.4%</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-9.1%</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4.6%</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6.5%</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10.5%</w:t>
            </w:r>
          </w:p>
        </w:tc>
      </w:tr>
      <w:tr w:rsidR="003F5AC5" w:rsidRPr="003F5AC5" w:rsidTr="00A00B41">
        <w:trPr>
          <w:trHeight w:val="288"/>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4</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-2.3%</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6.0%</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-2.2%</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-10.3%</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4.5%</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6.9%</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11.3%</w:t>
            </w:r>
          </w:p>
        </w:tc>
      </w:tr>
      <w:tr w:rsidR="003F5AC5" w:rsidRPr="003F5AC5" w:rsidTr="00A00B41">
        <w:trPr>
          <w:trHeight w:val="288"/>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5</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-2.2%</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5.3%</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-2.9%</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-16.1%</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3.9%</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7.6%</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14.2%</w:t>
            </w:r>
          </w:p>
        </w:tc>
      </w:tr>
      <w:tr w:rsidR="003F5AC5" w:rsidRPr="003F5AC5" w:rsidTr="00A00B41">
        <w:trPr>
          <w:trHeight w:val="288"/>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-1.2%</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4.2%</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-1.9%</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-10.3%</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4.7%</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6.4%</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11.0%</w:t>
            </w:r>
          </w:p>
        </w:tc>
      </w:tr>
      <w:tr w:rsidR="003F5AC5" w:rsidRPr="003F5AC5" w:rsidTr="00A00B41">
        <w:trPr>
          <w:trHeight w:val="288"/>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7</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-3.0%</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6.1%</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-2.6%</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-11.5%</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3.9%</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7.2%</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11.8%</w:t>
            </w:r>
          </w:p>
        </w:tc>
      </w:tr>
      <w:tr w:rsidR="003F5AC5" w:rsidRPr="003F5AC5" w:rsidTr="00A00B41">
        <w:trPr>
          <w:trHeight w:val="288"/>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8</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-2.1%</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5.1%</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-2.9%</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-13.8%</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3.3%</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7.7%</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13.0%</w:t>
            </w:r>
          </w:p>
        </w:tc>
      </w:tr>
      <w:tr w:rsidR="003F5AC5" w:rsidRPr="003F5AC5" w:rsidTr="00A00B41">
        <w:trPr>
          <w:trHeight w:val="288"/>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9</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-1.2%</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4.3%</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-2.1%</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-12.1%</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4.4%</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6.9%</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12.1%</w:t>
            </w:r>
          </w:p>
        </w:tc>
      </w:tr>
      <w:tr w:rsidR="003F5AC5" w:rsidRPr="003F5AC5" w:rsidTr="00A00B41">
        <w:trPr>
          <w:trHeight w:val="288"/>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10</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-2.6%</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5.7%</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-2.3%</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-9.2%</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4.1%</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6.6%</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10.4%</w:t>
            </w:r>
          </w:p>
        </w:tc>
      </w:tr>
      <w:tr w:rsidR="003F5AC5" w:rsidRPr="003F5AC5" w:rsidTr="00A00B41">
        <w:trPr>
          <w:trHeight w:val="288"/>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11</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-1.7%</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4.5%</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-2.4%</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-11.2%</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3.8%</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6.9%</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11.3%</w:t>
            </w:r>
          </w:p>
        </w:tc>
      </w:tr>
      <w:tr w:rsidR="003F5AC5" w:rsidRPr="003F5AC5" w:rsidTr="00A00B41">
        <w:trPr>
          <w:trHeight w:val="288"/>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12</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-1.3%</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4.1%</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-1.8%</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-9.8%</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3.9%</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6.5%</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11.0%</w:t>
            </w:r>
          </w:p>
        </w:tc>
      </w:tr>
      <w:tr w:rsidR="003F5AC5" w:rsidRPr="003F5AC5" w:rsidTr="00A00B41">
        <w:trPr>
          <w:trHeight w:val="288"/>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13</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-0.3%</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5.2%</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0.2%</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-4.9%</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6.4%</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5.7%</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9.4%</w:t>
            </w:r>
          </w:p>
        </w:tc>
      </w:tr>
      <w:tr w:rsidR="003F5AC5" w:rsidRPr="003F5AC5" w:rsidTr="00A00B41">
        <w:trPr>
          <w:trHeight w:val="288"/>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14</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0.2%</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3.9%</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0.5%</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-4.4%</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6.6%</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5.9%</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9.2%</w:t>
            </w:r>
          </w:p>
        </w:tc>
      </w:tr>
      <w:tr w:rsidR="003F5AC5" w:rsidRPr="003F5AC5" w:rsidTr="00A00B41">
        <w:trPr>
          <w:trHeight w:val="300"/>
        </w:trPr>
        <w:tc>
          <w:tcPr>
            <w:tcW w:w="926" w:type="dxa"/>
            <w:vMerge/>
            <w:vAlign w:val="center"/>
            <w:hideMark/>
          </w:tcPr>
          <w:p w:rsidR="003F5AC5" w:rsidRPr="003F5AC5" w:rsidRDefault="003F5AC5" w:rsidP="003F5AC5">
            <w:pPr>
              <w:spacing w:after="0" w:line="240" w:lineRule="auto"/>
              <w:rPr>
                <w:rFonts w:ascii="Arial" w:eastAsia="Times New Roman" w:hAnsi="Arial" w:cs="Arial"/>
                <w:color w:val="000000"/>
                <w:sz w:val="16"/>
                <w:szCs w:val="16"/>
              </w:rPr>
            </w:pPr>
          </w:p>
        </w:tc>
        <w:tc>
          <w:tcPr>
            <w:tcW w:w="926"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15</w:t>
            </w:r>
          </w:p>
        </w:tc>
        <w:tc>
          <w:tcPr>
            <w:tcW w:w="1021"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0.8%</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4.0%</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1.9%</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-3.8%</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9.0%</w:t>
            </w:r>
          </w:p>
        </w:tc>
        <w:tc>
          <w:tcPr>
            <w:tcW w:w="1118"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6.2%</w:t>
            </w:r>
          </w:p>
        </w:tc>
        <w:tc>
          <w:tcPr>
            <w:tcW w:w="1113" w:type="dxa"/>
            <w:shd w:val="clear" w:color="auto" w:fill="auto"/>
            <w:noWrap/>
            <w:vAlign w:val="center"/>
            <w:hideMark/>
          </w:tcPr>
          <w:p w:rsidR="003F5AC5" w:rsidRPr="003F5AC5" w:rsidRDefault="003F5AC5" w:rsidP="003F5AC5">
            <w:pPr>
              <w:spacing w:after="0" w:line="240" w:lineRule="auto"/>
              <w:jc w:val="center"/>
              <w:rPr>
                <w:rFonts w:ascii="Arial" w:eastAsia="Times New Roman" w:hAnsi="Arial" w:cs="Arial"/>
                <w:color w:val="000000"/>
                <w:sz w:val="16"/>
                <w:szCs w:val="16"/>
              </w:rPr>
            </w:pPr>
            <w:r w:rsidRPr="003F5AC5">
              <w:rPr>
                <w:rFonts w:ascii="Arial" w:eastAsia="Times New Roman" w:hAnsi="Arial" w:cs="Arial"/>
                <w:color w:val="000000"/>
                <w:sz w:val="16"/>
                <w:szCs w:val="16"/>
              </w:rPr>
              <w:t>9.7%</w:t>
            </w:r>
          </w:p>
        </w:tc>
      </w:tr>
    </w:tbl>
    <w:p w:rsidR="00D649A8" w:rsidRDefault="00D649A8">
      <w:pPr>
        <w:pStyle w:val="BodyParaAfterTableFigure"/>
      </w:pPr>
    </w:p>
    <w:p w:rsidR="005310C6" w:rsidRDefault="0040540D">
      <w:pPr>
        <w:pStyle w:val="BodyParaAfterTableFigure"/>
        <w:rPr>
          <w:b/>
        </w:rPr>
      </w:pPr>
      <w:r>
        <w:t>Most program impacts come from customers with the largest loads</w:t>
      </w:r>
      <w:r w:rsidR="002112E8">
        <w:t xml:space="preserve"> and the accuracy of the model among these customers can affect the program results. </w:t>
      </w:r>
      <w:r w:rsidR="001348A1">
        <w:t xml:space="preserve"> </w:t>
      </w:r>
      <w:r w:rsidR="002112E8">
        <w:t xml:space="preserve">We examined the degree of bias (MPE) and </w:t>
      </w:r>
      <w:r w:rsidR="002112E8">
        <w:lastRenderedPageBreak/>
        <w:t xml:space="preserve">fit, </w:t>
      </w:r>
      <w:r w:rsidR="00736DDF">
        <w:t xml:space="preserve">specifically </w:t>
      </w:r>
      <w:r>
        <w:t xml:space="preserve">for the largest fifth of customers to ensure that the </w:t>
      </w:r>
      <w:r w:rsidR="00863638">
        <w:t xml:space="preserve">chosen </w:t>
      </w:r>
      <w:r>
        <w:t xml:space="preserve">model would be optimal for the customers likely to account for </w:t>
      </w:r>
      <w:r w:rsidR="00736DDF">
        <w:t>the greater share of</w:t>
      </w:r>
      <w:r>
        <w:t xml:space="preserve"> load reductions.</w:t>
      </w:r>
      <w:r w:rsidR="00317B29">
        <w:t xml:space="preserve">  Table</w:t>
      </w:r>
      <w:r w:rsidR="002112E8">
        <w:t>s</w:t>
      </w:r>
      <w:r w:rsidR="00317B29">
        <w:t xml:space="preserve"> A-</w:t>
      </w:r>
      <w:r w:rsidR="002112E8">
        <w:t>7, A-8 and A-9</w:t>
      </w:r>
      <w:r w:rsidR="00317B29">
        <w:t xml:space="preserve"> show </w:t>
      </w:r>
      <w:r w:rsidR="002112E8">
        <w:t>the bias and goodness</w:t>
      </w:r>
      <w:r w:rsidR="009918EE">
        <w:t>-</w:t>
      </w:r>
      <w:r w:rsidR="002112E8">
        <w:t>of</w:t>
      </w:r>
      <w:r w:rsidR="009918EE">
        <w:t>-</w:t>
      </w:r>
      <w:r w:rsidR="002112E8">
        <w:t>fit for the largest fifth of customers in each utility.  As in the prior tables, we show bias and goodness</w:t>
      </w:r>
      <w:r w:rsidR="009918EE">
        <w:t>-</w:t>
      </w:r>
      <w:r w:rsidR="002112E8">
        <w:t>of</w:t>
      </w:r>
      <w:r w:rsidR="009918EE">
        <w:t>-</w:t>
      </w:r>
      <w:r w:rsidR="002112E8">
        <w:t>fit</w:t>
      </w:r>
      <w:r w:rsidR="00432764">
        <w:t xml:space="preserve"> for the aggregate load and the distribution of individual customer results.  The model selected, Model 15, performs relatively well for larger customers in each of the utilities</w:t>
      </w:r>
      <w:r w:rsidR="002112E8">
        <w:t xml:space="preserve">. </w:t>
      </w:r>
    </w:p>
    <w:p w:rsidR="00432764" w:rsidRDefault="00642788" w:rsidP="00BA25E2">
      <w:pPr>
        <w:pStyle w:val="TableFigureCaption"/>
      </w:pPr>
      <w:r>
        <w:t>Table A-</w:t>
      </w:r>
      <w:r w:rsidR="00AE29CB">
        <w:t>7</w:t>
      </w:r>
      <w:r w:rsidR="00317B29">
        <w:t>:</w:t>
      </w:r>
      <w:r w:rsidR="00D921E2">
        <w:t xml:space="preserve"> </w:t>
      </w:r>
      <w:r w:rsidR="00AE29CB">
        <w:t xml:space="preserve">PG&amp;E </w:t>
      </w:r>
      <w:r w:rsidR="00317B29">
        <w:t xml:space="preserve">Mean Percent Error of Models for Largest Fifth of Customers </w:t>
      </w:r>
    </w:p>
    <w:tbl>
      <w:tblPr>
        <w:tblW w:w="934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60"/>
        <w:gridCol w:w="1060"/>
        <w:gridCol w:w="1060"/>
        <w:gridCol w:w="1060"/>
        <w:gridCol w:w="1060"/>
        <w:gridCol w:w="1060"/>
        <w:gridCol w:w="1060"/>
        <w:gridCol w:w="1060"/>
      </w:tblGrid>
      <w:tr w:rsidR="00432764" w:rsidRPr="00432764" w:rsidTr="00A00B41">
        <w:trPr>
          <w:trHeight w:val="300"/>
        </w:trPr>
        <w:tc>
          <w:tcPr>
            <w:tcW w:w="960" w:type="dxa"/>
            <w:vMerge w:val="restart"/>
            <w:tcBorders>
              <w:right w:val="single" w:sz="4" w:space="0" w:color="FFFFFF" w:themeColor="background1"/>
            </w:tcBorders>
            <w:shd w:val="clear" w:color="000000" w:fill="376091"/>
            <w:noWrap/>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Utility</w:t>
            </w:r>
          </w:p>
        </w:tc>
        <w:tc>
          <w:tcPr>
            <w:tcW w:w="960" w:type="dxa"/>
            <w:vMerge w:val="restart"/>
            <w:tcBorders>
              <w:left w:val="single" w:sz="4" w:space="0" w:color="FFFFFF" w:themeColor="background1"/>
              <w:right w:val="single" w:sz="4" w:space="0" w:color="FFFFFF" w:themeColor="background1"/>
            </w:tcBorders>
            <w:shd w:val="clear" w:color="000000" w:fill="376091"/>
            <w:noWrap/>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Model</w:t>
            </w:r>
          </w:p>
        </w:tc>
        <w:tc>
          <w:tcPr>
            <w:tcW w:w="1060" w:type="dxa"/>
            <w:vMerge w:val="restart"/>
            <w:tcBorders>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Aggregate Bias (MPE)</w:t>
            </w:r>
          </w:p>
        </w:tc>
        <w:tc>
          <w:tcPr>
            <w:tcW w:w="1060" w:type="dxa"/>
            <w:vMerge w:val="restart"/>
            <w:tcBorders>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Aggregate  Goodness</w:t>
            </w:r>
            <w:r w:rsidR="009918EE">
              <w:rPr>
                <w:rFonts w:ascii="Arial" w:eastAsia="Times New Roman" w:hAnsi="Arial" w:cs="Arial"/>
                <w:b/>
                <w:bCs/>
                <w:color w:val="FFFFFF"/>
                <w:sz w:val="16"/>
                <w:szCs w:val="16"/>
              </w:rPr>
              <w:t>-</w:t>
            </w:r>
            <w:r w:rsidRPr="00432764">
              <w:rPr>
                <w:rFonts w:ascii="Arial" w:eastAsia="Times New Roman" w:hAnsi="Arial" w:cs="Arial"/>
                <w:b/>
                <w:bCs/>
                <w:color w:val="FFFFFF"/>
                <w:sz w:val="16"/>
                <w:szCs w:val="16"/>
              </w:rPr>
              <w:t>of</w:t>
            </w:r>
            <w:r w:rsidR="009918EE">
              <w:rPr>
                <w:rFonts w:ascii="Arial" w:eastAsia="Times New Roman" w:hAnsi="Arial" w:cs="Arial"/>
                <w:b/>
                <w:bCs/>
                <w:color w:val="FFFFFF"/>
                <w:sz w:val="16"/>
                <w:szCs w:val="16"/>
              </w:rPr>
              <w:t>-</w:t>
            </w:r>
            <w:r w:rsidRPr="00432764">
              <w:rPr>
                <w:rFonts w:ascii="Arial" w:eastAsia="Times New Roman" w:hAnsi="Arial" w:cs="Arial"/>
                <w:b/>
                <w:bCs/>
                <w:color w:val="FFFFFF"/>
                <w:sz w:val="16"/>
                <w:szCs w:val="16"/>
              </w:rPr>
              <w:t>Fit (MAPE)</w:t>
            </w:r>
          </w:p>
        </w:tc>
        <w:tc>
          <w:tcPr>
            <w:tcW w:w="3180" w:type="dxa"/>
            <w:gridSpan w:val="3"/>
            <w:tcBorders>
              <w:left w:val="single" w:sz="4" w:space="0" w:color="FFFFFF" w:themeColor="background1"/>
              <w:bottom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Individual Customer MPE</w:t>
            </w:r>
          </w:p>
        </w:tc>
        <w:tc>
          <w:tcPr>
            <w:tcW w:w="2120" w:type="dxa"/>
            <w:gridSpan w:val="2"/>
            <w:tcBorders>
              <w:left w:val="single" w:sz="4" w:space="0" w:color="FFFFFF" w:themeColor="background1"/>
              <w:bottom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Individual Customer MAPE</w:t>
            </w:r>
          </w:p>
        </w:tc>
      </w:tr>
      <w:tr w:rsidR="00432764" w:rsidRPr="00432764" w:rsidTr="00A00B41">
        <w:trPr>
          <w:trHeight w:val="420"/>
        </w:trPr>
        <w:tc>
          <w:tcPr>
            <w:tcW w:w="960" w:type="dxa"/>
            <w:vMerge/>
            <w:tcBorders>
              <w:right w:val="single" w:sz="4" w:space="0" w:color="FFFFFF" w:themeColor="background1"/>
            </w:tcBorders>
            <w:vAlign w:val="center"/>
            <w:hideMark/>
          </w:tcPr>
          <w:p w:rsidR="00432764" w:rsidRPr="00432764" w:rsidRDefault="00432764" w:rsidP="00432764">
            <w:pPr>
              <w:spacing w:after="0" w:line="240" w:lineRule="auto"/>
              <w:rPr>
                <w:rFonts w:ascii="Arial" w:eastAsia="Times New Roman" w:hAnsi="Arial" w:cs="Arial"/>
                <w:b/>
                <w:bCs/>
                <w:color w:val="FFFFFF"/>
                <w:sz w:val="16"/>
                <w:szCs w:val="16"/>
              </w:rPr>
            </w:pPr>
          </w:p>
        </w:tc>
        <w:tc>
          <w:tcPr>
            <w:tcW w:w="960" w:type="dxa"/>
            <w:vMerge/>
            <w:tcBorders>
              <w:left w:val="single" w:sz="4" w:space="0" w:color="FFFFFF" w:themeColor="background1"/>
              <w:right w:val="single" w:sz="4" w:space="0" w:color="FFFFFF" w:themeColor="background1"/>
            </w:tcBorders>
            <w:vAlign w:val="center"/>
            <w:hideMark/>
          </w:tcPr>
          <w:p w:rsidR="00432764" w:rsidRPr="00432764" w:rsidRDefault="00432764" w:rsidP="00432764">
            <w:pPr>
              <w:spacing w:after="0" w:line="240" w:lineRule="auto"/>
              <w:rPr>
                <w:rFonts w:ascii="Arial" w:eastAsia="Times New Roman" w:hAnsi="Arial" w:cs="Arial"/>
                <w:b/>
                <w:bCs/>
                <w:color w:val="FFFFFF"/>
                <w:sz w:val="16"/>
                <w:szCs w:val="16"/>
              </w:rPr>
            </w:pPr>
          </w:p>
        </w:tc>
        <w:tc>
          <w:tcPr>
            <w:tcW w:w="1060" w:type="dxa"/>
            <w:vMerge/>
            <w:tcBorders>
              <w:left w:val="single" w:sz="4" w:space="0" w:color="FFFFFF" w:themeColor="background1"/>
              <w:right w:val="single" w:sz="4" w:space="0" w:color="FFFFFF" w:themeColor="background1"/>
            </w:tcBorders>
            <w:vAlign w:val="center"/>
            <w:hideMark/>
          </w:tcPr>
          <w:p w:rsidR="00432764" w:rsidRPr="00432764" w:rsidRDefault="00432764" w:rsidP="00432764">
            <w:pPr>
              <w:spacing w:after="0" w:line="240" w:lineRule="auto"/>
              <w:rPr>
                <w:rFonts w:ascii="Arial" w:eastAsia="Times New Roman" w:hAnsi="Arial" w:cs="Arial"/>
                <w:b/>
                <w:bCs/>
                <w:color w:val="FFFFFF"/>
                <w:sz w:val="16"/>
                <w:szCs w:val="16"/>
              </w:rPr>
            </w:pPr>
          </w:p>
        </w:tc>
        <w:tc>
          <w:tcPr>
            <w:tcW w:w="1060" w:type="dxa"/>
            <w:vMerge/>
            <w:tcBorders>
              <w:left w:val="single" w:sz="4" w:space="0" w:color="FFFFFF" w:themeColor="background1"/>
              <w:right w:val="single" w:sz="4" w:space="0" w:color="FFFFFF" w:themeColor="background1"/>
            </w:tcBorders>
            <w:vAlign w:val="center"/>
            <w:hideMark/>
          </w:tcPr>
          <w:p w:rsidR="00432764" w:rsidRPr="00432764" w:rsidRDefault="00432764" w:rsidP="00432764">
            <w:pPr>
              <w:spacing w:after="0" w:line="240" w:lineRule="auto"/>
              <w:rPr>
                <w:rFonts w:ascii="Arial" w:eastAsia="Times New Roman" w:hAnsi="Arial" w:cs="Arial"/>
                <w:b/>
                <w:bCs/>
                <w:color w:val="FFFFFF"/>
                <w:sz w:val="16"/>
                <w:szCs w:val="16"/>
              </w:rPr>
            </w:pPr>
          </w:p>
        </w:tc>
        <w:tc>
          <w:tcPr>
            <w:tcW w:w="10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Median</w:t>
            </w:r>
          </w:p>
        </w:tc>
        <w:tc>
          <w:tcPr>
            <w:tcW w:w="10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 xml:space="preserve">10th </w:t>
            </w:r>
            <w:r w:rsidR="009918EE">
              <w:rPr>
                <w:rFonts w:ascii="Arial" w:eastAsia="Times New Roman" w:hAnsi="Arial" w:cs="Arial"/>
                <w:b/>
                <w:bCs/>
                <w:color w:val="FFFFFF"/>
                <w:sz w:val="16"/>
                <w:szCs w:val="16"/>
              </w:rPr>
              <w:t>P</w:t>
            </w:r>
            <w:r w:rsidRPr="00432764">
              <w:rPr>
                <w:rFonts w:ascii="Arial" w:eastAsia="Times New Roman" w:hAnsi="Arial" w:cs="Arial"/>
                <w:b/>
                <w:bCs/>
                <w:color w:val="FFFFFF"/>
                <w:sz w:val="16"/>
                <w:szCs w:val="16"/>
              </w:rPr>
              <w:t>ercentile</w:t>
            </w:r>
          </w:p>
        </w:tc>
        <w:tc>
          <w:tcPr>
            <w:tcW w:w="10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 xml:space="preserve">90th </w:t>
            </w:r>
            <w:r w:rsidR="009918EE">
              <w:rPr>
                <w:rFonts w:ascii="Arial" w:eastAsia="Times New Roman" w:hAnsi="Arial" w:cs="Arial"/>
                <w:b/>
                <w:bCs/>
                <w:color w:val="FFFFFF"/>
                <w:sz w:val="16"/>
                <w:szCs w:val="16"/>
              </w:rPr>
              <w:t>P</w:t>
            </w:r>
            <w:r w:rsidRPr="00432764">
              <w:rPr>
                <w:rFonts w:ascii="Arial" w:eastAsia="Times New Roman" w:hAnsi="Arial" w:cs="Arial"/>
                <w:b/>
                <w:bCs/>
                <w:color w:val="FFFFFF"/>
                <w:sz w:val="16"/>
                <w:szCs w:val="16"/>
              </w:rPr>
              <w:t>ercentile</w:t>
            </w:r>
          </w:p>
        </w:tc>
        <w:tc>
          <w:tcPr>
            <w:tcW w:w="10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Median</w:t>
            </w:r>
          </w:p>
        </w:tc>
        <w:tc>
          <w:tcPr>
            <w:tcW w:w="1060" w:type="dxa"/>
            <w:tcBorders>
              <w:top w:val="single" w:sz="4" w:space="0" w:color="FFFFFF" w:themeColor="background1"/>
              <w:lef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75th Percentile</w:t>
            </w:r>
          </w:p>
        </w:tc>
      </w:tr>
      <w:tr w:rsidR="00432764" w:rsidRPr="00432764" w:rsidTr="00A00B41">
        <w:trPr>
          <w:trHeight w:val="288"/>
        </w:trPr>
        <w:tc>
          <w:tcPr>
            <w:tcW w:w="960" w:type="dxa"/>
            <w:vMerge w:val="restart"/>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PG&amp;E</w:t>
            </w: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14.6%</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12.5%</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11.4%</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13.9%</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12.7%</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11.6%</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14.3%</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11.7%</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11.4%</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14.3%</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11.8%</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11.3%</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14.8%</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11.9%</w:t>
            </w:r>
          </w:p>
        </w:tc>
      </w:tr>
      <w:tr w:rsidR="00432764" w:rsidRPr="00432764" w:rsidTr="00A00B41">
        <w:trPr>
          <w:trHeight w:val="300"/>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15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0.0%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0.5%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-0.1%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-4.1%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3.5%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5.9%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11.2%</w:t>
            </w:r>
          </w:p>
        </w:tc>
      </w:tr>
    </w:tbl>
    <w:p w:rsidR="00432764" w:rsidRDefault="00432764" w:rsidP="00BA25E2">
      <w:pPr>
        <w:pStyle w:val="TableFigureCaption"/>
      </w:pPr>
    </w:p>
    <w:p w:rsidR="00317B29" w:rsidRDefault="00317B29" w:rsidP="00BA25E2">
      <w:pPr>
        <w:pStyle w:val="TableFigureCaption"/>
      </w:pPr>
    </w:p>
    <w:p w:rsidR="00AE29CB" w:rsidRDefault="00AE29CB" w:rsidP="00BA25E2">
      <w:pPr>
        <w:pStyle w:val="TableFigureCaption"/>
      </w:pPr>
    </w:p>
    <w:p w:rsidR="00AE29CB" w:rsidRDefault="00432764" w:rsidP="00BA25E2">
      <w:pPr>
        <w:pStyle w:val="TableFigureCaption"/>
      </w:pPr>
      <w:r>
        <w:br w:type="column"/>
      </w:r>
      <w:r w:rsidR="00AE29CB">
        <w:lastRenderedPageBreak/>
        <w:t>Table A-8:</w:t>
      </w:r>
      <w:r w:rsidR="00D921E2">
        <w:t xml:space="preserve"> </w:t>
      </w:r>
      <w:r w:rsidR="00AE29CB">
        <w:t>SCE Mean Percent Error of Models for Largest Fifth of Customers</w:t>
      </w:r>
    </w:p>
    <w:tbl>
      <w:tblPr>
        <w:tblW w:w="934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60"/>
        <w:gridCol w:w="1060"/>
        <w:gridCol w:w="1060"/>
        <w:gridCol w:w="1060"/>
        <w:gridCol w:w="1060"/>
        <w:gridCol w:w="1060"/>
        <w:gridCol w:w="1060"/>
        <w:gridCol w:w="1060"/>
      </w:tblGrid>
      <w:tr w:rsidR="00432764" w:rsidRPr="00432764" w:rsidTr="00A00B41">
        <w:trPr>
          <w:trHeight w:val="300"/>
        </w:trPr>
        <w:tc>
          <w:tcPr>
            <w:tcW w:w="960" w:type="dxa"/>
            <w:vMerge w:val="restart"/>
            <w:tcBorders>
              <w:right w:val="single" w:sz="4" w:space="0" w:color="FFFFFF" w:themeColor="background1"/>
            </w:tcBorders>
            <w:shd w:val="clear" w:color="000000" w:fill="376091"/>
            <w:noWrap/>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Utility</w:t>
            </w:r>
          </w:p>
        </w:tc>
        <w:tc>
          <w:tcPr>
            <w:tcW w:w="960" w:type="dxa"/>
            <w:vMerge w:val="restart"/>
            <w:tcBorders>
              <w:left w:val="single" w:sz="4" w:space="0" w:color="FFFFFF" w:themeColor="background1"/>
              <w:right w:val="single" w:sz="4" w:space="0" w:color="FFFFFF" w:themeColor="background1"/>
            </w:tcBorders>
            <w:shd w:val="clear" w:color="000000" w:fill="376091"/>
            <w:noWrap/>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Model</w:t>
            </w:r>
          </w:p>
        </w:tc>
        <w:tc>
          <w:tcPr>
            <w:tcW w:w="1060" w:type="dxa"/>
            <w:vMerge w:val="restart"/>
            <w:tcBorders>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Aggregate Bias (MPE)</w:t>
            </w:r>
          </w:p>
        </w:tc>
        <w:tc>
          <w:tcPr>
            <w:tcW w:w="1060" w:type="dxa"/>
            <w:vMerge w:val="restart"/>
            <w:tcBorders>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Aggregate  Goodness</w:t>
            </w:r>
            <w:r w:rsidR="009918EE">
              <w:rPr>
                <w:rFonts w:ascii="Arial" w:eastAsia="Times New Roman" w:hAnsi="Arial" w:cs="Arial"/>
                <w:b/>
                <w:bCs/>
                <w:color w:val="FFFFFF"/>
                <w:sz w:val="16"/>
                <w:szCs w:val="16"/>
              </w:rPr>
              <w:t>-</w:t>
            </w:r>
            <w:r w:rsidRPr="00432764">
              <w:rPr>
                <w:rFonts w:ascii="Arial" w:eastAsia="Times New Roman" w:hAnsi="Arial" w:cs="Arial"/>
                <w:b/>
                <w:bCs/>
                <w:color w:val="FFFFFF"/>
                <w:sz w:val="16"/>
                <w:szCs w:val="16"/>
              </w:rPr>
              <w:t>of</w:t>
            </w:r>
            <w:r w:rsidR="009918EE">
              <w:rPr>
                <w:rFonts w:ascii="Arial" w:eastAsia="Times New Roman" w:hAnsi="Arial" w:cs="Arial"/>
                <w:b/>
                <w:bCs/>
                <w:color w:val="FFFFFF"/>
                <w:sz w:val="16"/>
                <w:szCs w:val="16"/>
              </w:rPr>
              <w:t>-</w:t>
            </w:r>
            <w:r w:rsidRPr="00432764">
              <w:rPr>
                <w:rFonts w:ascii="Arial" w:eastAsia="Times New Roman" w:hAnsi="Arial" w:cs="Arial"/>
                <w:b/>
                <w:bCs/>
                <w:color w:val="FFFFFF"/>
                <w:sz w:val="16"/>
                <w:szCs w:val="16"/>
              </w:rPr>
              <w:t>Fit (MAPE)</w:t>
            </w:r>
          </w:p>
        </w:tc>
        <w:tc>
          <w:tcPr>
            <w:tcW w:w="3180" w:type="dxa"/>
            <w:gridSpan w:val="3"/>
            <w:tcBorders>
              <w:left w:val="single" w:sz="4" w:space="0" w:color="FFFFFF" w:themeColor="background1"/>
              <w:bottom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Individual Customer MPE</w:t>
            </w:r>
          </w:p>
        </w:tc>
        <w:tc>
          <w:tcPr>
            <w:tcW w:w="2120" w:type="dxa"/>
            <w:gridSpan w:val="2"/>
            <w:tcBorders>
              <w:left w:val="single" w:sz="4" w:space="0" w:color="FFFFFF" w:themeColor="background1"/>
              <w:bottom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Individual Customer MAPE</w:t>
            </w:r>
          </w:p>
        </w:tc>
      </w:tr>
      <w:tr w:rsidR="00432764" w:rsidRPr="00432764" w:rsidTr="00A00B41">
        <w:trPr>
          <w:trHeight w:val="420"/>
        </w:trPr>
        <w:tc>
          <w:tcPr>
            <w:tcW w:w="960" w:type="dxa"/>
            <w:vMerge/>
            <w:tcBorders>
              <w:right w:val="single" w:sz="4" w:space="0" w:color="FFFFFF" w:themeColor="background1"/>
            </w:tcBorders>
            <w:vAlign w:val="center"/>
            <w:hideMark/>
          </w:tcPr>
          <w:p w:rsidR="00432764" w:rsidRPr="00432764" w:rsidRDefault="00432764" w:rsidP="00432764">
            <w:pPr>
              <w:spacing w:after="0" w:line="240" w:lineRule="auto"/>
              <w:rPr>
                <w:rFonts w:ascii="Arial" w:eastAsia="Times New Roman" w:hAnsi="Arial" w:cs="Arial"/>
                <w:b/>
                <w:bCs/>
                <w:color w:val="FFFFFF"/>
                <w:sz w:val="16"/>
                <w:szCs w:val="16"/>
              </w:rPr>
            </w:pPr>
          </w:p>
        </w:tc>
        <w:tc>
          <w:tcPr>
            <w:tcW w:w="960" w:type="dxa"/>
            <w:vMerge/>
            <w:tcBorders>
              <w:left w:val="single" w:sz="4" w:space="0" w:color="FFFFFF" w:themeColor="background1"/>
              <w:right w:val="single" w:sz="4" w:space="0" w:color="FFFFFF" w:themeColor="background1"/>
            </w:tcBorders>
            <w:vAlign w:val="center"/>
            <w:hideMark/>
          </w:tcPr>
          <w:p w:rsidR="00432764" w:rsidRPr="00432764" w:rsidRDefault="00432764" w:rsidP="00432764">
            <w:pPr>
              <w:spacing w:after="0" w:line="240" w:lineRule="auto"/>
              <w:rPr>
                <w:rFonts w:ascii="Arial" w:eastAsia="Times New Roman" w:hAnsi="Arial" w:cs="Arial"/>
                <w:b/>
                <w:bCs/>
                <w:color w:val="FFFFFF"/>
                <w:sz w:val="16"/>
                <w:szCs w:val="16"/>
              </w:rPr>
            </w:pPr>
          </w:p>
        </w:tc>
        <w:tc>
          <w:tcPr>
            <w:tcW w:w="1060" w:type="dxa"/>
            <w:vMerge/>
            <w:tcBorders>
              <w:left w:val="single" w:sz="4" w:space="0" w:color="FFFFFF" w:themeColor="background1"/>
              <w:right w:val="single" w:sz="4" w:space="0" w:color="FFFFFF" w:themeColor="background1"/>
            </w:tcBorders>
            <w:vAlign w:val="center"/>
            <w:hideMark/>
          </w:tcPr>
          <w:p w:rsidR="00432764" w:rsidRPr="00432764" w:rsidRDefault="00432764" w:rsidP="00432764">
            <w:pPr>
              <w:spacing w:after="0" w:line="240" w:lineRule="auto"/>
              <w:rPr>
                <w:rFonts w:ascii="Arial" w:eastAsia="Times New Roman" w:hAnsi="Arial" w:cs="Arial"/>
                <w:b/>
                <w:bCs/>
                <w:color w:val="FFFFFF"/>
                <w:sz w:val="16"/>
                <w:szCs w:val="16"/>
              </w:rPr>
            </w:pPr>
          </w:p>
        </w:tc>
        <w:tc>
          <w:tcPr>
            <w:tcW w:w="1060" w:type="dxa"/>
            <w:vMerge/>
            <w:tcBorders>
              <w:left w:val="single" w:sz="4" w:space="0" w:color="FFFFFF" w:themeColor="background1"/>
              <w:right w:val="single" w:sz="4" w:space="0" w:color="FFFFFF" w:themeColor="background1"/>
            </w:tcBorders>
            <w:vAlign w:val="center"/>
            <w:hideMark/>
          </w:tcPr>
          <w:p w:rsidR="00432764" w:rsidRPr="00432764" w:rsidRDefault="00432764" w:rsidP="00432764">
            <w:pPr>
              <w:spacing w:after="0" w:line="240" w:lineRule="auto"/>
              <w:rPr>
                <w:rFonts w:ascii="Arial" w:eastAsia="Times New Roman" w:hAnsi="Arial" w:cs="Arial"/>
                <w:b/>
                <w:bCs/>
                <w:color w:val="FFFFFF"/>
                <w:sz w:val="16"/>
                <w:szCs w:val="16"/>
              </w:rPr>
            </w:pPr>
          </w:p>
        </w:tc>
        <w:tc>
          <w:tcPr>
            <w:tcW w:w="10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Median</w:t>
            </w:r>
          </w:p>
        </w:tc>
        <w:tc>
          <w:tcPr>
            <w:tcW w:w="10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 xml:space="preserve">10th </w:t>
            </w:r>
            <w:r w:rsidR="009918EE">
              <w:rPr>
                <w:rFonts w:ascii="Arial" w:eastAsia="Times New Roman" w:hAnsi="Arial" w:cs="Arial"/>
                <w:b/>
                <w:bCs/>
                <w:color w:val="FFFFFF"/>
                <w:sz w:val="16"/>
                <w:szCs w:val="16"/>
              </w:rPr>
              <w:t>P</w:t>
            </w:r>
            <w:r w:rsidRPr="00432764">
              <w:rPr>
                <w:rFonts w:ascii="Arial" w:eastAsia="Times New Roman" w:hAnsi="Arial" w:cs="Arial"/>
                <w:b/>
                <w:bCs/>
                <w:color w:val="FFFFFF"/>
                <w:sz w:val="16"/>
                <w:szCs w:val="16"/>
              </w:rPr>
              <w:t>ercentile</w:t>
            </w:r>
          </w:p>
        </w:tc>
        <w:tc>
          <w:tcPr>
            <w:tcW w:w="10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 xml:space="preserve">90th </w:t>
            </w:r>
            <w:r w:rsidR="009918EE">
              <w:rPr>
                <w:rFonts w:ascii="Arial" w:eastAsia="Times New Roman" w:hAnsi="Arial" w:cs="Arial"/>
                <w:b/>
                <w:bCs/>
                <w:color w:val="FFFFFF"/>
                <w:sz w:val="16"/>
                <w:szCs w:val="16"/>
              </w:rPr>
              <w:t>P</w:t>
            </w:r>
            <w:r w:rsidRPr="00432764">
              <w:rPr>
                <w:rFonts w:ascii="Arial" w:eastAsia="Times New Roman" w:hAnsi="Arial" w:cs="Arial"/>
                <w:b/>
                <w:bCs/>
                <w:color w:val="FFFFFF"/>
                <w:sz w:val="16"/>
                <w:szCs w:val="16"/>
              </w:rPr>
              <w:t>ercentile</w:t>
            </w:r>
          </w:p>
        </w:tc>
        <w:tc>
          <w:tcPr>
            <w:tcW w:w="10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Median</w:t>
            </w:r>
          </w:p>
        </w:tc>
        <w:tc>
          <w:tcPr>
            <w:tcW w:w="1060" w:type="dxa"/>
            <w:tcBorders>
              <w:top w:val="single" w:sz="4" w:space="0" w:color="FFFFFF" w:themeColor="background1"/>
              <w:lef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75th Percentile</w:t>
            </w:r>
          </w:p>
        </w:tc>
      </w:tr>
      <w:tr w:rsidR="00432764" w:rsidRPr="00432764" w:rsidTr="00A00B41">
        <w:trPr>
          <w:trHeight w:val="288"/>
        </w:trPr>
        <w:tc>
          <w:tcPr>
            <w:tcW w:w="960" w:type="dxa"/>
            <w:vMerge w:val="restart"/>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SCE</w:t>
            </w: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7.2%</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7.6%</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6.9%</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7.1%</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8.0%</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7.0%</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7.2%</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7.6%</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6.8%</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7.2%</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7.5%</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7.2%</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7.3%</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7.9%</w:t>
            </w:r>
          </w:p>
        </w:tc>
      </w:tr>
      <w:tr w:rsidR="00432764" w:rsidRPr="00432764" w:rsidTr="00A00B41">
        <w:trPr>
          <w:trHeight w:val="300"/>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15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-0.3%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0.9%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-0.5%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-3.7%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2.5%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3.9%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7.2%</w:t>
            </w:r>
          </w:p>
        </w:tc>
      </w:tr>
    </w:tbl>
    <w:p w:rsidR="00AE29CB" w:rsidRDefault="00AE29CB" w:rsidP="00BA25E2">
      <w:pPr>
        <w:pStyle w:val="TableFigureCaption"/>
      </w:pPr>
    </w:p>
    <w:p w:rsidR="00AE29CB" w:rsidRDefault="00AE29CB" w:rsidP="00BA25E2">
      <w:pPr>
        <w:pStyle w:val="TableFigureCaption"/>
      </w:pPr>
      <w:r>
        <w:t>Table A-9:</w:t>
      </w:r>
      <w:r w:rsidR="00D921E2">
        <w:t xml:space="preserve"> </w:t>
      </w:r>
      <w:r>
        <w:t>SCE Mean Percent Error of Models for Largest Fifth of Customers</w:t>
      </w:r>
    </w:p>
    <w:tbl>
      <w:tblPr>
        <w:tblW w:w="934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960"/>
        <w:gridCol w:w="1060"/>
        <w:gridCol w:w="1060"/>
        <w:gridCol w:w="1060"/>
        <w:gridCol w:w="1060"/>
        <w:gridCol w:w="1060"/>
        <w:gridCol w:w="1060"/>
        <w:gridCol w:w="1060"/>
      </w:tblGrid>
      <w:tr w:rsidR="00432764" w:rsidRPr="00432764" w:rsidTr="00A00B41">
        <w:trPr>
          <w:trHeight w:val="300"/>
        </w:trPr>
        <w:tc>
          <w:tcPr>
            <w:tcW w:w="960" w:type="dxa"/>
            <w:vMerge w:val="restart"/>
            <w:tcBorders>
              <w:right w:val="single" w:sz="4" w:space="0" w:color="FFFFFF" w:themeColor="background1"/>
            </w:tcBorders>
            <w:shd w:val="clear" w:color="000000" w:fill="376091"/>
            <w:noWrap/>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Utility</w:t>
            </w:r>
          </w:p>
        </w:tc>
        <w:tc>
          <w:tcPr>
            <w:tcW w:w="960" w:type="dxa"/>
            <w:vMerge w:val="restart"/>
            <w:tcBorders>
              <w:left w:val="single" w:sz="4" w:space="0" w:color="FFFFFF" w:themeColor="background1"/>
              <w:right w:val="single" w:sz="4" w:space="0" w:color="FFFFFF" w:themeColor="background1"/>
            </w:tcBorders>
            <w:shd w:val="clear" w:color="000000" w:fill="376091"/>
            <w:noWrap/>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Model</w:t>
            </w:r>
          </w:p>
        </w:tc>
        <w:tc>
          <w:tcPr>
            <w:tcW w:w="1060" w:type="dxa"/>
            <w:vMerge w:val="restart"/>
            <w:tcBorders>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Aggregate Bias (MPE)</w:t>
            </w:r>
          </w:p>
        </w:tc>
        <w:tc>
          <w:tcPr>
            <w:tcW w:w="1060" w:type="dxa"/>
            <w:vMerge w:val="restart"/>
            <w:tcBorders>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Aggregate  Goodness</w:t>
            </w:r>
            <w:r w:rsidR="009918EE">
              <w:rPr>
                <w:rFonts w:ascii="Arial" w:eastAsia="Times New Roman" w:hAnsi="Arial" w:cs="Arial"/>
                <w:b/>
                <w:bCs/>
                <w:color w:val="FFFFFF"/>
                <w:sz w:val="16"/>
                <w:szCs w:val="16"/>
              </w:rPr>
              <w:t>-</w:t>
            </w:r>
            <w:r w:rsidRPr="00432764">
              <w:rPr>
                <w:rFonts w:ascii="Arial" w:eastAsia="Times New Roman" w:hAnsi="Arial" w:cs="Arial"/>
                <w:b/>
                <w:bCs/>
                <w:color w:val="FFFFFF"/>
                <w:sz w:val="16"/>
                <w:szCs w:val="16"/>
              </w:rPr>
              <w:t>o</w:t>
            </w:r>
            <w:r w:rsidR="009918EE">
              <w:rPr>
                <w:rFonts w:ascii="Arial" w:eastAsia="Times New Roman" w:hAnsi="Arial" w:cs="Arial"/>
                <w:b/>
                <w:bCs/>
                <w:color w:val="FFFFFF"/>
                <w:sz w:val="16"/>
                <w:szCs w:val="16"/>
              </w:rPr>
              <w:t>f-</w:t>
            </w:r>
            <w:r w:rsidRPr="00432764">
              <w:rPr>
                <w:rFonts w:ascii="Arial" w:eastAsia="Times New Roman" w:hAnsi="Arial" w:cs="Arial"/>
                <w:b/>
                <w:bCs/>
                <w:color w:val="FFFFFF"/>
                <w:sz w:val="16"/>
                <w:szCs w:val="16"/>
              </w:rPr>
              <w:t>Fit (MAPE)</w:t>
            </w:r>
          </w:p>
        </w:tc>
        <w:tc>
          <w:tcPr>
            <w:tcW w:w="3180" w:type="dxa"/>
            <w:gridSpan w:val="3"/>
            <w:tcBorders>
              <w:left w:val="single" w:sz="4" w:space="0" w:color="FFFFFF" w:themeColor="background1"/>
              <w:bottom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Individual Customer MPE</w:t>
            </w:r>
          </w:p>
        </w:tc>
        <w:tc>
          <w:tcPr>
            <w:tcW w:w="2120" w:type="dxa"/>
            <w:gridSpan w:val="2"/>
            <w:tcBorders>
              <w:left w:val="single" w:sz="4" w:space="0" w:color="FFFFFF" w:themeColor="background1"/>
              <w:bottom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Individual Customer MAPE</w:t>
            </w:r>
          </w:p>
        </w:tc>
      </w:tr>
      <w:tr w:rsidR="00432764" w:rsidRPr="00432764" w:rsidTr="00A00B41">
        <w:trPr>
          <w:trHeight w:val="420"/>
        </w:trPr>
        <w:tc>
          <w:tcPr>
            <w:tcW w:w="960" w:type="dxa"/>
            <w:vMerge/>
            <w:tcBorders>
              <w:right w:val="single" w:sz="4" w:space="0" w:color="FFFFFF" w:themeColor="background1"/>
            </w:tcBorders>
            <w:vAlign w:val="center"/>
            <w:hideMark/>
          </w:tcPr>
          <w:p w:rsidR="00432764" w:rsidRPr="00432764" w:rsidRDefault="00432764" w:rsidP="00432764">
            <w:pPr>
              <w:spacing w:after="0" w:line="240" w:lineRule="auto"/>
              <w:rPr>
                <w:rFonts w:ascii="Arial" w:eastAsia="Times New Roman" w:hAnsi="Arial" w:cs="Arial"/>
                <w:b/>
                <w:bCs/>
                <w:color w:val="FFFFFF"/>
                <w:sz w:val="16"/>
                <w:szCs w:val="16"/>
              </w:rPr>
            </w:pPr>
          </w:p>
        </w:tc>
        <w:tc>
          <w:tcPr>
            <w:tcW w:w="960" w:type="dxa"/>
            <w:vMerge/>
            <w:tcBorders>
              <w:left w:val="single" w:sz="4" w:space="0" w:color="FFFFFF" w:themeColor="background1"/>
              <w:right w:val="single" w:sz="4" w:space="0" w:color="FFFFFF" w:themeColor="background1"/>
            </w:tcBorders>
            <w:vAlign w:val="center"/>
            <w:hideMark/>
          </w:tcPr>
          <w:p w:rsidR="00432764" w:rsidRPr="00432764" w:rsidRDefault="00432764" w:rsidP="00432764">
            <w:pPr>
              <w:spacing w:after="0" w:line="240" w:lineRule="auto"/>
              <w:rPr>
                <w:rFonts w:ascii="Arial" w:eastAsia="Times New Roman" w:hAnsi="Arial" w:cs="Arial"/>
                <w:b/>
                <w:bCs/>
                <w:color w:val="FFFFFF"/>
                <w:sz w:val="16"/>
                <w:szCs w:val="16"/>
              </w:rPr>
            </w:pPr>
          </w:p>
        </w:tc>
        <w:tc>
          <w:tcPr>
            <w:tcW w:w="1060" w:type="dxa"/>
            <w:vMerge/>
            <w:tcBorders>
              <w:left w:val="single" w:sz="4" w:space="0" w:color="FFFFFF" w:themeColor="background1"/>
              <w:right w:val="single" w:sz="4" w:space="0" w:color="FFFFFF" w:themeColor="background1"/>
            </w:tcBorders>
            <w:vAlign w:val="center"/>
            <w:hideMark/>
          </w:tcPr>
          <w:p w:rsidR="00432764" w:rsidRPr="00432764" w:rsidRDefault="00432764" w:rsidP="00432764">
            <w:pPr>
              <w:spacing w:after="0" w:line="240" w:lineRule="auto"/>
              <w:rPr>
                <w:rFonts w:ascii="Arial" w:eastAsia="Times New Roman" w:hAnsi="Arial" w:cs="Arial"/>
                <w:b/>
                <w:bCs/>
                <w:color w:val="FFFFFF"/>
                <w:sz w:val="16"/>
                <w:szCs w:val="16"/>
              </w:rPr>
            </w:pPr>
          </w:p>
        </w:tc>
        <w:tc>
          <w:tcPr>
            <w:tcW w:w="1060" w:type="dxa"/>
            <w:vMerge/>
            <w:tcBorders>
              <w:left w:val="single" w:sz="4" w:space="0" w:color="FFFFFF" w:themeColor="background1"/>
              <w:right w:val="single" w:sz="4" w:space="0" w:color="FFFFFF" w:themeColor="background1"/>
            </w:tcBorders>
            <w:vAlign w:val="center"/>
            <w:hideMark/>
          </w:tcPr>
          <w:p w:rsidR="00432764" w:rsidRPr="00432764" w:rsidRDefault="00432764" w:rsidP="00432764">
            <w:pPr>
              <w:spacing w:after="0" w:line="240" w:lineRule="auto"/>
              <w:rPr>
                <w:rFonts w:ascii="Arial" w:eastAsia="Times New Roman" w:hAnsi="Arial" w:cs="Arial"/>
                <w:b/>
                <w:bCs/>
                <w:color w:val="FFFFFF"/>
                <w:sz w:val="16"/>
                <w:szCs w:val="16"/>
              </w:rPr>
            </w:pPr>
          </w:p>
        </w:tc>
        <w:tc>
          <w:tcPr>
            <w:tcW w:w="10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Median</w:t>
            </w:r>
          </w:p>
        </w:tc>
        <w:tc>
          <w:tcPr>
            <w:tcW w:w="10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 xml:space="preserve">10th </w:t>
            </w:r>
            <w:r w:rsidR="009918EE">
              <w:rPr>
                <w:rFonts w:ascii="Arial" w:eastAsia="Times New Roman" w:hAnsi="Arial" w:cs="Arial"/>
                <w:b/>
                <w:bCs/>
                <w:color w:val="FFFFFF"/>
                <w:sz w:val="16"/>
                <w:szCs w:val="16"/>
              </w:rPr>
              <w:t>P</w:t>
            </w:r>
            <w:r w:rsidRPr="00432764">
              <w:rPr>
                <w:rFonts w:ascii="Arial" w:eastAsia="Times New Roman" w:hAnsi="Arial" w:cs="Arial"/>
                <w:b/>
                <w:bCs/>
                <w:color w:val="FFFFFF"/>
                <w:sz w:val="16"/>
                <w:szCs w:val="16"/>
              </w:rPr>
              <w:t>ercentile</w:t>
            </w:r>
          </w:p>
        </w:tc>
        <w:tc>
          <w:tcPr>
            <w:tcW w:w="10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 xml:space="preserve">90th </w:t>
            </w:r>
            <w:r w:rsidR="009918EE">
              <w:rPr>
                <w:rFonts w:ascii="Arial" w:eastAsia="Times New Roman" w:hAnsi="Arial" w:cs="Arial"/>
                <w:b/>
                <w:bCs/>
                <w:color w:val="FFFFFF"/>
                <w:sz w:val="16"/>
                <w:szCs w:val="16"/>
              </w:rPr>
              <w:t>P</w:t>
            </w:r>
            <w:r w:rsidRPr="00432764">
              <w:rPr>
                <w:rFonts w:ascii="Arial" w:eastAsia="Times New Roman" w:hAnsi="Arial" w:cs="Arial"/>
                <w:b/>
                <w:bCs/>
                <w:color w:val="FFFFFF"/>
                <w:sz w:val="16"/>
                <w:szCs w:val="16"/>
              </w:rPr>
              <w:t>ercentile</w:t>
            </w:r>
          </w:p>
        </w:tc>
        <w:tc>
          <w:tcPr>
            <w:tcW w:w="1060" w:type="dxa"/>
            <w:tcBorders>
              <w:top w:val="single" w:sz="4" w:space="0" w:color="FFFFFF" w:themeColor="background1"/>
              <w:left w:val="single" w:sz="4" w:space="0" w:color="FFFFFF" w:themeColor="background1"/>
              <w:righ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Median</w:t>
            </w:r>
          </w:p>
        </w:tc>
        <w:tc>
          <w:tcPr>
            <w:tcW w:w="1060" w:type="dxa"/>
            <w:tcBorders>
              <w:top w:val="single" w:sz="4" w:space="0" w:color="FFFFFF" w:themeColor="background1"/>
              <w:left w:val="single" w:sz="4" w:space="0" w:color="FFFFFF" w:themeColor="background1"/>
            </w:tcBorders>
            <w:shd w:val="clear" w:color="000000" w:fill="376091"/>
            <w:vAlign w:val="center"/>
            <w:hideMark/>
          </w:tcPr>
          <w:p w:rsidR="00432764" w:rsidRPr="00432764" w:rsidRDefault="00432764" w:rsidP="00432764">
            <w:pPr>
              <w:spacing w:after="0" w:line="240" w:lineRule="auto"/>
              <w:jc w:val="center"/>
              <w:rPr>
                <w:rFonts w:ascii="Arial" w:eastAsia="Times New Roman" w:hAnsi="Arial" w:cs="Arial"/>
                <w:b/>
                <w:bCs/>
                <w:color w:val="FFFFFF"/>
                <w:sz w:val="16"/>
                <w:szCs w:val="16"/>
              </w:rPr>
            </w:pPr>
            <w:r w:rsidRPr="00432764">
              <w:rPr>
                <w:rFonts w:ascii="Arial" w:eastAsia="Times New Roman" w:hAnsi="Arial" w:cs="Arial"/>
                <w:b/>
                <w:bCs/>
                <w:color w:val="FFFFFF"/>
                <w:sz w:val="16"/>
                <w:szCs w:val="16"/>
              </w:rPr>
              <w:t>75th Percentile</w:t>
            </w:r>
          </w:p>
        </w:tc>
      </w:tr>
      <w:tr w:rsidR="00432764" w:rsidRPr="00432764" w:rsidTr="00A00B41">
        <w:trPr>
          <w:trHeight w:val="288"/>
        </w:trPr>
        <w:tc>
          <w:tcPr>
            <w:tcW w:w="960" w:type="dxa"/>
            <w:vMerge w:val="restart"/>
            <w:shd w:val="clear" w:color="auto" w:fill="auto"/>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SDG&amp;E</w:t>
            </w: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9.1%</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10.1%</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9.2%</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10.1%</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-13.7%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11.9%</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9.6%</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-10.5%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10.8%</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11.3%</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9.6%</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9.0%</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9.1%</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3.8%</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-1.1%</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5.4%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8.8%</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-3.5%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6.8%</w:t>
            </w:r>
          </w:p>
        </w:tc>
      </w:tr>
      <w:tr w:rsidR="00432764" w:rsidRPr="00432764" w:rsidTr="00A00B41">
        <w:trPr>
          <w:trHeight w:val="288"/>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14</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0.7%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-2.3%</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6.0%</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4.9%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color w:val="000000"/>
                <w:sz w:val="16"/>
                <w:szCs w:val="16"/>
              </w:rPr>
            </w:pPr>
            <w:r w:rsidRPr="00432764">
              <w:rPr>
                <w:rFonts w:ascii="Arial" w:eastAsia="Times New Roman" w:hAnsi="Arial" w:cs="Arial"/>
                <w:color w:val="000000"/>
                <w:sz w:val="16"/>
                <w:szCs w:val="16"/>
              </w:rPr>
              <w:t>7.8%</w:t>
            </w:r>
          </w:p>
        </w:tc>
      </w:tr>
      <w:tr w:rsidR="00432764" w:rsidRPr="00432764" w:rsidTr="00A00B41">
        <w:trPr>
          <w:trHeight w:val="300"/>
        </w:trPr>
        <w:tc>
          <w:tcPr>
            <w:tcW w:w="960" w:type="dxa"/>
            <w:vMerge/>
            <w:vAlign w:val="center"/>
            <w:hideMark/>
          </w:tcPr>
          <w:p w:rsidR="00432764" w:rsidRPr="00432764" w:rsidRDefault="00432764" w:rsidP="00432764">
            <w:pPr>
              <w:spacing w:after="0" w:line="240" w:lineRule="auto"/>
              <w:rPr>
                <w:rFonts w:ascii="Arial" w:eastAsia="Times New Roman" w:hAnsi="Arial" w:cs="Arial"/>
                <w:color w:val="000000"/>
                <w:sz w:val="16"/>
                <w:szCs w:val="16"/>
              </w:rPr>
            </w:pPr>
          </w:p>
        </w:tc>
        <w:tc>
          <w:tcPr>
            <w:tcW w:w="9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15</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0.6%</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2.7%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1.7%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-2.2%</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6.7%</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4.9%</w:t>
            </w:r>
          </w:p>
        </w:tc>
        <w:tc>
          <w:tcPr>
            <w:tcW w:w="1060" w:type="dxa"/>
            <w:shd w:val="clear" w:color="auto" w:fill="auto"/>
            <w:noWrap/>
            <w:vAlign w:val="center"/>
            <w:hideMark/>
          </w:tcPr>
          <w:p w:rsidR="00432764" w:rsidRPr="00432764" w:rsidRDefault="00432764" w:rsidP="00432764">
            <w:pPr>
              <w:spacing w:after="0" w:line="240" w:lineRule="auto"/>
              <w:jc w:val="center"/>
              <w:rPr>
                <w:rFonts w:ascii="Arial" w:eastAsia="Times New Roman" w:hAnsi="Arial" w:cs="Arial"/>
                <w:b/>
                <w:bCs/>
                <w:color w:val="000000"/>
                <w:sz w:val="16"/>
                <w:szCs w:val="16"/>
              </w:rPr>
            </w:pPr>
            <w:r w:rsidRPr="00432764">
              <w:rPr>
                <w:rFonts w:ascii="Arial" w:eastAsia="Times New Roman" w:hAnsi="Arial" w:cs="Arial"/>
                <w:b/>
                <w:bCs/>
                <w:color w:val="000000"/>
                <w:sz w:val="16"/>
                <w:szCs w:val="16"/>
              </w:rPr>
              <w:t>7.5%</w:t>
            </w:r>
          </w:p>
        </w:tc>
      </w:tr>
    </w:tbl>
    <w:p w:rsidR="00A15BCB" w:rsidRDefault="00A15BCB">
      <w:pPr>
        <w:rPr>
          <w:rFonts w:ascii="Arial" w:hAnsi="Arial"/>
        </w:rPr>
      </w:pPr>
      <w:r>
        <w:br w:type="page"/>
      </w:r>
    </w:p>
    <w:p w:rsidR="008E0A2E" w:rsidRPr="00050374" w:rsidRDefault="008E0A2E" w:rsidP="00552CCD">
      <w:pPr>
        <w:pStyle w:val="AppendixHeading"/>
        <w:ind w:left="1980" w:hanging="1980"/>
      </w:pPr>
      <w:bookmarkStart w:id="415" w:name="_Toc314582361"/>
      <w:bookmarkStart w:id="416" w:name="_Toc326074050"/>
      <w:r w:rsidRPr="00050374">
        <w:lastRenderedPageBreak/>
        <w:t>Proxy Event Day – Actual Event Day Comparison</w:t>
      </w:r>
      <w:bookmarkEnd w:id="415"/>
      <w:bookmarkEnd w:id="416"/>
    </w:p>
    <w:p w:rsidR="00A73F2B" w:rsidRDefault="006368F2">
      <w:pPr>
        <w:pStyle w:val="BodyParagraph"/>
      </w:pPr>
      <w:r>
        <w:t xml:space="preserve">Tables </w:t>
      </w:r>
      <w:r w:rsidR="00EB4CC2">
        <w:t>B</w:t>
      </w:r>
      <w:r>
        <w:t xml:space="preserve">-1 through </w:t>
      </w:r>
      <w:r w:rsidR="00EB4CC2">
        <w:t>B</w:t>
      </w:r>
      <w:r>
        <w:t>-3 compare actual event days and proxy dates by their maximum temperature and system peak (in MW)</w:t>
      </w:r>
      <w:r w:rsidR="00AA0A58">
        <w:t xml:space="preserve"> for each IOU</w:t>
      </w:r>
      <w:r>
        <w:t xml:space="preserve">.  Dates are ranked according to their relative standing to all other days of 2011. </w:t>
      </w:r>
    </w:p>
    <w:p w:rsidR="008E0A2E" w:rsidRPr="00050374" w:rsidRDefault="00EB4CC2" w:rsidP="00BA25E2">
      <w:pPr>
        <w:pStyle w:val="TableFigureCaption"/>
      </w:pPr>
      <w:r>
        <w:t>Table B</w:t>
      </w:r>
      <w:r w:rsidR="008E0A2E" w:rsidRPr="00050374">
        <w:t>-1</w:t>
      </w:r>
      <w:r w:rsidR="00552CCD">
        <w:t>:</w:t>
      </w:r>
      <w:r w:rsidR="00D921E2">
        <w:t xml:space="preserve"> </w:t>
      </w:r>
      <w:r w:rsidR="008E0A2E" w:rsidRPr="00050374">
        <w:t>PG&amp;E</w:t>
      </w:r>
      <w:r w:rsidR="006368F2">
        <w:t xml:space="preserve"> Actual and Proxy Event Days</w:t>
      </w:r>
    </w:p>
    <w:tbl>
      <w:tblPr>
        <w:tblW w:w="87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0"/>
        <w:gridCol w:w="920"/>
        <w:gridCol w:w="920"/>
        <w:gridCol w:w="920"/>
        <w:gridCol w:w="920"/>
        <w:gridCol w:w="920"/>
        <w:gridCol w:w="920"/>
        <w:gridCol w:w="920"/>
        <w:gridCol w:w="920"/>
      </w:tblGrid>
      <w:tr w:rsidR="008E0A2E" w:rsidRPr="00050374" w:rsidTr="00A00B41">
        <w:trPr>
          <w:trHeight w:val="300"/>
          <w:jc w:val="center"/>
        </w:trPr>
        <w:tc>
          <w:tcPr>
            <w:tcW w:w="1340" w:type="dxa"/>
            <w:vMerge w:val="restart"/>
            <w:tcBorders>
              <w:right w:val="single" w:sz="4" w:space="0" w:color="FFFFFF" w:themeColor="background1"/>
            </w:tcBorders>
            <w:shd w:val="clear" w:color="000000" w:fill="1F497D"/>
            <w:noWrap/>
            <w:vAlign w:val="center"/>
            <w:hideMark/>
          </w:tcPr>
          <w:p w:rsidR="008E0A2E" w:rsidRPr="00050374" w:rsidRDefault="008E0A2E" w:rsidP="002B51AB">
            <w:pPr>
              <w:pStyle w:val="TableHeader"/>
              <w:rPr>
                <w:rFonts w:eastAsia="Times New Roman"/>
              </w:rPr>
            </w:pPr>
            <w:r>
              <w:rPr>
                <w:rFonts w:eastAsia="Times New Roman"/>
              </w:rPr>
              <w:t>Event</w:t>
            </w:r>
          </w:p>
        </w:tc>
        <w:tc>
          <w:tcPr>
            <w:tcW w:w="3680" w:type="dxa"/>
            <w:gridSpan w:val="4"/>
            <w:tcBorders>
              <w:left w:val="single" w:sz="4" w:space="0" w:color="FFFFFF" w:themeColor="background1"/>
              <w:bottom w:val="single" w:sz="4" w:space="0" w:color="FFFFFF" w:themeColor="background1"/>
              <w:right w:val="single" w:sz="4" w:space="0" w:color="FFFFFF" w:themeColor="background1"/>
            </w:tcBorders>
            <w:shd w:val="clear" w:color="000000" w:fill="1F497D"/>
            <w:noWrap/>
            <w:vAlign w:val="center"/>
            <w:hideMark/>
          </w:tcPr>
          <w:p w:rsidR="008E0A2E" w:rsidRPr="00050374" w:rsidRDefault="008E0A2E" w:rsidP="002B51AB">
            <w:pPr>
              <w:pStyle w:val="TableHeader"/>
              <w:rPr>
                <w:rFonts w:eastAsia="Times New Roman"/>
              </w:rPr>
            </w:pPr>
            <w:r w:rsidRPr="00050374">
              <w:rPr>
                <w:rFonts w:eastAsia="Times New Roman"/>
              </w:rPr>
              <w:t>Actual</w:t>
            </w:r>
          </w:p>
        </w:tc>
        <w:tc>
          <w:tcPr>
            <w:tcW w:w="3680" w:type="dxa"/>
            <w:gridSpan w:val="4"/>
            <w:tcBorders>
              <w:left w:val="single" w:sz="4" w:space="0" w:color="FFFFFF" w:themeColor="background1"/>
              <w:bottom w:val="single" w:sz="4" w:space="0" w:color="FFFFFF" w:themeColor="background1"/>
            </w:tcBorders>
            <w:shd w:val="clear" w:color="000000" w:fill="1F497D"/>
            <w:noWrap/>
            <w:vAlign w:val="center"/>
            <w:hideMark/>
          </w:tcPr>
          <w:p w:rsidR="008E0A2E" w:rsidRPr="00050374" w:rsidRDefault="008E0A2E" w:rsidP="002B51AB">
            <w:pPr>
              <w:pStyle w:val="TableHeader"/>
              <w:rPr>
                <w:rFonts w:eastAsia="Times New Roman"/>
              </w:rPr>
            </w:pPr>
            <w:r w:rsidRPr="00050374">
              <w:rPr>
                <w:rFonts w:eastAsia="Times New Roman"/>
              </w:rPr>
              <w:t>Proxy</w:t>
            </w:r>
          </w:p>
        </w:tc>
      </w:tr>
      <w:tr w:rsidR="002B1DFB" w:rsidRPr="00050374" w:rsidTr="00A00B41">
        <w:trPr>
          <w:trHeight w:val="525"/>
          <w:jc w:val="center"/>
        </w:trPr>
        <w:tc>
          <w:tcPr>
            <w:tcW w:w="1340" w:type="dxa"/>
            <w:vMerge/>
            <w:tcBorders>
              <w:right w:val="single" w:sz="4" w:space="0" w:color="FFFFFF" w:themeColor="background1"/>
            </w:tcBorders>
            <w:vAlign w:val="center"/>
            <w:hideMark/>
          </w:tcPr>
          <w:p w:rsidR="008E0A2E" w:rsidRPr="00050374" w:rsidRDefault="008E0A2E" w:rsidP="002B51AB">
            <w:pPr>
              <w:pStyle w:val="TableHeader"/>
              <w:rPr>
                <w:rFonts w:eastAsia="Times New Roman"/>
              </w:rPr>
            </w:pP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8E0A2E" w:rsidP="002B51AB">
            <w:pPr>
              <w:pStyle w:val="TableHeader"/>
              <w:rPr>
                <w:rFonts w:eastAsia="Times New Roman"/>
              </w:rPr>
            </w:pPr>
            <w:r w:rsidRPr="00050374">
              <w:rPr>
                <w:rFonts w:eastAsia="Times New Roman"/>
              </w:rPr>
              <w:t>MW Rank</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6368F2" w:rsidP="002B51AB">
            <w:pPr>
              <w:pStyle w:val="TableHeader"/>
              <w:rPr>
                <w:rFonts w:eastAsia="Times New Roman"/>
              </w:rPr>
            </w:pPr>
            <w:r>
              <w:rPr>
                <w:rFonts w:eastAsia="Times New Roman"/>
              </w:rPr>
              <w:t xml:space="preserve">Max </w:t>
            </w:r>
            <w:r w:rsidR="008E0A2E" w:rsidRPr="00050374">
              <w:rPr>
                <w:rFonts w:eastAsia="Times New Roman"/>
              </w:rPr>
              <w:t>MW</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8E0A2E" w:rsidP="002B51AB">
            <w:pPr>
              <w:pStyle w:val="TableHeader"/>
              <w:rPr>
                <w:rFonts w:eastAsia="Times New Roman"/>
              </w:rPr>
            </w:pPr>
            <w:r w:rsidRPr="00050374">
              <w:rPr>
                <w:rFonts w:eastAsia="Times New Roman"/>
              </w:rPr>
              <w:t>Temp Rank</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6368F2" w:rsidP="002B51AB">
            <w:pPr>
              <w:pStyle w:val="TableHeader"/>
              <w:rPr>
                <w:rFonts w:eastAsia="Times New Roman"/>
              </w:rPr>
            </w:pPr>
            <w:r>
              <w:rPr>
                <w:rFonts w:eastAsia="Times New Roman"/>
              </w:rPr>
              <w:t xml:space="preserve">Max </w:t>
            </w:r>
            <w:r w:rsidR="008E0A2E" w:rsidRPr="00050374">
              <w:rPr>
                <w:rFonts w:eastAsia="Times New Roman"/>
              </w:rPr>
              <w:t>Temp</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8E0A2E" w:rsidP="002B51AB">
            <w:pPr>
              <w:pStyle w:val="TableHeader"/>
              <w:rPr>
                <w:rFonts w:eastAsia="Times New Roman"/>
              </w:rPr>
            </w:pPr>
            <w:r w:rsidRPr="00050374">
              <w:rPr>
                <w:rFonts w:eastAsia="Times New Roman"/>
              </w:rPr>
              <w:t>MW Rank</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6368F2" w:rsidP="002B51AB">
            <w:pPr>
              <w:pStyle w:val="TableHeader"/>
              <w:rPr>
                <w:rFonts w:eastAsia="Times New Roman"/>
              </w:rPr>
            </w:pPr>
            <w:r>
              <w:rPr>
                <w:rFonts w:eastAsia="Times New Roman"/>
              </w:rPr>
              <w:t xml:space="preserve">Max </w:t>
            </w:r>
            <w:r w:rsidR="008E0A2E" w:rsidRPr="00050374">
              <w:rPr>
                <w:rFonts w:eastAsia="Times New Roman"/>
              </w:rPr>
              <w:t>MW</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8E0A2E" w:rsidP="002B51AB">
            <w:pPr>
              <w:pStyle w:val="TableHeader"/>
              <w:rPr>
                <w:rFonts w:eastAsia="Times New Roman"/>
              </w:rPr>
            </w:pPr>
            <w:r w:rsidRPr="00050374">
              <w:rPr>
                <w:rFonts w:eastAsia="Times New Roman"/>
              </w:rPr>
              <w:t>Temp Rank</w:t>
            </w:r>
          </w:p>
        </w:tc>
        <w:tc>
          <w:tcPr>
            <w:tcW w:w="920" w:type="dxa"/>
            <w:tcBorders>
              <w:top w:val="single" w:sz="4" w:space="0" w:color="FFFFFF" w:themeColor="background1"/>
              <w:left w:val="single" w:sz="4" w:space="0" w:color="FFFFFF" w:themeColor="background1"/>
            </w:tcBorders>
            <w:shd w:val="clear" w:color="000000" w:fill="1F497D"/>
            <w:vAlign w:val="center"/>
            <w:hideMark/>
          </w:tcPr>
          <w:p w:rsidR="008E0A2E" w:rsidRPr="00050374" w:rsidRDefault="006368F2" w:rsidP="002B51AB">
            <w:pPr>
              <w:pStyle w:val="TableHeader"/>
              <w:rPr>
                <w:rFonts w:eastAsia="Times New Roman"/>
              </w:rPr>
            </w:pPr>
            <w:r>
              <w:rPr>
                <w:rFonts w:eastAsia="Times New Roman"/>
              </w:rPr>
              <w:t xml:space="preserve">Max </w:t>
            </w:r>
            <w:r w:rsidR="008E0A2E" w:rsidRPr="00050374">
              <w:rPr>
                <w:rFonts w:eastAsia="Times New Roman"/>
              </w:rPr>
              <w:t>Temp</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17,749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4</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75.1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4</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17,324</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73.5</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17,700</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75.6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17,013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72.4</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17,269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17</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72.0</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16,831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72.8</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4</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10</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16,831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72.6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16,699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72.8</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16,687</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71.4</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17</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16,601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73.5</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16,263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70.7</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16,352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70.1</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16,082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28</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70.5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16,344</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71.0</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8</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27</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15,921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43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69.1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15,996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34</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69.5</w:t>
            </w:r>
          </w:p>
        </w:tc>
      </w:tr>
      <w:tr w:rsidR="008E0A2E" w:rsidRPr="00050374" w:rsidTr="00A00B41">
        <w:trPr>
          <w:trHeight w:val="315"/>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15,761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70.5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15,457</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72.0</w:t>
            </w:r>
          </w:p>
        </w:tc>
      </w:tr>
      <w:tr w:rsidR="008E0A2E" w:rsidRPr="00050374" w:rsidTr="00A00B41">
        <w:trPr>
          <w:trHeight w:val="315"/>
          <w:jc w:val="center"/>
        </w:trPr>
        <w:tc>
          <w:tcPr>
            <w:tcW w:w="134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Average</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15.6</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16,696</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20.0</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71.9</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17.3</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16,513</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16.6</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72.0</w:t>
            </w:r>
          </w:p>
        </w:tc>
      </w:tr>
    </w:tbl>
    <w:p w:rsidR="00A73F2B" w:rsidRDefault="00AA0A58">
      <w:pPr>
        <w:pStyle w:val="BodyParaAfterTableFigure"/>
      </w:pPr>
      <w:r>
        <w:t xml:space="preserve">Because SCE called as few as 2 or as many as 19 events for each program and notification type (DA or DO), results are presented in a different format than for SDG&amp;E and PG&amp;E. </w:t>
      </w:r>
      <w:r w:rsidR="006141BC">
        <w:t xml:space="preserve"> </w:t>
      </w:r>
      <w:r>
        <w:t>Each combination of program and DA/DO had nine proxy events, some of which were shared by each combination.  As a result, maximum temperature, system peak and associated rankings represent an average of the actual and proxy events for each program and notification type.</w:t>
      </w:r>
    </w:p>
    <w:p w:rsidR="008E0A2E" w:rsidRPr="00050374" w:rsidRDefault="00EB4CC2" w:rsidP="00BA25E2">
      <w:pPr>
        <w:pStyle w:val="TableFigureCaption"/>
      </w:pPr>
      <w:r>
        <w:t>Table B</w:t>
      </w:r>
      <w:r w:rsidR="008E0A2E" w:rsidRPr="00050374">
        <w:t>-2</w:t>
      </w:r>
      <w:r w:rsidR="00552CCD">
        <w:t>:</w:t>
      </w:r>
      <w:r w:rsidR="00D921E2">
        <w:t xml:space="preserve"> </w:t>
      </w:r>
      <w:r w:rsidR="008E0A2E" w:rsidRPr="00050374">
        <w:t>SCE</w:t>
      </w:r>
      <w:r w:rsidR="006368F2">
        <w:t xml:space="preserve"> Actual and Proxy Event Days</w:t>
      </w:r>
    </w:p>
    <w:tbl>
      <w:tblPr>
        <w:tblW w:w="7991" w:type="dxa"/>
        <w:jc w:val="center"/>
        <w:tblInd w:w="93" w:type="dxa"/>
        <w:tblLook w:val="04A0"/>
      </w:tblPr>
      <w:tblGrid>
        <w:gridCol w:w="1039"/>
        <w:gridCol w:w="1261"/>
        <w:gridCol w:w="1217"/>
        <w:gridCol w:w="1228"/>
        <w:gridCol w:w="920"/>
        <w:gridCol w:w="1406"/>
        <w:gridCol w:w="920"/>
      </w:tblGrid>
      <w:tr w:rsidR="008E0A2E" w:rsidRPr="00050374" w:rsidTr="00552CCD">
        <w:trPr>
          <w:trHeight w:val="510"/>
          <w:jc w:val="center"/>
        </w:trPr>
        <w:tc>
          <w:tcPr>
            <w:tcW w:w="1039" w:type="dxa"/>
            <w:tcBorders>
              <w:top w:val="single" w:sz="4" w:space="0" w:color="auto"/>
              <w:left w:val="single" w:sz="4" w:space="0" w:color="auto"/>
              <w:bottom w:val="single" w:sz="4" w:space="0" w:color="auto"/>
              <w:right w:val="single" w:sz="4" w:space="0" w:color="FFFFFF"/>
            </w:tcBorders>
            <w:shd w:val="clear" w:color="000000" w:fill="1F497D"/>
            <w:vAlign w:val="center"/>
            <w:hideMark/>
          </w:tcPr>
          <w:p w:rsidR="008E0A2E" w:rsidRPr="00050374" w:rsidRDefault="008E0A2E" w:rsidP="002B51AB">
            <w:pPr>
              <w:pStyle w:val="TableHeader"/>
              <w:rPr>
                <w:rFonts w:eastAsia="Times New Roman"/>
              </w:rPr>
            </w:pPr>
            <w:r w:rsidRPr="00050374">
              <w:rPr>
                <w:rFonts w:eastAsia="Times New Roman"/>
              </w:rPr>
              <w:t>Program</w:t>
            </w:r>
          </w:p>
        </w:tc>
        <w:tc>
          <w:tcPr>
            <w:tcW w:w="1261" w:type="dxa"/>
            <w:tcBorders>
              <w:top w:val="single" w:sz="4" w:space="0" w:color="auto"/>
              <w:left w:val="nil"/>
              <w:bottom w:val="single" w:sz="4" w:space="0" w:color="auto"/>
              <w:right w:val="single" w:sz="4" w:space="0" w:color="FFFFFF"/>
            </w:tcBorders>
            <w:shd w:val="clear" w:color="000000" w:fill="1F497D"/>
            <w:vAlign w:val="center"/>
            <w:hideMark/>
          </w:tcPr>
          <w:p w:rsidR="008E0A2E" w:rsidRPr="00050374" w:rsidRDefault="008E0A2E" w:rsidP="002B51AB">
            <w:pPr>
              <w:pStyle w:val="TableHeader"/>
              <w:rPr>
                <w:rFonts w:eastAsia="Times New Roman"/>
              </w:rPr>
            </w:pPr>
            <w:r w:rsidRPr="00050374">
              <w:rPr>
                <w:rFonts w:eastAsia="Times New Roman"/>
              </w:rPr>
              <w:t>DA/DO</w:t>
            </w:r>
          </w:p>
        </w:tc>
        <w:tc>
          <w:tcPr>
            <w:tcW w:w="1217" w:type="dxa"/>
            <w:tcBorders>
              <w:top w:val="single" w:sz="4" w:space="0" w:color="auto"/>
              <w:left w:val="nil"/>
              <w:bottom w:val="single" w:sz="4" w:space="0" w:color="auto"/>
              <w:right w:val="single" w:sz="4" w:space="0" w:color="FFFFFF"/>
            </w:tcBorders>
            <w:shd w:val="clear" w:color="000000" w:fill="1F497D"/>
            <w:vAlign w:val="center"/>
            <w:hideMark/>
          </w:tcPr>
          <w:p w:rsidR="008E0A2E" w:rsidRPr="00050374" w:rsidRDefault="008E0A2E" w:rsidP="002B51AB">
            <w:pPr>
              <w:pStyle w:val="TableHeader"/>
              <w:rPr>
                <w:rFonts w:eastAsia="Times New Roman"/>
              </w:rPr>
            </w:pPr>
            <w:r w:rsidRPr="00050374">
              <w:rPr>
                <w:rFonts w:eastAsia="Times New Roman"/>
              </w:rPr>
              <w:t>Day Type</w:t>
            </w:r>
          </w:p>
        </w:tc>
        <w:tc>
          <w:tcPr>
            <w:tcW w:w="1228" w:type="dxa"/>
            <w:tcBorders>
              <w:top w:val="single" w:sz="4" w:space="0" w:color="auto"/>
              <w:left w:val="nil"/>
              <w:bottom w:val="single" w:sz="4" w:space="0" w:color="auto"/>
              <w:right w:val="single" w:sz="4" w:space="0" w:color="FFFFFF"/>
            </w:tcBorders>
            <w:shd w:val="clear" w:color="000000" w:fill="1F497D"/>
            <w:vAlign w:val="center"/>
            <w:hideMark/>
          </w:tcPr>
          <w:p w:rsidR="008E0A2E" w:rsidRPr="00050374" w:rsidRDefault="00AA0A58" w:rsidP="002B51AB">
            <w:pPr>
              <w:pStyle w:val="TableHeader"/>
              <w:rPr>
                <w:rFonts w:eastAsia="Times New Roman"/>
              </w:rPr>
            </w:pPr>
            <w:proofErr w:type="spellStart"/>
            <w:r>
              <w:rPr>
                <w:rFonts w:eastAsia="Times New Roman"/>
              </w:rPr>
              <w:t>Avg</w:t>
            </w:r>
            <w:proofErr w:type="spellEnd"/>
            <w:r>
              <w:rPr>
                <w:rFonts w:eastAsia="Times New Roman"/>
              </w:rPr>
              <w:t xml:space="preserve"> </w:t>
            </w:r>
            <w:r w:rsidR="008E0A2E" w:rsidRPr="00050374">
              <w:rPr>
                <w:rFonts w:eastAsia="Times New Roman"/>
              </w:rPr>
              <w:t>MW Rank</w:t>
            </w:r>
          </w:p>
        </w:tc>
        <w:tc>
          <w:tcPr>
            <w:tcW w:w="920" w:type="dxa"/>
            <w:tcBorders>
              <w:top w:val="single" w:sz="4" w:space="0" w:color="auto"/>
              <w:left w:val="nil"/>
              <w:bottom w:val="single" w:sz="4" w:space="0" w:color="auto"/>
              <w:right w:val="single" w:sz="4" w:space="0" w:color="FFFFFF"/>
            </w:tcBorders>
            <w:shd w:val="clear" w:color="000000" w:fill="1F497D"/>
            <w:vAlign w:val="center"/>
            <w:hideMark/>
          </w:tcPr>
          <w:p w:rsidR="008E0A2E" w:rsidRPr="00050374" w:rsidRDefault="00AA0A58" w:rsidP="002B51AB">
            <w:pPr>
              <w:pStyle w:val="TableHeader"/>
              <w:rPr>
                <w:rFonts w:eastAsia="Times New Roman"/>
              </w:rPr>
            </w:pPr>
            <w:proofErr w:type="spellStart"/>
            <w:r>
              <w:rPr>
                <w:rFonts w:eastAsia="Times New Roman"/>
              </w:rPr>
              <w:t>Avg</w:t>
            </w:r>
            <w:proofErr w:type="spellEnd"/>
            <w:r>
              <w:rPr>
                <w:rFonts w:eastAsia="Times New Roman"/>
              </w:rPr>
              <w:t xml:space="preserve"> </w:t>
            </w:r>
            <w:r w:rsidR="006368F2">
              <w:rPr>
                <w:rFonts w:eastAsia="Times New Roman"/>
              </w:rPr>
              <w:t xml:space="preserve">Max </w:t>
            </w:r>
            <w:r w:rsidR="008E0A2E" w:rsidRPr="00050374">
              <w:rPr>
                <w:rFonts w:eastAsia="Times New Roman"/>
              </w:rPr>
              <w:t>MW</w:t>
            </w:r>
          </w:p>
        </w:tc>
        <w:tc>
          <w:tcPr>
            <w:tcW w:w="1406" w:type="dxa"/>
            <w:tcBorders>
              <w:top w:val="single" w:sz="4" w:space="0" w:color="auto"/>
              <w:left w:val="nil"/>
              <w:bottom w:val="single" w:sz="4" w:space="0" w:color="auto"/>
              <w:right w:val="single" w:sz="4" w:space="0" w:color="FFFFFF"/>
            </w:tcBorders>
            <w:shd w:val="clear" w:color="000000" w:fill="1F497D"/>
            <w:vAlign w:val="center"/>
            <w:hideMark/>
          </w:tcPr>
          <w:p w:rsidR="008E0A2E" w:rsidRPr="00050374" w:rsidRDefault="00AA0A58" w:rsidP="002B51AB">
            <w:pPr>
              <w:pStyle w:val="TableHeader"/>
              <w:rPr>
                <w:rFonts w:eastAsia="Times New Roman"/>
              </w:rPr>
            </w:pPr>
            <w:proofErr w:type="spellStart"/>
            <w:r>
              <w:rPr>
                <w:rFonts w:eastAsia="Times New Roman"/>
              </w:rPr>
              <w:t>Avg</w:t>
            </w:r>
            <w:proofErr w:type="spellEnd"/>
            <w:r>
              <w:rPr>
                <w:rFonts w:eastAsia="Times New Roman"/>
              </w:rPr>
              <w:t xml:space="preserve"> </w:t>
            </w:r>
            <w:r w:rsidR="008E0A2E" w:rsidRPr="00050374">
              <w:rPr>
                <w:rFonts w:eastAsia="Times New Roman"/>
              </w:rPr>
              <w:t>Temp Rank</w:t>
            </w:r>
          </w:p>
        </w:tc>
        <w:tc>
          <w:tcPr>
            <w:tcW w:w="920" w:type="dxa"/>
            <w:tcBorders>
              <w:top w:val="single" w:sz="4" w:space="0" w:color="auto"/>
              <w:left w:val="nil"/>
              <w:bottom w:val="single" w:sz="4" w:space="0" w:color="auto"/>
              <w:right w:val="single" w:sz="4" w:space="0" w:color="auto"/>
            </w:tcBorders>
            <w:shd w:val="clear" w:color="000000" w:fill="1F497D"/>
            <w:vAlign w:val="center"/>
            <w:hideMark/>
          </w:tcPr>
          <w:p w:rsidR="008E0A2E" w:rsidRPr="00050374" w:rsidRDefault="00AA0A58" w:rsidP="002B51AB">
            <w:pPr>
              <w:pStyle w:val="TableHeader"/>
              <w:rPr>
                <w:rFonts w:eastAsia="Times New Roman"/>
              </w:rPr>
            </w:pPr>
            <w:proofErr w:type="spellStart"/>
            <w:r>
              <w:rPr>
                <w:rFonts w:eastAsia="Times New Roman"/>
              </w:rPr>
              <w:t>Avg</w:t>
            </w:r>
            <w:proofErr w:type="spellEnd"/>
            <w:r>
              <w:rPr>
                <w:rFonts w:eastAsia="Times New Roman"/>
              </w:rPr>
              <w:t xml:space="preserve"> </w:t>
            </w:r>
            <w:r w:rsidR="006368F2">
              <w:rPr>
                <w:rFonts w:eastAsia="Times New Roman"/>
              </w:rPr>
              <w:t xml:space="preserve">Max </w:t>
            </w:r>
            <w:r w:rsidR="008E0A2E" w:rsidRPr="00050374">
              <w:rPr>
                <w:rFonts w:eastAsia="Times New Roman"/>
              </w:rPr>
              <w:t>Temp</w:t>
            </w:r>
          </w:p>
        </w:tc>
      </w:tr>
      <w:tr w:rsidR="008E0A2E" w:rsidRPr="00050374" w:rsidTr="00552CCD">
        <w:trPr>
          <w:trHeight w:val="300"/>
          <w:jc w:val="center"/>
        </w:trPr>
        <w:tc>
          <w:tcPr>
            <w:tcW w:w="10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CBP</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rsidR="008E0A2E" w:rsidRPr="00050374" w:rsidRDefault="008E0A2E" w:rsidP="002B51AB">
            <w:pPr>
              <w:pStyle w:val="TableText"/>
              <w:rPr>
                <w:rFonts w:eastAsia="Times New Roman"/>
              </w:rPr>
            </w:pPr>
            <w:r w:rsidRPr="00050374">
              <w:rPr>
                <w:rFonts w:eastAsia="Times New Roman"/>
              </w:rPr>
              <w:t>DA</w:t>
            </w:r>
          </w:p>
        </w:tc>
        <w:tc>
          <w:tcPr>
            <w:tcW w:w="1217"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Proxy</w:t>
            </w:r>
          </w:p>
        </w:tc>
        <w:tc>
          <w:tcPr>
            <w:tcW w:w="1228"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15.3</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18,679</w:t>
            </w:r>
          </w:p>
        </w:tc>
        <w:tc>
          <w:tcPr>
            <w:tcW w:w="1406"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14.6</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77.7</w:t>
            </w:r>
          </w:p>
        </w:tc>
      </w:tr>
      <w:tr w:rsidR="008E0A2E" w:rsidRPr="00050374" w:rsidTr="00552CCD">
        <w:trPr>
          <w:trHeight w:val="300"/>
          <w:jc w:val="center"/>
        </w:trPr>
        <w:tc>
          <w:tcPr>
            <w:tcW w:w="1039" w:type="dxa"/>
            <w:vMerge/>
            <w:tcBorders>
              <w:top w:val="nil"/>
              <w:left w:val="single" w:sz="4" w:space="0" w:color="auto"/>
              <w:bottom w:val="single" w:sz="4" w:space="0" w:color="auto"/>
              <w:right w:val="single" w:sz="4" w:space="0" w:color="auto"/>
            </w:tcBorders>
            <w:vAlign w:val="center"/>
            <w:hideMark/>
          </w:tcPr>
          <w:p w:rsidR="008E0A2E" w:rsidRPr="00050374" w:rsidRDefault="008E0A2E" w:rsidP="002B51AB">
            <w:pPr>
              <w:pStyle w:val="TableText"/>
              <w:rPr>
                <w:rFonts w:eastAsia="Times New Roman"/>
              </w:rPr>
            </w:pPr>
          </w:p>
        </w:tc>
        <w:tc>
          <w:tcPr>
            <w:tcW w:w="1261" w:type="dxa"/>
            <w:vMerge/>
            <w:tcBorders>
              <w:top w:val="nil"/>
              <w:left w:val="single" w:sz="4" w:space="0" w:color="auto"/>
              <w:bottom w:val="single" w:sz="4" w:space="0" w:color="auto"/>
              <w:right w:val="single" w:sz="4" w:space="0" w:color="auto"/>
            </w:tcBorders>
            <w:vAlign w:val="center"/>
            <w:hideMark/>
          </w:tcPr>
          <w:p w:rsidR="008E0A2E" w:rsidRPr="00050374" w:rsidRDefault="008E0A2E" w:rsidP="002B51AB">
            <w:pPr>
              <w:pStyle w:val="TableText"/>
              <w:rPr>
                <w:rFonts w:eastAsia="Times New Roman"/>
              </w:rPr>
            </w:pPr>
          </w:p>
        </w:tc>
        <w:tc>
          <w:tcPr>
            <w:tcW w:w="1217"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Actual</w:t>
            </w:r>
          </w:p>
        </w:tc>
        <w:tc>
          <w:tcPr>
            <w:tcW w:w="1228"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16.9</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18,552</w:t>
            </w:r>
          </w:p>
        </w:tc>
        <w:tc>
          <w:tcPr>
            <w:tcW w:w="1406"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16.9</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77.2</w:t>
            </w:r>
          </w:p>
        </w:tc>
      </w:tr>
      <w:tr w:rsidR="008E0A2E" w:rsidRPr="00050374" w:rsidTr="00552CCD">
        <w:trPr>
          <w:trHeight w:val="300"/>
          <w:jc w:val="center"/>
        </w:trPr>
        <w:tc>
          <w:tcPr>
            <w:tcW w:w="1039" w:type="dxa"/>
            <w:vMerge/>
            <w:tcBorders>
              <w:top w:val="nil"/>
              <w:left w:val="single" w:sz="4" w:space="0" w:color="auto"/>
              <w:bottom w:val="single" w:sz="4" w:space="0" w:color="auto"/>
              <w:right w:val="single" w:sz="4" w:space="0" w:color="auto"/>
            </w:tcBorders>
            <w:vAlign w:val="center"/>
            <w:hideMark/>
          </w:tcPr>
          <w:p w:rsidR="008E0A2E" w:rsidRPr="00050374" w:rsidRDefault="008E0A2E" w:rsidP="002B51AB">
            <w:pPr>
              <w:pStyle w:val="TableText"/>
              <w:rPr>
                <w:rFonts w:eastAsia="Times New Roman"/>
              </w:rPr>
            </w:pP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rsidR="008E0A2E" w:rsidRPr="00050374" w:rsidRDefault="008E0A2E" w:rsidP="002B51AB">
            <w:pPr>
              <w:pStyle w:val="TableText"/>
              <w:rPr>
                <w:rFonts w:eastAsia="Times New Roman"/>
              </w:rPr>
            </w:pPr>
            <w:r w:rsidRPr="00050374">
              <w:rPr>
                <w:rFonts w:eastAsia="Times New Roman"/>
              </w:rPr>
              <w:t>DO</w:t>
            </w:r>
          </w:p>
        </w:tc>
        <w:tc>
          <w:tcPr>
            <w:tcW w:w="1217"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Proxy</w:t>
            </w:r>
          </w:p>
        </w:tc>
        <w:tc>
          <w:tcPr>
            <w:tcW w:w="1228"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15.0</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18,621</w:t>
            </w:r>
          </w:p>
        </w:tc>
        <w:tc>
          <w:tcPr>
            <w:tcW w:w="1406"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17.6</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77.1</w:t>
            </w:r>
          </w:p>
        </w:tc>
      </w:tr>
      <w:tr w:rsidR="008E0A2E" w:rsidRPr="00050374" w:rsidTr="00552CCD">
        <w:trPr>
          <w:trHeight w:val="300"/>
          <w:jc w:val="center"/>
        </w:trPr>
        <w:tc>
          <w:tcPr>
            <w:tcW w:w="1039" w:type="dxa"/>
            <w:vMerge/>
            <w:tcBorders>
              <w:top w:val="nil"/>
              <w:left w:val="single" w:sz="4" w:space="0" w:color="auto"/>
              <w:bottom w:val="single" w:sz="4" w:space="0" w:color="auto"/>
              <w:right w:val="single" w:sz="4" w:space="0" w:color="auto"/>
            </w:tcBorders>
            <w:vAlign w:val="center"/>
            <w:hideMark/>
          </w:tcPr>
          <w:p w:rsidR="008E0A2E" w:rsidRPr="00050374" w:rsidRDefault="008E0A2E" w:rsidP="002B51AB">
            <w:pPr>
              <w:pStyle w:val="TableText"/>
              <w:rPr>
                <w:rFonts w:eastAsia="Times New Roman"/>
              </w:rPr>
            </w:pPr>
          </w:p>
        </w:tc>
        <w:tc>
          <w:tcPr>
            <w:tcW w:w="1261" w:type="dxa"/>
            <w:vMerge/>
            <w:tcBorders>
              <w:top w:val="nil"/>
              <w:left w:val="single" w:sz="4" w:space="0" w:color="auto"/>
              <w:bottom w:val="single" w:sz="4" w:space="0" w:color="auto"/>
              <w:right w:val="single" w:sz="4" w:space="0" w:color="auto"/>
            </w:tcBorders>
            <w:vAlign w:val="center"/>
            <w:hideMark/>
          </w:tcPr>
          <w:p w:rsidR="008E0A2E" w:rsidRPr="00050374" w:rsidRDefault="008E0A2E" w:rsidP="002B51AB">
            <w:pPr>
              <w:pStyle w:val="TableText"/>
              <w:rPr>
                <w:rFonts w:eastAsia="Times New Roman"/>
              </w:rPr>
            </w:pPr>
          </w:p>
        </w:tc>
        <w:tc>
          <w:tcPr>
            <w:tcW w:w="1217"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Actual</w:t>
            </w:r>
          </w:p>
        </w:tc>
        <w:tc>
          <w:tcPr>
            <w:tcW w:w="1228"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12.0</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19,782</w:t>
            </w:r>
          </w:p>
        </w:tc>
        <w:tc>
          <w:tcPr>
            <w:tcW w:w="1406"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11.0</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78.9</w:t>
            </w:r>
          </w:p>
        </w:tc>
      </w:tr>
      <w:tr w:rsidR="008E0A2E" w:rsidRPr="00050374" w:rsidTr="00552CCD">
        <w:trPr>
          <w:trHeight w:val="300"/>
          <w:jc w:val="center"/>
        </w:trPr>
        <w:tc>
          <w:tcPr>
            <w:tcW w:w="10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DRRC</w:t>
            </w: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rsidR="008E0A2E" w:rsidRPr="00050374" w:rsidRDefault="008E0A2E" w:rsidP="002B51AB">
            <w:pPr>
              <w:pStyle w:val="TableText"/>
              <w:rPr>
                <w:rFonts w:eastAsia="Times New Roman"/>
              </w:rPr>
            </w:pPr>
            <w:r w:rsidRPr="00050374">
              <w:rPr>
                <w:rFonts w:eastAsia="Times New Roman"/>
              </w:rPr>
              <w:t>DA</w:t>
            </w:r>
          </w:p>
        </w:tc>
        <w:tc>
          <w:tcPr>
            <w:tcW w:w="1217"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Proxy</w:t>
            </w:r>
          </w:p>
        </w:tc>
        <w:tc>
          <w:tcPr>
            <w:tcW w:w="1228"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15.6</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18,644</w:t>
            </w:r>
          </w:p>
        </w:tc>
        <w:tc>
          <w:tcPr>
            <w:tcW w:w="1406"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17.9</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77.1</w:t>
            </w:r>
          </w:p>
        </w:tc>
      </w:tr>
      <w:tr w:rsidR="008E0A2E" w:rsidRPr="00050374" w:rsidTr="00552CCD">
        <w:trPr>
          <w:trHeight w:val="300"/>
          <w:jc w:val="center"/>
        </w:trPr>
        <w:tc>
          <w:tcPr>
            <w:tcW w:w="1039" w:type="dxa"/>
            <w:vMerge/>
            <w:tcBorders>
              <w:top w:val="nil"/>
              <w:left w:val="single" w:sz="4" w:space="0" w:color="auto"/>
              <w:bottom w:val="single" w:sz="4" w:space="0" w:color="auto"/>
              <w:right w:val="single" w:sz="4" w:space="0" w:color="auto"/>
            </w:tcBorders>
            <w:vAlign w:val="center"/>
            <w:hideMark/>
          </w:tcPr>
          <w:p w:rsidR="008E0A2E" w:rsidRPr="00050374" w:rsidRDefault="008E0A2E" w:rsidP="002B51AB">
            <w:pPr>
              <w:pStyle w:val="TableText"/>
              <w:rPr>
                <w:rFonts w:eastAsia="Times New Roman"/>
              </w:rPr>
            </w:pPr>
          </w:p>
        </w:tc>
        <w:tc>
          <w:tcPr>
            <w:tcW w:w="1261" w:type="dxa"/>
            <w:vMerge/>
            <w:tcBorders>
              <w:top w:val="nil"/>
              <w:left w:val="single" w:sz="4" w:space="0" w:color="auto"/>
              <w:bottom w:val="single" w:sz="4" w:space="0" w:color="auto"/>
              <w:right w:val="single" w:sz="4" w:space="0" w:color="auto"/>
            </w:tcBorders>
            <w:vAlign w:val="center"/>
            <w:hideMark/>
          </w:tcPr>
          <w:p w:rsidR="008E0A2E" w:rsidRPr="00050374" w:rsidRDefault="008E0A2E" w:rsidP="002B51AB">
            <w:pPr>
              <w:pStyle w:val="TableText"/>
              <w:rPr>
                <w:rFonts w:eastAsia="Times New Roman"/>
              </w:rPr>
            </w:pPr>
          </w:p>
        </w:tc>
        <w:tc>
          <w:tcPr>
            <w:tcW w:w="1217"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Actual</w:t>
            </w:r>
          </w:p>
        </w:tc>
        <w:tc>
          <w:tcPr>
            <w:tcW w:w="1228"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17.5</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18,619</w:t>
            </w:r>
          </w:p>
        </w:tc>
        <w:tc>
          <w:tcPr>
            <w:tcW w:w="1406"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15.5</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77.8</w:t>
            </w:r>
          </w:p>
        </w:tc>
      </w:tr>
      <w:tr w:rsidR="008E0A2E" w:rsidRPr="00050374" w:rsidTr="00552CCD">
        <w:trPr>
          <w:trHeight w:val="300"/>
          <w:jc w:val="center"/>
        </w:trPr>
        <w:tc>
          <w:tcPr>
            <w:tcW w:w="1039" w:type="dxa"/>
            <w:vMerge/>
            <w:tcBorders>
              <w:top w:val="nil"/>
              <w:left w:val="single" w:sz="4" w:space="0" w:color="auto"/>
              <w:bottom w:val="single" w:sz="4" w:space="0" w:color="auto"/>
              <w:right w:val="single" w:sz="4" w:space="0" w:color="auto"/>
            </w:tcBorders>
            <w:vAlign w:val="center"/>
            <w:hideMark/>
          </w:tcPr>
          <w:p w:rsidR="008E0A2E" w:rsidRPr="00050374" w:rsidRDefault="008E0A2E" w:rsidP="002B51AB">
            <w:pPr>
              <w:pStyle w:val="TableText"/>
              <w:rPr>
                <w:rFonts w:eastAsia="Times New Roman"/>
              </w:rPr>
            </w:pPr>
          </w:p>
        </w:tc>
        <w:tc>
          <w:tcPr>
            <w:tcW w:w="1261" w:type="dxa"/>
            <w:vMerge w:val="restart"/>
            <w:tcBorders>
              <w:top w:val="nil"/>
              <w:left w:val="single" w:sz="4" w:space="0" w:color="auto"/>
              <w:bottom w:val="single" w:sz="4" w:space="0" w:color="auto"/>
              <w:right w:val="single" w:sz="4" w:space="0" w:color="auto"/>
            </w:tcBorders>
            <w:shd w:val="clear" w:color="auto" w:fill="auto"/>
            <w:vAlign w:val="center"/>
            <w:hideMark/>
          </w:tcPr>
          <w:p w:rsidR="008E0A2E" w:rsidRPr="00050374" w:rsidRDefault="008E0A2E" w:rsidP="002B51AB">
            <w:pPr>
              <w:pStyle w:val="TableText"/>
              <w:rPr>
                <w:rFonts w:eastAsia="Times New Roman"/>
              </w:rPr>
            </w:pPr>
            <w:r w:rsidRPr="00050374">
              <w:rPr>
                <w:rFonts w:eastAsia="Times New Roman"/>
              </w:rPr>
              <w:t>DO</w:t>
            </w:r>
          </w:p>
        </w:tc>
        <w:tc>
          <w:tcPr>
            <w:tcW w:w="1217"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Proxy</w:t>
            </w:r>
          </w:p>
        </w:tc>
        <w:tc>
          <w:tcPr>
            <w:tcW w:w="1228"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15.0</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18,603</w:t>
            </w:r>
          </w:p>
        </w:tc>
        <w:tc>
          <w:tcPr>
            <w:tcW w:w="1406"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14.6</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77.4</w:t>
            </w:r>
          </w:p>
        </w:tc>
      </w:tr>
      <w:tr w:rsidR="008E0A2E" w:rsidRPr="00050374" w:rsidTr="00552CCD">
        <w:trPr>
          <w:trHeight w:val="300"/>
          <w:jc w:val="center"/>
        </w:trPr>
        <w:tc>
          <w:tcPr>
            <w:tcW w:w="1039" w:type="dxa"/>
            <w:vMerge/>
            <w:tcBorders>
              <w:top w:val="nil"/>
              <w:left w:val="single" w:sz="4" w:space="0" w:color="auto"/>
              <w:bottom w:val="single" w:sz="4" w:space="0" w:color="auto"/>
              <w:right w:val="single" w:sz="4" w:space="0" w:color="auto"/>
            </w:tcBorders>
            <w:vAlign w:val="center"/>
            <w:hideMark/>
          </w:tcPr>
          <w:p w:rsidR="008E0A2E" w:rsidRPr="00050374" w:rsidRDefault="008E0A2E" w:rsidP="002B51AB">
            <w:pPr>
              <w:pStyle w:val="TableText"/>
              <w:rPr>
                <w:rFonts w:eastAsia="Times New Roman"/>
              </w:rPr>
            </w:pPr>
          </w:p>
        </w:tc>
        <w:tc>
          <w:tcPr>
            <w:tcW w:w="1261" w:type="dxa"/>
            <w:vMerge/>
            <w:tcBorders>
              <w:top w:val="nil"/>
              <w:left w:val="single" w:sz="4" w:space="0" w:color="auto"/>
              <w:bottom w:val="single" w:sz="4" w:space="0" w:color="auto"/>
              <w:right w:val="single" w:sz="4" w:space="0" w:color="auto"/>
            </w:tcBorders>
            <w:vAlign w:val="center"/>
            <w:hideMark/>
          </w:tcPr>
          <w:p w:rsidR="008E0A2E" w:rsidRPr="00050374" w:rsidRDefault="008E0A2E" w:rsidP="002B51AB">
            <w:pPr>
              <w:pStyle w:val="TableText"/>
              <w:rPr>
                <w:rFonts w:eastAsia="Times New Roman"/>
              </w:rPr>
            </w:pPr>
          </w:p>
        </w:tc>
        <w:tc>
          <w:tcPr>
            <w:tcW w:w="1217"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Actual</w:t>
            </w:r>
          </w:p>
        </w:tc>
        <w:tc>
          <w:tcPr>
            <w:tcW w:w="1228"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29.7</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17,668</w:t>
            </w:r>
          </w:p>
        </w:tc>
        <w:tc>
          <w:tcPr>
            <w:tcW w:w="1406"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21.7</w:t>
            </w:r>
          </w:p>
        </w:tc>
        <w:tc>
          <w:tcPr>
            <w:tcW w:w="920" w:type="dxa"/>
            <w:tcBorders>
              <w:top w:val="nil"/>
              <w:left w:val="nil"/>
              <w:bottom w:val="single" w:sz="4" w:space="0" w:color="auto"/>
              <w:right w:val="single" w:sz="4" w:space="0" w:color="auto"/>
            </w:tcBorders>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76.6</w:t>
            </w:r>
          </w:p>
        </w:tc>
      </w:tr>
    </w:tbl>
    <w:p w:rsidR="00A73F2B" w:rsidRDefault="00AA0A58">
      <w:pPr>
        <w:pStyle w:val="BodyParaAfterTableFigure"/>
      </w:pPr>
      <w:r>
        <w:lastRenderedPageBreak/>
        <w:t xml:space="preserve">Because the seventh event called by SDG&amp;E differs significantly from the other six events in terms of system load and average temperature, we show average results including this day (in the “average” row) and excluding this day (the “average, no outlier” row). </w:t>
      </w:r>
    </w:p>
    <w:p w:rsidR="008E0A2E" w:rsidRPr="00050374" w:rsidRDefault="00EB4CC2" w:rsidP="00BA25E2">
      <w:pPr>
        <w:pStyle w:val="TableFigureCaption"/>
      </w:pPr>
      <w:r>
        <w:t>Table B</w:t>
      </w:r>
      <w:r w:rsidR="008E0A2E" w:rsidRPr="00050374">
        <w:t>-3</w:t>
      </w:r>
      <w:r w:rsidR="00552CCD">
        <w:t>:</w:t>
      </w:r>
      <w:r w:rsidR="00D921E2">
        <w:t xml:space="preserve"> </w:t>
      </w:r>
      <w:r w:rsidR="008E0A2E" w:rsidRPr="00050374">
        <w:t>SDG&amp;E</w:t>
      </w:r>
      <w:r w:rsidR="006368F2">
        <w:t xml:space="preserve"> Actual and Proxy Event Days</w:t>
      </w:r>
    </w:p>
    <w:tbl>
      <w:tblPr>
        <w:tblW w:w="870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0"/>
        <w:gridCol w:w="920"/>
        <w:gridCol w:w="920"/>
        <w:gridCol w:w="920"/>
        <w:gridCol w:w="920"/>
        <w:gridCol w:w="920"/>
        <w:gridCol w:w="920"/>
        <w:gridCol w:w="920"/>
        <w:gridCol w:w="920"/>
      </w:tblGrid>
      <w:tr w:rsidR="008E0A2E" w:rsidRPr="00050374" w:rsidTr="00A00B41">
        <w:trPr>
          <w:trHeight w:val="300"/>
          <w:jc w:val="center"/>
        </w:trPr>
        <w:tc>
          <w:tcPr>
            <w:tcW w:w="1340" w:type="dxa"/>
            <w:vMerge w:val="restart"/>
            <w:tcBorders>
              <w:right w:val="single" w:sz="4" w:space="0" w:color="FFFFFF" w:themeColor="background1"/>
            </w:tcBorders>
            <w:shd w:val="clear" w:color="000000" w:fill="1F497D"/>
            <w:noWrap/>
            <w:vAlign w:val="center"/>
            <w:hideMark/>
          </w:tcPr>
          <w:p w:rsidR="008E0A2E" w:rsidRPr="00050374" w:rsidRDefault="008E0A2E" w:rsidP="002B51AB">
            <w:pPr>
              <w:pStyle w:val="TableHeader"/>
              <w:rPr>
                <w:rFonts w:eastAsia="Times New Roman"/>
              </w:rPr>
            </w:pPr>
            <w:r w:rsidRPr="00050374">
              <w:rPr>
                <w:rFonts w:eastAsia="Times New Roman"/>
              </w:rPr>
              <w:t>Number</w:t>
            </w:r>
          </w:p>
        </w:tc>
        <w:tc>
          <w:tcPr>
            <w:tcW w:w="3680" w:type="dxa"/>
            <w:gridSpan w:val="4"/>
            <w:tcBorders>
              <w:left w:val="single" w:sz="4" w:space="0" w:color="FFFFFF" w:themeColor="background1"/>
              <w:bottom w:val="single" w:sz="4" w:space="0" w:color="FFFFFF" w:themeColor="background1"/>
              <w:right w:val="single" w:sz="4" w:space="0" w:color="FFFFFF" w:themeColor="background1"/>
            </w:tcBorders>
            <w:shd w:val="clear" w:color="000000" w:fill="1F497D"/>
            <w:noWrap/>
            <w:vAlign w:val="center"/>
            <w:hideMark/>
          </w:tcPr>
          <w:p w:rsidR="008E0A2E" w:rsidRPr="00050374" w:rsidRDefault="008E0A2E" w:rsidP="002B51AB">
            <w:pPr>
              <w:pStyle w:val="TableHeader"/>
              <w:rPr>
                <w:rFonts w:eastAsia="Times New Roman"/>
              </w:rPr>
            </w:pPr>
            <w:r w:rsidRPr="00050374">
              <w:rPr>
                <w:rFonts w:eastAsia="Times New Roman"/>
              </w:rPr>
              <w:t>Actual</w:t>
            </w:r>
          </w:p>
        </w:tc>
        <w:tc>
          <w:tcPr>
            <w:tcW w:w="3680" w:type="dxa"/>
            <w:gridSpan w:val="4"/>
            <w:tcBorders>
              <w:left w:val="single" w:sz="4" w:space="0" w:color="FFFFFF" w:themeColor="background1"/>
              <w:bottom w:val="single" w:sz="4" w:space="0" w:color="FFFFFF" w:themeColor="background1"/>
            </w:tcBorders>
            <w:shd w:val="clear" w:color="000000" w:fill="1F497D"/>
            <w:noWrap/>
            <w:vAlign w:val="center"/>
            <w:hideMark/>
          </w:tcPr>
          <w:p w:rsidR="008E0A2E" w:rsidRPr="00050374" w:rsidRDefault="008E0A2E" w:rsidP="002B51AB">
            <w:pPr>
              <w:pStyle w:val="TableHeader"/>
              <w:rPr>
                <w:rFonts w:eastAsia="Times New Roman"/>
              </w:rPr>
            </w:pPr>
            <w:r w:rsidRPr="00050374">
              <w:rPr>
                <w:rFonts w:eastAsia="Times New Roman"/>
              </w:rPr>
              <w:t>Proxy</w:t>
            </w:r>
          </w:p>
        </w:tc>
      </w:tr>
      <w:tr w:rsidR="002B1DFB" w:rsidRPr="00050374" w:rsidTr="00A00B41">
        <w:trPr>
          <w:trHeight w:val="525"/>
          <w:jc w:val="center"/>
        </w:trPr>
        <w:tc>
          <w:tcPr>
            <w:tcW w:w="1340" w:type="dxa"/>
            <w:vMerge/>
            <w:tcBorders>
              <w:right w:val="single" w:sz="4" w:space="0" w:color="FFFFFF" w:themeColor="background1"/>
            </w:tcBorders>
            <w:vAlign w:val="center"/>
            <w:hideMark/>
          </w:tcPr>
          <w:p w:rsidR="008E0A2E" w:rsidRPr="00050374" w:rsidRDefault="008E0A2E" w:rsidP="002B51AB">
            <w:pPr>
              <w:pStyle w:val="TableHeader"/>
              <w:rPr>
                <w:rFonts w:eastAsia="Times New Roman"/>
              </w:rPr>
            </w:pP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8E0A2E" w:rsidP="002B51AB">
            <w:pPr>
              <w:pStyle w:val="TableHeader"/>
              <w:rPr>
                <w:rFonts w:eastAsia="Times New Roman"/>
              </w:rPr>
            </w:pPr>
            <w:r w:rsidRPr="00050374">
              <w:rPr>
                <w:rFonts w:eastAsia="Times New Roman"/>
              </w:rPr>
              <w:t>MW Rank</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6368F2" w:rsidP="002B51AB">
            <w:pPr>
              <w:pStyle w:val="TableHeader"/>
              <w:rPr>
                <w:rFonts w:eastAsia="Times New Roman"/>
              </w:rPr>
            </w:pPr>
            <w:r>
              <w:rPr>
                <w:rFonts w:eastAsia="Times New Roman"/>
              </w:rPr>
              <w:t xml:space="preserve">Max </w:t>
            </w:r>
            <w:r w:rsidR="008E0A2E" w:rsidRPr="00050374">
              <w:rPr>
                <w:rFonts w:eastAsia="Times New Roman"/>
              </w:rPr>
              <w:t>MW</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8E0A2E" w:rsidP="002B51AB">
            <w:pPr>
              <w:pStyle w:val="TableHeader"/>
              <w:rPr>
                <w:rFonts w:eastAsia="Times New Roman"/>
              </w:rPr>
            </w:pPr>
            <w:r w:rsidRPr="00050374">
              <w:rPr>
                <w:rFonts w:eastAsia="Times New Roman"/>
              </w:rPr>
              <w:t>Temp. Rank</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6368F2" w:rsidP="002B51AB">
            <w:pPr>
              <w:pStyle w:val="TableHeader"/>
              <w:rPr>
                <w:rFonts w:eastAsia="Times New Roman"/>
              </w:rPr>
            </w:pPr>
            <w:r>
              <w:rPr>
                <w:rFonts w:eastAsia="Times New Roman"/>
              </w:rPr>
              <w:t xml:space="preserve">Max </w:t>
            </w:r>
            <w:r w:rsidR="008E0A2E" w:rsidRPr="00050374">
              <w:rPr>
                <w:rFonts w:eastAsia="Times New Roman"/>
              </w:rPr>
              <w:t>Temp.</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8E0A2E" w:rsidP="002B51AB">
            <w:pPr>
              <w:pStyle w:val="TableHeader"/>
              <w:rPr>
                <w:rFonts w:eastAsia="Times New Roman"/>
              </w:rPr>
            </w:pPr>
            <w:r w:rsidRPr="00050374">
              <w:rPr>
                <w:rFonts w:eastAsia="Times New Roman"/>
              </w:rPr>
              <w:t>MW Rank</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6368F2" w:rsidP="002B51AB">
            <w:pPr>
              <w:pStyle w:val="TableHeader"/>
              <w:rPr>
                <w:rFonts w:eastAsia="Times New Roman"/>
              </w:rPr>
            </w:pPr>
            <w:r>
              <w:rPr>
                <w:rFonts w:eastAsia="Times New Roman"/>
              </w:rPr>
              <w:t xml:space="preserve">Max </w:t>
            </w:r>
            <w:r w:rsidR="008E0A2E" w:rsidRPr="00050374">
              <w:rPr>
                <w:rFonts w:eastAsia="Times New Roman"/>
              </w:rPr>
              <w:t>MW</w:t>
            </w:r>
          </w:p>
        </w:tc>
        <w:tc>
          <w:tcPr>
            <w:tcW w:w="920" w:type="dxa"/>
            <w:tcBorders>
              <w:top w:val="single" w:sz="4" w:space="0" w:color="FFFFFF" w:themeColor="background1"/>
              <w:left w:val="single" w:sz="4" w:space="0" w:color="FFFFFF" w:themeColor="background1"/>
              <w:right w:val="single" w:sz="4" w:space="0" w:color="FFFFFF" w:themeColor="background1"/>
            </w:tcBorders>
            <w:shd w:val="clear" w:color="000000" w:fill="1F497D"/>
            <w:vAlign w:val="center"/>
            <w:hideMark/>
          </w:tcPr>
          <w:p w:rsidR="008E0A2E" w:rsidRPr="00050374" w:rsidRDefault="008E0A2E" w:rsidP="002B51AB">
            <w:pPr>
              <w:pStyle w:val="TableHeader"/>
              <w:rPr>
                <w:rFonts w:eastAsia="Times New Roman"/>
              </w:rPr>
            </w:pPr>
            <w:r w:rsidRPr="00050374">
              <w:rPr>
                <w:rFonts w:eastAsia="Times New Roman"/>
              </w:rPr>
              <w:t>Temp. Rank</w:t>
            </w:r>
          </w:p>
        </w:tc>
        <w:tc>
          <w:tcPr>
            <w:tcW w:w="920" w:type="dxa"/>
            <w:tcBorders>
              <w:top w:val="single" w:sz="4" w:space="0" w:color="FFFFFF" w:themeColor="background1"/>
              <w:left w:val="single" w:sz="4" w:space="0" w:color="FFFFFF" w:themeColor="background1"/>
            </w:tcBorders>
            <w:shd w:val="clear" w:color="000000" w:fill="1F497D"/>
            <w:vAlign w:val="center"/>
            <w:hideMark/>
          </w:tcPr>
          <w:p w:rsidR="008E0A2E" w:rsidRPr="00050374" w:rsidRDefault="006368F2" w:rsidP="002B51AB">
            <w:pPr>
              <w:pStyle w:val="TableHeader"/>
              <w:rPr>
                <w:rFonts w:eastAsia="Times New Roman"/>
              </w:rPr>
            </w:pPr>
            <w:r>
              <w:rPr>
                <w:rFonts w:eastAsia="Times New Roman"/>
              </w:rPr>
              <w:t xml:space="preserve">Max </w:t>
            </w:r>
            <w:r w:rsidR="008E0A2E" w:rsidRPr="00050374">
              <w:rPr>
                <w:rFonts w:eastAsia="Times New Roman"/>
              </w:rPr>
              <w:t>Temp.</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4,372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79.6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4,320</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78.9</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4</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3,865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75.9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3,906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4</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75.8</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3,849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75.2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3,851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14</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72.4</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4</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3,709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8</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74.7</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3,772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74.7</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10</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3,683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74.8</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3,671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71.7</w:t>
            </w:r>
          </w:p>
        </w:tc>
      </w:tr>
      <w:tr w:rsidR="008E0A2E" w:rsidRPr="00050374" w:rsidTr="00A00B41">
        <w:trPr>
          <w:trHeight w:val="300"/>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12</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3,663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10</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73.9</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3,616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72.5</w:t>
            </w:r>
          </w:p>
        </w:tc>
      </w:tr>
      <w:tr w:rsidR="008E0A2E" w:rsidRPr="00050374" w:rsidTr="00A00B41">
        <w:trPr>
          <w:trHeight w:val="315"/>
          <w:jc w:val="center"/>
        </w:trPr>
        <w:tc>
          <w:tcPr>
            <w:tcW w:w="134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45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3,036</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53</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66.5</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14</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3,614</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11</w:t>
            </w:r>
          </w:p>
        </w:tc>
        <w:tc>
          <w:tcPr>
            <w:tcW w:w="920" w:type="dxa"/>
            <w:shd w:val="clear" w:color="auto" w:fill="auto"/>
            <w:noWrap/>
            <w:vAlign w:val="center"/>
            <w:hideMark/>
          </w:tcPr>
          <w:p w:rsidR="008E0A2E" w:rsidRPr="00050374" w:rsidRDefault="008E0A2E" w:rsidP="002B51AB">
            <w:pPr>
              <w:pStyle w:val="TableText"/>
              <w:rPr>
                <w:rFonts w:eastAsia="Times New Roman"/>
              </w:rPr>
            </w:pPr>
            <w:r w:rsidRPr="00050374">
              <w:rPr>
                <w:rFonts w:eastAsia="Times New Roman"/>
              </w:rPr>
              <w:t>73.7</w:t>
            </w:r>
          </w:p>
        </w:tc>
      </w:tr>
      <w:tr w:rsidR="008E0A2E" w:rsidRPr="00050374" w:rsidTr="00A00B41">
        <w:trPr>
          <w:trHeight w:val="315"/>
          <w:jc w:val="center"/>
        </w:trPr>
        <w:tc>
          <w:tcPr>
            <w:tcW w:w="134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Average</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12.4</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3739.6</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12.3</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74.4</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7.9</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3821.4</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9.4</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74.2</w:t>
            </w:r>
          </w:p>
        </w:tc>
      </w:tr>
      <w:tr w:rsidR="008E0A2E" w:rsidRPr="00050374" w:rsidTr="00A00B41">
        <w:trPr>
          <w:trHeight w:val="525"/>
          <w:jc w:val="center"/>
        </w:trPr>
        <w:tc>
          <w:tcPr>
            <w:tcW w:w="1340" w:type="dxa"/>
            <w:shd w:val="clear" w:color="auto" w:fill="auto"/>
            <w:vAlign w:val="center"/>
            <w:hideMark/>
          </w:tcPr>
          <w:p w:rsidR="008E0A2E" w:rsidRPr="00050374" w:rsidRDefault="008E0A2E" w:rsidP="002B51AB">
            <w:pPr>
              <w:pStyle w:val="TableText"/>
              <w:rPr>
                <w:rFonts w:eastAsia="Times New Roman"/>
                <w:b/>
              </w:rPr>
            </w:pPr>
            <w:r w:rsidRPr="00050374">
              <w:rPr>
                <w:rFonts w:eastAsia="Times New Roman"/>
                <w:b/>
              </w:rPr>
              <w:t>Average (no outlier)</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7.0</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3856.8</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5.5</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75.7</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7.9</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3821.4</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9.4</w:t>
            </w:r>
          </w:p>
        </w:tc>
        <w:tc>
          <w:tcPr>
            <w:tcW w:w="920" w:type="dxa"/>
            <w:shd w:val="clear" w:color="auto" w:fill="auto"/>
            <w:noWrap/>
            <w:vAlign w:val="center"/>
            <w:hideMark/>
          </w:tcPr>
          <w:p w:rsidR="008E0A2E" w:rsidRPr="00050374" w:rsidRDefault="008E0A2E" w:rsidP="002B51AB">
            <w:pPr>
              <w:pStyle w:val="TableText"/>
              <w:rPr>
                <w:rFonts w:eastAsia="Times New Roman"/>
                <w:b/>
              </w:rPr>
            </w:pPr>
            <w:r w:rsidRPr="00050374">
              <w:rPr>
                <w:rFonts w:eastAsia="Times New Roman"/>
                <w:b/>
              </w:rPr>
              <w:t>74.2</w:t>
            </w:r>
          </w:p>
        </w:tc>
      </w:tr>
    </w:tbl>
    <w:p w:rsidR="008E0A2E" w:rsidRDefault="008E0A2E" w:rsidP="008E0A2E">
      <w:pPr>
        <w:pStyle w:val="BodyParagraph"/>
      </w:pPr>
    </w:p>
    <w:p w:rsidR="00EB4CC2" w:rsidRDefault="00EB4CC2">
      <w:pPr>
        <w:rPr>
          <w:rFonts w:ascii="Arial" w:hAnsi="Arial"/>
        </w:rPr>
      </w:pPr>
      <w:r>
        <w:rPr>
          <w:rFonts w:ascii="Arial" w:hAnsi="Arial"/>
        </w:rPr>
        <w:br w:type="page"/>
      </w:r>
    </w:p>
    <w:p w:rsidR="00EB4CC2" w:rsidRPr="00400296" w:rsidRDefault="00222FB0" w:rsidP="00EB4CC2">
      <w:pPr>
        <w:pStyle w:val="AppendixHeading"/>
        <w:ind w:left="1890" w:hanging="1890"/>
      </w:pPr>
      <w:bookmarkStart w:id="417" w:name="_Toc326074051"/>
      <w:r>
        <w:lastRenderedPageBreak/>
        <w:t>Validity Assessment -</w:t>
      </w:r>
      <w:r w:rsidRPr="00400296">
        <w:t xml:space="preserve"> Accuracy of </w:t>
      </w:r>
      <w:r>
        <w:t>S</w:t>
      </w:r>
      <w:r w:rsidRPr="00400296">
        <w:t xml:space="preserve">elected </w:t>
      </w:r>
      <w:r>
        <w:t>M</w:t>
      </w:r>
      <w:r w:rsidRPr="00400296">
        <w:t>odel</w:t>
      </w:r>
      <w:bookmarkEnd w:id="417"/>
      <w:r>
        <w:t xml:space="preserve"> </w:t>
      </w:r>
    </w:p>
    <w:p w:rsidR="00EB4CC2" w:rsidRDefault="00EB4CC2" w:rsidP="00EB4CC2">
      <w:pPr>
        <w:pStyle w:val="BodyParagraph"/>
      </w:pPr>
      <w:r>
        <w:t>Table C-1 below presents average hourly performance of the selected model across all hours of proxy event days.  These figures should be interpreted as a measure of model accuracy.</w:t>
      </w:r>
    </w:p>
    <w:p w:rsidR="00031274" w:rsidRDefault="00EB4CC2" w:rsidP="00BA25E2">
      <w:pPr>
        <w:pStyle w:val="TableFigureCaption"/>
      </w:pPr>
      <w:r w:rsidRPr="00050374">
        <w:t xml:space="preserve">Table </w:t>
      </w:r>
      <w:r>
        <w:t>C-1</w:t>
      </w:r>
      <w:r w:rsidRPr="00050374">
        <w:t>:</w:t>
      </w:r>
    </w:p>
    <w:p w:rsidR="00EB4CC2" w:rsidRDefault="00EB4CC2" w:rsidP="00BA25E2">
      <w:pPr>
        <w:pStyle w:val="TableFigureCaption"/>
      </w:pPr>
      <w:r w:rsidRPr="00050374">
        <w:t>Out-of-sample Predictive Accuracy for Proxy Event Days</w:t>
      </w:r>
    </w:p>
    <w:tbl>
      <w:tblPr>
        <w:tblW w:w="9549" w:type="dxa"/>
        <w:tblInd w:w="96" w:type="dxa"/>
        <w:tblLook w:val="04A0"/>
      </w:tblPr>
      <w:tblGrid>
        <w:gridCol w:w="741"/>
        <w:gridCol w:w="981"/>
        <w:gridCol w:w="946"/>
        <w:gridCol w:w="987"/>
        <w:gridCol w:w="955"/>
        <w:gridCol w:w="1037"/>
        <w:gridCol w:w="987"/>
        <w:gridCol w:w="955"/>
        <w:gridCol w:w="973"/>
        <w:gridCol w:w="987"/>
      </w:tblGrid>
      <w:tr w:rsidR="00EB4CC2" w:rsidRPr="00214C40" w:rsidTr="0046328B">
        <w:trPr>
          <w:trHeight w:val="300"/>
        </w:trPr>
        <w:tc>
          <w:tcPr>
            <w:tcW w:w="741" w:type="dxa"/>
            <w:vMerge w:val="restart"/>
            <w:tcBorders>
              <w:top w:val="nil"/>
              <w:left w:val="single" w:sz="4" w:space="0" w:color="auto"/>
              <w:bottom w:val="single" w:sz="4" w:space="0" w:color="000000"/>
              <w:right w:val="single" w:sz="8" w:space="0" w:color="FFFFFF"/>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r w:rsidRPr="00214C40">
              <w:rPr>
                <w:rFonts w:ascii="Arial" w:eastAsia="Times New Roman" w:hAnsi="Arial" w:cs="Arial"/>
                <w:b/>
                <w:bCs/>
                <w:color w:val="FFFFFF"/>
                <w:sz w:val="16"/>
                <w:szCs w:val="16"/>
              </w:rPr>
              <w:t>Hour ending</w:t>
            </w:r>
          </w:p>
        </w:tc>
        <w:tc>
          <w:tcPr>
            <w:tcW w:w="2914" w:type="dxa"/>
            <w:gridSpan w:val="3"/>
            <w:tcBorders>
              <w:top w:val="nil"/>
              <w:left w:val="nil"/>
              <w:bottom w:val="single" w:sz="4" w:space="0" w:color="FFFFFF" w:themeColor="background1"/>
              <w:right w:val="single" w:sz="8" w:space="0" w:color="FFFFFF"/>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r w:rsidRPr="00214C40">
              <w:rPr>
                <w:rFonts w:ascii="Arial" w:eastAsia="Times New Roman" w:hAnsi="Arial" w:cs="Arial"/>
                <w:b/>
                <w:bCs/>
                <w:color w:val="FFFFFF"/>
                <w:sz w:val="16"/>
                <w:szCs w:val="16"/>
              </w:rPr>
              <w:t>PG&amp;E</w:t>
            </w:r>
          </w:p>
        </w:tc>
        <w:tc>
          <w:tcPr>
            <w:tcW w:w="2979" w:type="dxa"/>
            <w:gridSpan w:val="3"/>
            <w:tcBorders>
              <w:top w:val="nil"/>
              <w:left w:val="single" w:sz="8" w:space="0" w:color="FFFFFF"/>
              <w:bottom w:val="single" w:sz="4" w:space="0" w:color="FFFFFF" w:themeColor="background1"/>
              <w:right w:val="single" w:sz="8" w:space="0" w:color="FFFFFF"/>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r w:rsidRPr="00214C40">
              <w:rPr>
                <w:rFonts w:ascii="Arial" w:eastAsia="Times New Roman" w:hAnsi="Arial" w:cs="Arial"/>
                <w:b/>
                <w:bCs/>
                <w:color w:val="FFFFFF"/>
                <w:sz w:val="16"/>
                <w:szCs w:val="16"/>
              </w:rPr>
              <w:t>SCE</w:t>
            </w:r>
          </w:p>
        </w:tc>
        <w:tc>
          <w:tcPr>
            <w:tcW w:w="2915" w:type="dxa"/>
            <w:gridSpan w:val="3"/>
            <w:tcBorders>
              <w:top w:val="nil"/>
              <w:left w:val="single" w:sz="8" w:space="0" w:color="FFFFFF"/>
              <w:bottom w:val="single" w:sz="4" w:space="0" w:color="FFFFFF" w:themeColor="background1"/>
              <w:right w:val="single" w:sz="4" w:space="0" w:color="auto"/>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r w:rsidRPr="00214C40">
              <w:rPr>
                <w:rFonts w:ascii="Arial" w:eastAsia="Times New Roman" w:hAnsi="Arial" w:cs="Arial"/>
                <w:b/>
                <w:bCs/>
                <w:color w:val="FFFFFF"/>
                <w:sz w:val="16"/>
                <w:szCs w:val="16"/>
              </w:rPr>
              <w:t>SDG&amp;E</w:t>
            </w:r>
          </w:p>
        </w:tc>
      </w:tr>
      <w:tr w:rsidR="008F19CC" w:rsidRPr="00214C40" w:rsidTr="0046328B">
        <w:trPr>
          <w:trHeight w:val="504"/>
        </w:trPr>
        <w:tc>
          <w:tcPr>
            <w:tcW w:w="741" w:type="dxa"/>
            <w:vMerge/>
            <w:tcBorders>
              <w:top w:val="nil"/>
              <w:left w:val="single" w:sz="4" w:space="0" w:color="auto"/>
              <w:bottom w:val="single" w:sz="4" w:space="0" w:color="000000"/>
              <w:right w:val="single" w:sz="8" w:space="0" w:color="FFFFFF"/>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p>
        </w:tc>
        <w:tc>
          <w:tcPr>
            <w:tcW w:w="981" w:type="dxa"/>
            <w:tcBorders>
              <w:top w:val="single" w:sz="4" w:space="0" w:color="FFFFFF" w:themeColor="background1"/>
              <w:left w:val="nil"/>
              <w:bottom w:val="nil"/>
              <w:right w:val="single" w:sz="8" w:space="0" w:color="FFFFFF"/>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r w:rsidRPr="00214C40">
              <w:rPr>
                <w:rFonts w:ascii="Arial" w:eastAsia="Times New Roman" w:hAnsi="Arial" w:cs="Arial"/>
                <w:b/>
                <w:bCs/>
                <w:color w:val="FFFFFF"/>
                <w:sz w:val="16"/>
                <w:szCs w:val="16"/>
              </w:rPr>
              <w:t>Observed kW</w:t>
            </w:r>
          </w:p>
        </w:tc>
        <w:tc>
          <w:tcPr>
            <w:tcW w:w="946" w:type="dxa"/>
            <w:tcBorders>
              <w:top w:val="single" w:sz="4" w:space="0" w:color="FFFFFF" w:themeColor="background1"/>
              <w:left w:val="nil"/>
              <w:bottom w:val="nil"/>
              <w:right w:val="single" w:sz="8" w:space="0" w:color="FFFFFF"/>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r w:rsidRPr="00214C40">
              <w:rPr>
                <w:rFonts w:ascii="Arial" w:eastAsia="Times New Roman" w:hAnsi="Arial" w:cs="Arial"/>
                <w:b/>
                <w:bCs/>
                <w:color w:val="FFFFFF"/>
                <w:sz w:val="16"/>
                <w:szCs w:val="16"/>
              </w:rPr>
              <w:t>Predicted kW</w:t>
            </w:r>
          </w:p>
        </w:tc>
        <w:tc>
          <w:tcPr>
            <w:tcW w:w="987" w:type="dxa"/>
            <w:tcBorders>
              <w:top w:val="single" w:sz="4" w:space="0" w:color="FFFFFF" w:themeColor="background1"/>
              <w:left w:val="nil"/>
              <w:bottom w:val="nil"/>
              <w:right w:val="single" w:sz="8" w:space="0" w:color="FFFFFF"/>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r w:rsidRPr="00214C40">
              <w:rPr>
                <w:rFonts w:ascii="Arial" w:eastAsia="Times New Roman" w:hAnsi="Arial" w:cs="Arial"/>
                <w:b/>
                <w:bCs/>
                <w:color w:val="FFFFFF"/>
                <w:sz w:val="16"/>
                <w:szCs w:val="16"/>
              </w:rPr>
              <w:t>Absolute Error (%)</w:t>
            </w:r>
          </w:p>
        </w:tc>
        <w:tc>
          <w:tcPr>
            <w:tcW w:w="955" w:type="dxa"/>
            <w:tcBorders>
              <w:top w:val="single" w:sz="4" w:space="0" w:color="FFFFFF" w:themeColor="background1"/>
              <w:left w:val="nil"/>
              <w:bottom w:val="nil"/>
              <w:right w:val="single" w:sz="8" w:space="0" w:color="FFFFFF"/>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r w:rsidRPr="00214C40">
              <w:rPr>
                <w:rFonts w:ascii="Arial" w:eastAsia="Times New Roman" w:hAnsi="Arial" w:cs="Arial"/>
                <w:b/>
                <w:bCs/>
                <w:color w:val="FFFFFF"/>
                <w:sz w:val="16"/>
                <w:szCs w:val="16"/>
              </w:rPr>
              <w:t>Observed kW</w:t>
            </w:r>
          </w:p>
        </w:tc>
        <w:tc>
          <w:tcPr>
            <w:tcW w:w="1037" w:type="dxa"/>
            <w:tcBorders>
              <w:top w:val="single" w:sz="4" w:space="0" w:color="FFFFFF" w:themeColor="background1"/>
              <w:left w:val="nil"/>
              <w:bottom w:val="nil"/>
              <w:right w:val="single" w:sz="8" w:space="0" w:color="FFFFFF"/>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r w:rsidRPr="00214C40">
              <w:rPr>
                <w:rFonts w:ascii="Arial" w:eastAsia="Times New Roman" w:hAnsi="Arial" w:cs="Arial"/>
                <w:b/>
                <w:bCs/>
                <w:color w:val="FFFFFF"/>
                <w:sz w:val="16"/>
                <w:szCs w:val="16"/>
              </w:rPr>
              <w:t>Predicted kW</w:t>
            </w:r>
          </w:p>
        </w:tc>
        <w:tc>
          <w:tcPr>
            <w:tcW w:w="987" w:type="dxa"/>
            <w:tcBorders>
              <w:top w:val="single" w:sz="4" w:space="0" w:color="FFFFFF" w:themeColor="background1"/>
              <w:left w:val="nil"/>
              <w:bottom w:val="nil"/>
              <w:right w:val="single" w:sz="8" w:space="0" w:color="FFFFFF"/>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r w:rsidRPr="00214C40">
              <w:rPr>
                <w:rFonts w:ascii="Arial" w:eastAsia="Times New Roman" w:hAnsi="Arial" w:cs="Arial"/>
                <w:b/>
                <w:bCs/>
                <w:color w:val="FFFFFF"/>
                <w:sz w:val="16"/>
                <w:szCs w:val="16"/>
              </w:rPr>
              <w:t>Absolute Error (%)</w:t>
            </w:r>
          </w:p>
        </w:tc>
        <w:tc>
          <w:tcPr>
            <w:tcW w:w="955" w:type="dxa"/>
            <w:tcBorders>
              <w:top w:val="single" w:sz="4" w:space="0" w:color="FFFFFF" w:themeColor="background1"/>
              <w:left w:val="nil"/>
              <w:bottom w:val="nil"/>
              <w:right w:val="single" w:sz="8" w:space="0" w:color="FFFFFF"/>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r w:rsidRPr="00214C40">
              <w:rPr>
                <w:rFonts w:ascii="Arial" w:eastAsia="Times New Roman" w:hAnsi="Arial" w:cs="Arial"/>
                <w:b/>
                <w:bCs/>
                <w:color w:val="FFFFFF"/>
                <w:sz w:val="16"/>
                <w:szCs w:val="16"/>
              </w:rPr>
              <w:t>Observed kW</w:t>
            </w:r>
          </w:p>
        </w:tc>
        <w:tc>
          <w:tcPr>
            <w:tcW w:w="973" w:type="dxa"/>
            <w:tcBorders>
              <w:top w:val="single" w:sz="4" w:space="0" w:color="FFFFFF" w:themeColor="background1"/>
              <w:left w:val="nil"/>
              <w:bottom w:val="nil"/>
              <w:right w:val="single" w:sz="8" w:space="0" w:color="FFFFFF"/>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r w:rsidRPr="00214C40">
              <w:rPr>
                <w:rFonts w:ascii="Arial" w:eastAsia="Times New Roman" w:hAnsi="Arial" w:cs="Arial"/>
                <w:b/>
                <w:bCs/>
                <w:color w:val="FFFFFF"/>
                <w:sz w:val="16"/>
                <w:szCs w:val="16"/>
              </w:rPr>
              <w:t>Predicted kW</w:t>
            </w:r>
          </w:p>
        </w:tc>
        <w:tc>
          <w:tcPr>
            <w:tcW w:w="987" w:type="dxa"/>
            <w:tcBorders>
              <w:top w:val="single" w:sz="4" w:space="0" w:color="FFFFFF" w:themeColor="background1"/>
              <w:left w:val="nil"/>
              <w:bottom w:val="nil"/>
              <w:right w:val="single" w:sz="4" w:space="0" w:color="auto"/>
            </w:tcBorders>
            <w:shd w:val="clear" w:color="auto" w:fill="1F497D" w:themeFill="text2"/>
            <w:vAlign w:val="center"/>
            <w:hideMark/>
          </w:tcPr>
          <w:p w:rsidR="00EB4CC2" w:rsidRPr="00214C40" w:rsidRDefault="00EB4CC2" w:rsidP="0046328B">
            <w:pPr>
              <w:spacing w:after="0" w:line="240" w:lineRule="auto"/>
              <w:jc w:val="center"/>
              <w:rPr>
                <w:rFonts w:ascii="Arial" w:eastAsia="Times New Roman" w:hAnsi="Arial" w:cs="Arial"/>
                <w:b/>
                <w:bCs/>
                <w:color w:val="FFFFFF"/>
                <w:sz w:val="16"/>
                <w:szCs w:val="16"/>
              </w:rPr>
            </w:pPr>
            <w:r w:rsidRPr="00214C40">
              <w:rPr>
                <w:rFonts w:ascii="Arial" w:eastAsia="Times New Roman" w:hAnsi="Arial" w:cs="Arial"/>
                <w:b/>
                <w:bCs/>
                <w:color w:val="FFFFFF"/>
                <w:sz w:val="16"/>
                <w:szCs w:val="16"/>
              </w:rPr>
              <w:t>Absolute Error (%)</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w:t>
            </w:r>
          </w:p>
        </w:tc>
        <w:tc>
          <w:tcPr>
            <w:tcW w:w="98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283.7</w:t>
            </w:r>
          </w:p>
        </w:tc>
        <w:tc>
          <w:tcPr>
            <w:tcW w:w="946" w:type="dxa"/>
            <w:tcBorders>
              <w:top w:val="single" w:sz="8" w:space="0" w:color="auto"/>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284.6</w:t>
            </w:r>
          </w:p>
        </w:tc>
        <w:tc>
          <w:tcPr>
            <w:tcW w:w="987" w:type="dxa"/>
            <w:tcBorders>
              <w:top w:val="single" w:sz="8" w:space="0" w:color="auto"/>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0.32%</w:t>
            </w:r>
          </w:p>
        </w:tc>
        <w:tc>
          <w:tcPr>
            <w:tcW w:w="9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210.4</w:t>
            </w:r>
          </w:p>
        </w:tc>
        <w:tc>
          <w:tcPr>
            <w:tcW w:w="1037" w:type="dxa"/>
            <w:tcBorders>
              <w:top w:val="single" w:sz="8" w:space="0" w:color="auto"/>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209.7</w:t>
            </w:r>
          </w:p>
        </w:tc>
        <w:tc>
          <w:tcPr>
            <w:tcW w:w="987" w:type="dxa"/>
            <w:tcBorders>
              <w:top w:val="single" w:sz="8" w:space="0" w:color="auto"/>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0.33%</w:t>
            </w:r>
          </w:p>
        </w:tc>
        <w:tc>
          <w:tcPr>
            <w:tcW w:w="95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147.5</w:t>
            </w:r>
          </w:p>
        </w:tc>
        <w:tc>
          <w:tcPr>
            <w:tcW w:w="973" w:type="dxa"/>
            <w:tcBorders>
              <w:top w:val="single" w:sz="8" w:space="0" w:color="auto"/>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146.9</w:t>
            </w:r>
          </w:p>
        </w:tc>
        <w:tc>
          <w:tcPr>
            <w:tcW w:w="987" w:type="dxa"/>
            <w:tcBorders>
              <w:top w:val="single" w:sz="8" w:space="0" w:color="auto"/>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0.41%</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278.8</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279.7</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0.32%</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200.1</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200.9</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0.40%</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142.4</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143.5</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0.77%</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274.7</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275.9</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0.43%</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197.4</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197.9</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0.25%</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139.8</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140.9</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0.78%</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4</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273.9</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275.0</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0.40%</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197.7</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197.9</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0.10%</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139.6</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140.7</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0.78%</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5</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279.4</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280.3</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0.32%</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204.6</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204.5</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0.05%</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146.4</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147.7</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0.88%</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6</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295.2</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295.6</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0.14%</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214.3</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214.7</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0.19%</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159.5</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159.9</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0.25%</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7</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320.0</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320.0</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0.00%</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233.3</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234.2</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0.38%</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179.9</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181.1</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0.66%</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8</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340.1</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340.0</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0.03%</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244.8</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244.3</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0.20%</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195.0</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193.9</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0.57%</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9</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358.8</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359.8</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0.28%</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257.8</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257.0</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0.31%</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216.1</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215.1</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0.46%</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10</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372.8</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374.5</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0.45%</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269.7</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268.1</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0.60%</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233.1</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231.0</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0.91%</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11</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388.7</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389.7</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0.26%</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280.7</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278.5</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0.79%</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246.6</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240.8</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2.41%</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12</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396.8</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397.4</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0.15%</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284.2</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281.7</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0.89%</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245.0</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237.5</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3.16%</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13</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399.3</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399.1</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0.05%</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285.1</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283.2</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0.67%</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245.1</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240.7</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1.83%</w:t>
            </w:r>
          </w:p>
        </w:tc>
      </w:tr>
      <w:tr w:rsidR="00F27FE4" w:rsidRPr="00214C40" w:rsidTr="0046328B">
        <w:trPr>
          <w:trHeight w:val="288"/>
        </w:trPr>
        <w:tc>
          <w:tcPr>
            <w:tcW w:w="741" w:type="dxa"/>
            <w:tcBorders>
              <w:top w:val="nil"/>
              <w:left w:val="single" w:sz="4" w:space="0" w:color="auto"/>
              <w:bottom w:val="single" w:sz="4" w:space="0" w:color="auto"/>
              <w:right w:val="nil"/>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14</w:t>
            </w:r>
          </w:p>
        </w:tc>
        <w:tc>
          <w:tcPr>
            <w:tcW w:w="981"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405.7</w:t>
            </w:r>
          </w:p>
        </w:tc>
        <w:tc>
          <w:tcPr>
            <w:tcW w:w="946"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405.3</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0.10%</w:t>
            </w:r>
          </w:p>
        </w:tc>
        <w:tc>
          <w:tcPr>
            <w:tcW w:w="955"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287.9</w:t>
            </w:r>
          </w:p>
        </w:tc>
        <w:tc>
          <w:tcPr>
            <w:tcW w:w="1037"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286.4</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0.52%</w:t>
            </w:r>
          </w:p>
        </w:tc>
        <w:tc>
          <w:tcPr>
            <w:tcW w:w="955"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247.9</w:t>
            </w:r>
          </w:p>
        </w:tc>
        <w:tc>
          <w:tcPr>
            <w:tcW w:w="973"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243.3</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1.89%</w:t>
            </w:r>
          </w:p>
        </w:tc>
      </w:tr>
      <w:tr w:rsidR="00F27FE4" w:rsidRPr="00214C40" w:rsidTr="0046328B">
        <w:trPr>
          <w:trHeight w:val="288"/>
        </w:trPr>
        <w:tc>
          <w:tcPr>
            <w:tcW w:w="741" w:type="dxa"/>
            <w:tcBorders>
              <w:top w:val="nil"/>
              <w:left w:val="single" w:sz="4" w:space="0" w:color="auto"/>
              <w:bottom w:val="single" w:sz="4" w:space="0" w:color="auto"/>
              <w:right w:val="nil"/>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15</w:t>
            </w:r>
          </w:p>
        </w:tc>
        <w:tc>
          <w:tcPr>
            <w:tcW w:w="981"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406.7</w:t>
            </w:r>
          </w:p>
        </w:tc>
        <w:tc>
          <w:tcPr>
            <w:tcW w:w="946"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406.7</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0.00%</w:t>
            </w:r>
          </w:p>
        </w:tc>
        <w:tc>
          <w:tcPr>
            <w:tcW w:w="955"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289.0</w:t>
            </w:r>
          </w:p>
        </w:tc>
        <w:tc>
          <w:tcPr>
            <w:tcW w:w="1037"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287.0</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0.70%</w:t>
            </w:r>
          </w:p>
        </w:tc>
        <w:tc>
          <w:tcPr>
            <w:tcW w:w="955"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245.5</w:t>
            </w:r>
          </w:p>
        </w:tc>
        <w:tc>
          <w:tcPr>
            <w:tcW w:w="973"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241.2</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1.78%</w:t>
            </w:r>
          </w:p>
        </w:tc>
      </w:tr>
      <w:tr w:rsidR="00F27FE4" w:rsidRPr="00214C40" w:rsidTr="0046328B">
        <w:trPr>
          <w:trHeight w:val="288"/>
        </w:trPr>
        <w:tc>
          <w:tcPr>
            <w:tcW w:w="741" w:type="dxa"/>
            <w:tcBorders>
              <w:top w:val="nil"/>
              <w:left w:val="single" w:sz="4" w:space="0" w:color="auto"/>
              <w:bottom w:val="single" w:sz="4" w:space="0" w:color="auto"/>
              <w:right w:val="nil"/>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16</w:t>
            </w:r>
          </w:p>
        </w:tc>
        <w:tc>
          <w:tcPr>
            <w:tcW w:w="981"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401.4</w:t>
            </w:r>
          </w:p>
        </w:tc>
        <w:tc>
          <w:tcPr>
            <w:tcW w:w="946"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401.5</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0.02%</w:t>
            </w:r>
          </w:p>
        </w:tc>
        <w:tc>
          <w:tcPr>
            <w:tcW w:w="955"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288.5</w:t>
            </w:r>
          </w:p>
        </w:tc>
        <w:tc>
          <w:tcPr>
            <w:tcW w:w="1037"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287.3</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0.42%</w:t>
            </w:r>
          </w:p>
        </w:tc>
        <w:tc>
          <w:tcPr>
            <w:tcW w:w="955"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241.9</w:t>
            </w:r>
          </w:p>
        </w:tc>
        <w:tc>
          <w:tcPr>
            <w:tcW w:w="973"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238.9</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1.26%</w:t>
            </w:r>
          </w:p>
        </w:tc>
      </w:tr>
      <w:tr w:rsidR="00F27FE4" w:rsidRPr="00214C40" w:rsidTr="0046328B">
        <w:trPr>
          <w:trHeight w:val="288"/>
        </w:trPr>
        <w:tc>
          <w:tcPr>
            <w:tcW w:w="741" w:type="dxa"/>
            <w:tcBorders>
              <w:top w:val="nil"/>
              <w:left w:val="single" w:sz="4" w:space="0" w:color="auto"/>
              <w:bottom w:val="single" w:sz="4" w:space="0" w:color="auto"/>
              <w:right w:val="nil"/>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17</w:t>
            </w:r>
          </w:p>
        </w:tc>
        <w:tc>
          <w:tcPr>
            <w:tcW w:w="981"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393.3</w:t>
            </w:r>
          </w:p>
        </w:tc>
        <w:tc>
          <w:tcPr>
            <w:tcW w:w="946"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393.1</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0.05%</w:t>
            </w:r>
          </w:p>
        </w:tc>
        <w:tc>
          <w:tcPr>
            <w:tcW w:w="955"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286.1</w:t>
            </w:r>
          </w:p>
        </w:tc>
        <w:tc>
          <w:tcPr>
            <w:tcW w:w="1037"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284.8</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0.46%</w:t>
            </w:r>
          </w:p>
        </w:tc>
        <w:tc>
          <w:tcPr>
            <w:tcW w:w="955"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236.3</w:t>
            </w:r>
          </w:p>
        </w:tc>
        <w:tc>
          <w:tcPr>
            <w:tcW w:w="973"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236.6</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0.13%</w:t>
            </w:r>
          </w:p>
        </w:tc>
      </w:tr>
      <w:tr w:rsidR="00F27FE4" w:rsidRPr="00214C40" w:rsidTr="0046328B">
        <w:trPr>
          <w:trHeight w:val="288"/>
        </w:trPr>
        <w:tc>
          <w:tcPr>
            <w:tcW w:w="741" w:type="dxa"/>
            <w:tcBorders>
              <w:top w:val="nil"/>
              <w:left w:val="single" w:sz="4" w:space="0" w:color="auto"/>
              <w:bottom w:val="single" w:sz="4" w:space="0" w:color="auto"/>
              <w:right w:val="nil"/>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18</w:t>
            </w:r>
          </w:p>
        </w:tc>
        <w:tc>
          <w:tcPr>
            <w:tcW w:w="981"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381.6</w:t>
            </w:r>
          </w:p>
        </w:tc>
        <w:tc>
          <w:tcPr>
            <w:tcW w:w="946"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381.2</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0.10%</w:t>
            </w:r>
          </w:p>
        </w:tc>
        <w:tc>
          <w:tcPr>
            <w:tcW w:w="955"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283.5</w:t>
            </w:r>
          </w:p>
        </w:tc>
        <w:tc>
          <w:tcPr>
            <w:tcW w:w="1037"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282.3</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0.43%</w:t>
            </w:r>
          </w:p>
        </w:tc>
        <w:tc>
          <w:tcPr>
            <w:tcW w:w="955" w:type="dxa"/>
            <w:tcBorders>
              <w:top w:val="nil"/>
              <w:left w:val="single" w:sz="8" w:space="0" w:color="auto"/>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231.0</w:t>
            </w:r>
          </w:p>
        </w:tc>
        <w:tc>
          <w:tcPr>
            <w:tcW w:w="973" w:type="dxa"/>
            <w:tcBorders>
              <w:top w:val="nil"/>
              <w:left w:val="nil"/>
              <w:bottom w:val="single" w:sz="4"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230.7</w:t>
            </w:r>
          </w:p>
        </w:tc>
        <w:tc>
          <w:tcPr>
            <w:tcW w:w="987" w:type="dxa"/>
            <w:tcBorders>
              <w:top w:val="nil"/>
              <w:left w:val="nil"/>
              <w:bottom w:val="single" w:sz="4"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0.13%</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19</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363.7</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363.9</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0.05%</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280.7</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280.2</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0.18%</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218.3</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215.3</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1.39%</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20</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358.3</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357.9</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0.11%</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279.8</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279.6</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0.07%</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211.4</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208.6</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1.34%</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21</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349.8</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349.9</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0.03%</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277.4</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277.3</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0.04%</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203.1</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202.3</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0.40%</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22</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335.9</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336.9</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0.30%</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260.7</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260.2</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0.19%</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184.4</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185.3</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0.49%</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316.1</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317.8</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0.53%</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236.1</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235.2</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0.38%</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169.1</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167.5</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0.96%</w:t>
            </w:r>
          </w:p>
        </w:tc>
      </w:tr>
      <w:tr w:rsidR="00EB4CC2" w:rsidRPr="00214C40" w:rsidTr="0046328B">
        <w:trPr>
          <w:trHeight w:val="288"/>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300.9</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302.0</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0.36%</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212.5</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212.3</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0.09%</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158.5</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156.5</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1.28%</w:t>
            </w:r>
          </w:p>
        </w:tc>
      </w:tr>
      <w:tr w:rsidR="00EB4CC2" w:rsidRPr="00214C40" w:rsidTr="0046328B">
        <w:trPr>
          <w:trHeight w:val="432"/>
        </w:trPr>
        <w:tc>
          <w:tcPr>
            <w:tcW w:w="741" w:type="dxa"/>
            <w:tcBorders>
              <w:top w:val="nil"/>
              <w:left w:val="single" w:sz="4" w:space="0" w:color="auto"/>
              <w:bottom w:val="single" w:sz="4" w:space="0" w:color="auto"/>
              <w:right w:val="nil"/>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All hours</w:t>
            </w:r>
          </w:p>
        </w:tc>
        <w:tc>
          <w:tcPr>
            <w:tcW w:w="981"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344.8</w:t>
            </w:r>
          </w:p>
        </w:tc>
        <w:tc>
          <w:tcPr>
            <w:tcW w:w="946"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345.3</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0.20%</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252.6</w:t>
            </w:r>
          </w:p>
        </w:tc>
        <w:tc>
          <w:tcPr>
            <w:tcW w:w="1037"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251.9</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0.36%</w:t>
            </w:r>
          </w:p>
        </w:tc>
        <w:tc>
          <w:tcPr>
            <w:tcW w:w="955" w:type="dxa"/>
            <w:tcBorders>
              <w:top w:val="nil"/>
              <w:left w:val="single" w:sz="8" w:space="0" w:color="auto"/>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199.3</w:t>
            </w:r>
          </w:p>
        </w:tc>
        <w:tc>
          <w:tcPr>
            <w:tcW w:w="973" w:type="dxa"/>
            <w:tcBorders>
              <w:top w:val="nil"/>
              <w:left w:val="nil"/>
              <w:bottom w:val="single" w:sz="4" w:space="0" w:color="auto"/>
              <w:right w:val="single" w:sz="4"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197.7</w:t>
            </w:r>
          </w:p>
        </w:tc>
        <w:tc>
          <w:tcPr>
            <w:tcW w:w="987" w:type="dxa"/>
            <w:tcBorders>
              <w:top w:val="nil"/>
              <w:left w:val="nil"/>
              <w:bottom w:val="single" w:sz="4" w:space="0" w:color="auto"/>
              <w:right w:val="single" w:sz="8" w:space="0" w:color="auto"/>
            </w:tcBorders>
            <w:shd w:val="clear" w:color="auto" w:fill="auto"/>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1.04%</w:t>
            </w:r>
          </w:p>
        </w:tc>
      </w:tr>
      <w:tr w:rsidR="00F27FE4" w:rsidRPr="00214C40" w:rsidTr="0046328B">
        <w:trPr>
          <w:trHeight w:val="468"/>
        </w:trPr>
        <w:tc>
          <w:tcPr>
            <w:tcW w:w="741" w:type="dxa"/>
            <w:tcBorders>
              <w:top w:val="nil"/>
              <w:left w:val="single" w:sz="4" w:space="0" w:color="auto"/>
              <w:bottom w:val="single" w:sz="4" w:space="0" w:color="auto"/>
              <w:right w:val="nil"/>
            </w:tcBorders>
            <w:shd w:val="clear" w:color="000000" w:fill="EAF1DD"/>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Event Hours 1 - 6 PM</w:t>
            </w:r>
          </w:p>
        </w:tc>
        <w:tc>
          <w:tcPr>
            <w:tcW w:w="981" w:type="dxa"/>
            <w:tcBorders>
              <w:top w:val="nil"/>
              <w:left w:val="single" w:sz="8" w:space="0" w:color="auto"/>
              <w:bottom w:val="single" w:sz="8"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397.7</w:t>
            </w:r>
          </w:p>
        </w:tc>
        <w:tc>
          <w:tcPr>
            <w:tcW w:w="946" w:type="dxa"/>
            <w:tcBorders>
              <w:top w:val="nil"/>
              <w:left w:val="nil"/>
              <w:bottom w:val="single" w:sz="8"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397.6</w:t>
            </w:r>
          </w:p>
        </w:tc>
        <w:tc>
          <w:tcPr>
            <w:tcW w:w="987" w:type="dxa"/>
            <w:tcBorders>
              <w:top w:val="nil"/>
              <w:left w:val="nil"/>
              <w:bottom w:val="single" w:sz="8"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0.03%</w:t>
            </w:r>
          </w:p>
        </w:tc>
        <w:tc>
          <w:tcPr>
            <w:tcW w:w="955" w:type="dxa"/>
            <w:tcBorders>
              <w:top w:val="nil"/>
              <w:left w:val="single" w:sz="8" w:space="0" w:color="auto"/>
              <w:bottom w:val="single" w:sz="8"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287.0</w:t>
            </w:r>
          </w:p>
        </w:tc>
        <w:tc>
          <w:tcPr>
            <w:tcW w:w="1037" w:type="dxa"/>
            <w:tcBorders>
              <w:top w:val="nil"/>
              <w:left w:val="nil"/>
              <w:bottom w:val="single" w:sz="8"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285.6</w:t>
            </w:r>
          </w:p>
        </w:tc>
        <w:tc>
          <w:tcPr>
            <w:tcW w:w="987" w:type="dxa"/>
            <w:tcBorders>
              <w:top w:val="nil"/>
              <w:left w:val="nil"/>
              <w:bottom w:val="single" w:sz="8"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0.49%</w:t>
            </w:r>
          </w:p>
        </w:tc>
        <w:tc>
          <w:tcPr>
            <w:tcW w:w="955" w:type="dxa"/>
            <w:tcBorders>
              <w:top w:val="nil"/>
              <w:left w:val="single" w:sz="8" w:space="0" w:color="auto"/>
              <w:bottom w:val="single" w:sz="8"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238.2</w:t>
            </w:r>
          </w:p>
        </w:tc>
        <w:tc>
          <w:tcPr>
            <w:tcW w:w="973" w:type="dxa"/>
            <w:tcBorders>
              <w:top w:val="nil"/>
              <w:left w:val="nil"/>
              <w:bottom w:val="single" w:sz="8" w:space="0" w:color="auto"/>
              <w:right w:val="single" w:sz="4"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240.5</w:t>
            </w:r>
          </w:p>
        </w:tc>
        <w:tc>
          <w:tcPr>
            <w:tcW w:w="987" w:type="dxa"/>
            <w:tcBorders>
              <w:top w:val="nil"/>
              <w:left w:val="nil"/>
              <w:bottom w:val="single" w:sz="8" w:space="0" w:color="auto"/>
              <w:right w:val="single" w:sz="8" w:space="0" w:color="auto"/>
            </w:tcBorders>
            <w:shd w:val="clear" w:color="000000" w:fill="EAF1DD"/>
            <w:noWrap/>
            <w:vAlign w:val="center"/>
            <w:hideMark/>
          </w:tcPr>
          <w:p w:rsidR="00EB4CC2" w:rsidRPr="00214C40" w:rsidRDefault="00EB4CC2" w:rsidP="0046328B">
            <w:pPr>
              <w:spacing w:after="0" w:line="240" w:lineRule="auto"/>
              <w:jc w:val="center"/>
              <w:rPr>
                <w:rFonts w:ascii="Arial" w:eastAsia="Times New Roman" w:hAnsi="Arial" w:cs="Arial"/>
                <w:color w:val="000000"/>
                <w:sz w:val="16"/>
                <w:szCs w:val="16"/>
              </w:rPr>
            </w:pPr>
            <w:r w:rsidRPr="00214C40">
              <w:rPr>
                <w:rFonts w:ascii="Arial" w:eastAsia="Times New Roman" w:hAnsi="Arial" w:cs="Arial"/>
                <w:color w:val="000000"/>
                <w:sz w:val="16"/>
                <w:szCs w:val="16"/>
              </w:rPr>
              <w:t>0.96%</w:t>
            </w:r>
          </w:p>
        </w:tc>
      </w:tr>
    </w:tbl>
    <w:p w:rsidR="00031274" w:rsidRDefault="00031274" w:rsidP="00EB4CC2">
      <w:pPr>
        <w:pStyle w:val="BodyParaAfterTableFigure"/>
      </w:pPr>
    </w:p>
    <w:p w:rsidR="00031274" w:rsidRDefault="00031274" w:rsidP="00031274">
      <w:pPr>
        <w:pStyle w:val="BodyParagraph"/>
      </w:pPr>
      <w:r>
        <w:br w:type="page"/>
      </w:r>
    </w:p>
    <w:p w:rsidR="00EB4CC2" w:rsidRDefault="00EB4CC2" w:rsidP="00EB4CC2">
      <w:pPr>
        <w:pStyle w:val="BodyParaAfterTableFigure"/>
      </w:pPr>
      <w:r>
        <w:lastRenderedPageBreak/>
        <w:t>Figure C-1 below presents results of the false experiment, comparing predictions on non-event days against predictions on the “false event” proxy days.  These figures should be interpreted as a measure of model bias.</w:t>
      </w:r>
    </w:p>
    <w:p w:rsidR="00031274" w:rsidRDefault="00EB4CC2" w:rsidP="00BA25E2">
      <w:pPr>
        <w:pStyle w:val="TableFigureCaption"/>
      </w:pPr>
      <w:r>
        <w:t>Figure C-1</w:t>
      </w:r>
      <w:r w:rsidRPr="00050374">
        <w:t>:</w:t>
      </w:r>
    </w:p>
    <w:p w:rsidR="00EB4CC2" w:rsidRPr="00E918F1" w:rsidRDefault="00EB4CC2" w:rsidP="00BA25E2">
      <w:pPr>
        <w:pStyle w:val="TableFigureCaption"/>
      </w:pPr>
      <w:r>
        <w:t>False Experiment Results</w:t>
      </w:r>
      <w:r w:rsidRPr="00050374">
        <w:t xml:space="preserve"> for </w:t>
      </w:r>
      <w:r>
        <w:t>Weather Specification</w:t>
      </w:r>
      <w:r>
        <w:rPr>
          <w:noProof/>
        </w:rPr>
        <w:t xml:space="preserve"> </w:t>
      </w:r>
      <w:r w:rsidR="005310C6">
        <w:rPr>
          <w:noProof/>
        </w:rPr>
        <w:drawing>
          <wp:inline distT="0" distB="0" distL="0" distR="0">
            <wp:extent cx="5934075" cy="4229100"/>
            <wp:effectExtent l="19050" t="0" r="9525" b="0"/>
            <wp:docPr id="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srcRect/>
                    <a:stretch>
                      <a:fillRect/>
                    </a:stretch>
                  </pic:blipFill>
                  <pic:spPr bwMode="auto">
                    <a:xfrm>
                      <a:off x="0" y="0"/>
                      <a:ext cx="5934075" cy="4229100"/>
                    </a:xfrm>
                    <a:prstGeom prst="rect">
                      <a:avLst/>
                    </a:prstGeom>
                    <a:noFill/>
                    <a:ln w="9525">
                      <a:noFill/>
                      <a:miter lim="800000"/>
                      <a:headEnd/>
                      <a:tailEnd/>
                    </a:ln>
                  </pic:spPr>
                </pic:pic>
              </a:graphicData>
            </a:graphic>
          </wp:inline>
        </w:drawing>
      </w:r>
    </w:p>
    <w:p w:rsidR="00EB4CC2" w:rsidRDefault="00A255D8" w:rsidP="00EB4CC2">
      <w:r>
        <w:br/>
      </w:r>
    </w:p>
    <w:p w:rsidR="00A255D8" w:rsidRDefault="00A255D8">
      <w:pPr>
        <w:rPr>
          <w:rFonts w:ascii="Arial" w:hAnsi="Arial"/>
        </w:rPr>
      </w:pPr>
      <w:r>
        <w:rPr>
          <w:rFonts w:ascii="Arial" w:hAnsi="Arial"/>
        </w:rPr>
        <w:br w:type="page"/>
      </w:r>
    </w:p>
    <w:p w:rsidR="00A255D8" w:rsidRDefault="00A255D8" w:rsidP="00A255D8">
      <w:pPr>
        <w:pStyle w:val="AppendixHeading"/>
        <w:ind w:left="360"/>
      </w:pPr>
      <w:bookmarkStart w:id="418" w:name="_Ref326061675"/>
      <w:bookmarkStart w:id="419" w:name="_Toc326074052"/>
      <w:r>
        <w:lastRenderedPageBreak/>
        <w:t>Enrollments and Nominations</w:t>
      </w:r>
      <w:bookmarkEnd w:id="418"/>
      <w:bookmarkEnd w:id="419"/>
    </w:p>
    <w:p w:rsidR="005A72FE" w:rsidRDefault="000600A8" w:rsidP="00A255D8">
      <w:pPr>
        <w:pStyle w:val="BodyParagraph"/>
      </w:pPr>
      <w:r>
        <w:t>The findings in this report center on the data associated with customers nominated for load reductions as part of CBP, AMP, and DRRC.  However, the number of nominated customers at any given time will not necessarily match the number of customers enrolled in a particular program, as listed in the Interruptible Load and Demand Response Programs (ILP) reports filed monthly by each utility.  This is because program enrollment alone does not make customers responsible for load reductions.  Each aggregator nominates enrolled customers to be responsible for load reductions if necessary in the coming month</w:t>
      </w:r>
      <w:r w:rsidR="005A72FE">
        <w:t>;</w:t>
      </w:r>
      <w:r>
        <w:t xml:space="preserve"> </w:t>
      </w:r>
      <w:r w:rsidR="005A72FE">
        <w:t>an</w:t>
      </w:r>
      <w:r>
        <w:t xml:space="preserve"> aggregator may choose only to nominate a subsection of enrollees, or a number of enrolled customers may not be able or willing to accept nomination in the coming month.</w:t>
      </w:r>
      <w:r w:rsidR="005A72FE">
        <w:t xml:space="preserve">  Enrollment numbers, therefore, are less accurate than nomination numbers when forecasting DR resources from aggregator programs.</w:t>
      </w:r>
    </w:p>
    <w:p w:rsidR="00031274" w:rsidRDefault="00031274" w:rsidP="00A255D8">
      <w:pPr>
        <w:pStyle w:val="BodyParagraph"/>
      </w:pPr>
      <w:r>
        <w:t>Table D-1 below presents the proportion of program enrollees nominated in a given month for each program and utility.  These figures represent the average proportions of enrollees nominated in the months May through October for 2010 and 2011.</w:t>
      </w:r>
    </w:p>
    <w:p w:rsidR="00031274" w:rsidRDefault="00031274" w:rsidP="00031274">
      <w:pPr>
        <w:pStyle w:val="Caption"/>
      </w:pPr>
      <w:r>
        <w:t>Table D-1:</w:t>
      </w:r>
    </w:p>
    <w:p w:rsidR="00031274" w:rsidRDefault="00031274" w:rsidP="00031274">
      <w:pPr>
        <w:pStyle w:val="Caption"/>
      </w:pPr>
      <w:r>
        <w:t>Average Percent of Program Enrollees Nominated in a Given Month</w:t>
      </w:r>
    </w:p>
    <w:tbl>
      <w:tblPr>
        <w:tblW w:w="3780" w:type="dxa"/>
        <w:jc w:val="center"/>
        <w:tblInd w:w="95" w:type="dxa"/>
        <w:tblLook w:val="04A0"/>
      </w:tblPr>
      <w:tblGrid>
        <w:gridCol w:w="960"/>
        <w:gridCol w:w="1420"/>
        <w:gridCol w:w="1400"/>
      </w:tblGrid>
      <w:tr w:rsidR="00031274" w:rsidRPr="00031274" w:rsidTr="00031274">
        <w:trPr>
          <w:trHeight w:val="1584"/>
          <w:jc w:val="center"/>
        </w:trPr>
        <w:tc>
          <w:tcPr>
            <w:tcW w:w="960" w:type="dxa"/>
            <w:tcBorders>
              <w:top w:val="nil"/>
              <w:left w:val="nil"/>
              <w:bottom w:val="single" w:sz="4" w:space="0" w:color="auto"/>
              <w:right w:val="single" w:sz="4" w:space="0" w:color="FFFFFF"/>
            </w:tcBorders>
            <w:shd w:val="clear" w:color="000000" w:fill="1F497D"/>
            <w:noWrap/>
            <w:vAlign w:val="bottom"/>
            <w:hideMark/>
          </w:tcPr>
          <w:p w:rsidR="00031274" w:rsidRPr="00031274" w:rsidRDefault="00031274" w:rsidP="00052960">
            <w:pPr>
              <w:pStyle w:val="TableHeader"/>
              <w:rPr>
                <w:rFonts w:eastAsia="Times New Roman"/>
              </w:rPr>
            </w:pPr>
            <w:r w:rsidRPr="00031274">
              <w:rPr>
                <w:rFonts w:eastAsia="Times New Roman"/>
              </w:rPr>
              <w:t>IOU</w:t>
            </w:r>
          </w:p>
        </w:tc>
        <w:tc>
          <w:tcPr>
            <w:tcW w:w="1420" w:type="dxa"/>
            <w:tcBorders>
              <w:top w:val="nil"/>
              <w:left w:val="nil"/>
              <w:bottom w:val="single" w:sz="4" w:space="0" w:color="auto"/>
              <w:right w:val="single" w:sz="4" w:space="0" w:color="FFFFFF"/>
            </w:tcBorders>
            <w:shd w:val="clear" w:color="000000" w:fill="1F497D"/>
            <w:noWrap/>
            <w:vAlign w:val="bottom"/>
            <w:hideMark/>
          </w:tcPr>
          <w:p w:rsidR="00031274" w:rsidRPr="00031274" w:rsidRDefault="00031274" w:rsidP="00052960">
            <w:pPr>
              <w:pStyle w:val="TableHeader"/>
              <w:rPr>
                <w:rFonts w:eastAsia="Times New Roman"/>
              </w:rPr>
            </w:pPr>
            <w:r w:rsidRPr="00031274">
              <w:rPr>
                <w:rFonts w:eastAsia="Times New Roman"/>
              </w:rPr>
              <w:t>Program</w:t>
            </w:r>
          </w:p>
        </w:tc>
        <w:tc>
          <w:tcPr>
            <w:tcW w:w="1400" w:type="dxa"/>
            <w:tcBorders>
              <w:top w:val="nil"/>
              <w:left w:val="nil"/>
              <w:bottom w:val="single" w:sz="4" w:space="0" w:color="auto"/>
              <w:right w:val="nil"/>
            </w:tcBorders>
            <w:shd w:val="clear" w:color="000000" w:fill="1F497D"/>
            <w:vAlign w:val="bottom"/>
            <w:hideMark/>
          </w:tcPr>
          <w:p w:rsidR="00031274" w:rsidRPr="00031274" w:rsidRDefault="00031274" w:rsidP="00052960">
            <w:pPr>
              <w:pStyle w:val="TableHeader"/>
              <w:rPr>
                <w:rFonts w:eastAsia="Times New Roman"/>
              </w:rPr>
            </w:pPr>
            <w:r w:rsidRPr="00031274">
              <w:rPr>
                <w:rFonts w:eastAsia="Times New Roman"/>
              </w:rPr>
              <w:t>Avg. % of Enrollees Nominated</w:t>
            </w:r>
          </w:p>
        </w:tc>
      </w:tr>
      <w:tr w:rsidR="00031274" w:rsidRPr="00031274" w:rsidTr="00031274">
        <w:trPr>
          <w:trHeight w:val="264"/>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PG&amp;E</w:t>
            </w:r>
          </w:p>
        </w:tc>
        <w:tc>
          <w:tcPr>
            <w:tcW w:w="142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AMP - DA</w:t>
            </w:r>
          </w:p>
        </w:tc>
        <w:tc>
          <w:tcPr>
            <w:tcW w:w="140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89%</w:t>
            </w:r>
          </w:p>
        </w:tc>
      </w:tr>
      <w:tr w:rsidR="00031274" w:rsidRPr="00031274" w:rsidTr="00031274">
        <w:trPr>
          <w:trHeight w:val="264"/>
          <w:jc w:val="center"/>
        </w:trPr>
        <w:tc>
          <w:tcPr>
            <w:tcW w:w="960" w:type="dxa"/>
            <w:vMerge/>
            <w:tcBorders>
              <w:top w:val="nil"/>
              <w:left w:val="single" w:sz="4" w:space="0" w:color="auto"/>
              <w:bottom w:val="single" w:sz="4" w:space="0" w:color="000000"/>
              <w:right w:val="single" w:sz="4" w:space="0" w:color="auto"/>
            </w:tcBorders>
            <w:vAlign w:val="center"/>
            <w:hideMark/>
          </w:tcPr>
          <w:p w:rsidR="00031274" w:rsidRPr="00031274" w:rsidRDefault="00031274" w:rsidP="00052960">
            <w:pPr>
              <w:pStyle w:val="TableText"/>
              <w:rPr>
                <w:rFonts w:eastAsia="Times New Roman"/>
              </w:rPr>
            </w:pPr>
          </w:p>
        </w:tc>
        <w:tc>
          <w:tcPr>
            <w:tcW w:w="142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AMP - DO</w:t>
            </w:r>
          </w:p>
        </w:tc>
        <w:tc>
          <w:tcPr>
            <w:tcW w:w="140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73%</w:t>
            </w:r>
          </w:p>
        </w:tc>
      </w:tr>
      <w:tr w:rsidR="00031274" w:rsidRPr="00031274" w:rsidTr="00031274">
        <w:trPr>
          <w:trHeight w:val="264"/>
          <w:jc w:val="center"/>
        </w:trPr>
        <w:tc>
          <w:tcPr>
            <w:tcW w:w="960" w:type="dxa"/>
            <w:vMerge/>
            <w:tcBorders>
              <w:top w:val="nil"/>
              <w:left w:val="single" w:sz="4" w:space="0" w:color="auto"/>
              <w:bottom w:val="single" w:sz="4" w:space="0" w:color="000000"/>
              <w:right w:val="single" w:sz="4" w:space="0" w:color="auto"/>
            </w:tcBorders>
            <w:vAlign w:val="center"/>
            <w:hideMark/>
          </w:tcPr>
          <w:p w:rsidR="00031274" w:rsidRPr="00031274" w:rsidRDefault="00031274" w:rsidP="00052960">
            <w:pPr>
              <w:pStyle w:val="TableText"/>
              <w:rPr>
                <w:rFonts w:eastAsia="Times New Roman"/>
              </w:rPr>
            </w:pPr>
          </w:p>
        </w:tc>
        <w:tc>
          <w:tcPr>
            <w:tcW w:w="142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CBP - DA</w:t>
            </w:r>
          </w:p>
        </w:tc>
        <w:tc>
          <w:tcPr>
            <w:tcW w:w="140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87%</w:t>
            </w:r>
          </w:p>
        </w:tc>
      </w:tr>
      <w:tr w:rsidR="00031274" w:rsidRPr="00031274" w:rsidTr="00031274">
        <w:trPr>
          <w:trHeight w:val="264"/>
          <w:jc w:val="center"/>
        </w:trPr>
        <w:tc>
          <w:tcPr>
            <w:tcW w:w="960" w:type="dxa"/>
            <w:vMerge/>
            <w:tcBorders>
              <w:top w:val="nil"/>
              <w:left w:val="single" w:sz="4" w:space="0" w:color="auto"/>
              <w:bottom w:val="single" w:sz="4" w:space="0" w:color="000000"/>
              <w:right w:val="single" w:sz="4" w:space="0" w:color="auto"/>
            </w:tcBorders>
            <w:vAlign w:val="center"/>
            <w:hideMark/>
          </w:tcPr>
          <w:p w:rsidR="00031274" w:rsidRPr="00031274" w:rsidRDefault="00031274" w:rsidP="00052960">
            <w:pPr>
              <w:pStyle w:val="TableText"/>
              <w:rPr>
                <w:rFonts w:eastAsia="Times New Roman"/>
              </w:rPr>
            </w:pPr>
          </w:p>
        </w:tc>
        <w:tc>
          <w:tcPr>
            <w:tcW w:w="142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CBP - DO</w:t>
            </w:r>
          </w:p>
        </w:tc>
        <w:tc>
          <w:tcPr>
            <w:tcW w:w="140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88%</w:t>
            </w:r>
          </w:p>
        </w:tc>
      </w:tr>
      <w:tr w:rsidR="00031274" w:rsidRPr="00031274" w:rsidTr="00031274">
        <w:trPr>
          <w:trHeight w:val="264"/>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SCE</w:t>
            </w:r>
          </w:p>
        </w:tc>
        <w:tc>
          <w:tcPr>
            <w:tcW w:w="142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CBP - DA</w:t>
            </w:r>
          </w:p>
        </w:tc>
        <w:tc>
          <w:tcPr>
            <w:tcW w:w="140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99%</w:t>
            </w:r>
          </w:p>
        </w:tc>
      </w:tr>
      <w:tr w:rsidR="00031274" w:rsidRPr="00031274" w:rsidTr="00031274">
        <w:trPr>
          <w:trHeight w:val="264"/>
          <w:jc w:val="center"/>
        </w:trPr>
        <w:tc>
          <w:tcPr>
            <w:tcW w:w="960" w:type="dxa"/>
            <w:vMerge/>
            <w:tcBorders>
              <w:top w:val="nil"/>
              <w:left w:val="single" w:sz="4" w:space="0" w:color="auto"/>
              <w:bottom w:val="single" w:sz="4" w:space="0" w:color="000000"/>
              <w:right w:val="single" w:sz="4" w:space="0" w:color="auto"/>
            </w:tcBorders>
            <w:vAlign w:val="center"/>
            <w:hideMark/>
          </w:tcPr>
          <w:p w:rsidR="00031274" w:rsidRPr="00031274" w:rsidRDefault="00031274" w:rsidP="00052960">
            <w:pPr>
              <w:pStyle w:val="TableText"/>
              <w:rPr>
                <w:rFonts w:eastAsia="Times New Roman"/>
              </w:rPr>
            </w:pPr>
          </w:p>
        </w:tc>
        <w:tc>
          <w:tcPr>
            <w:tcW w:w="142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CBP - DO</w:t>
            </w:r>
          </w:p>
        </w:tc>
        <w:tc>
          <w:tcPr>
            <w:tcW w:w="140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99%</w:t>
            </w:r>
          </w:p>
        </w:tc>
      </w:tr>
      <w:tr w:rsidR="00031274" w:rsidRPr="00031274" w:rsidTr="00031274">
        <w:trPr>
          <w:trHeight w:val="264"/>
          <w:jc w:val="center"/>
        </w:trPr>
        <w:tc>
          <w:tcPr>
            <w:tcW w:w="960" w:type="dxa"/>
            <w:vMerge/>
            <w:tcBorders>
              <w:top w:val="nil"/>
              <w:left w:val="single" w:sz="4" w:space="0" w:color="auto"/>
              <w:bottom w:val="single" w:sz="4" w:space="0" w:color="000000"/>
              <w:right w:val="single" w:sz="4" w:space="0" w:color="auto"/>
            </w:tcBorders>
            <w:vAlign w:val="center"/>
            <w:hideMark/>
          </w:tcPr>
          <w:p w:rsidR="00031274" w:rsidRPr="00031274" w:rsidRDefault="00031274" w:rsidP="00052960">
            <w:pPr>
              <w:pStyle w:val="TableText"/>
              <w:rPr>
                <w:rFonts w:eastAsia="Times New Roman"/>
              </w:rPr>
            </w:pPr>
          </w:p>
        </w:tc>
        <w:tc>
          <w:tcPr>
            <w:tcW w:w="142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DRRC - DA</w:t>
            </w:r>
          </w:p>
        </w:tc>
        <w:tc>
          <w:tcPr>
            <w:tcW w:w="140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75%</w:t>
            </w:r>
          </w:p>
        </w:tc>
      </w:tr>
      <w:tr w:rsidR="00031274" w:rsidRPr="00031274" w:rsidTr="00031274">
        <w:trPr>
          <w:trHeight w:val="264"/>
          <w:jc w:val="center"/>
        </w:trPr>
        <w:tc>
          <w:tcPr>
            <w:tcW w:w="960" w:type="dxa"/>
            <w:vMerge/>
            <w:tcBorders>
              <w:top w:val="nil"/>
              <w:left w:val="single" w:sz="4" w:space="0" w:color="auto"/>
              <w:bottom w:val="single" w:sz="4" w:space="0" w:color="000000"/>
              <w:right w:val="single" w:sz="4" w:space="0" w:color="auto"/>
            </w:tcBorders>
            <w:vAlign w:val="center"/>
            <w:hideMark/>
          </w:tcPr>
          <w:p w:rsidR="00031274" w:rsidRPr="00031274" w:rsidRDefault="00031274" w:rsidP="00052960">
            <w:pPr>
              <w:pStyle w:val="TableText"/>
              <w:rPr>
                <w:rFonts w:eastAsia="Times New Roman"/>
              </w:rPr>
            </w:pPr>
          </w:p>
        </w:tc>
        <w:tc>
          <w:tcPr>
            <w:tcW w:w="142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DRRC - DO</w:t>
            </w:r>
          </w:p>
        </w:tc>
        <w:tc>
          <w:tcPr>
            <w:tcW w:w="140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66%</w:t>
            </w:r>
          </w:p>
        </w:tc>
      </w:tr>
      <w:tr w:rsidR="00031274" w:rsidRPr="00031274" w:rsidTr="00031274">
        <w:trPr>
          <w:trHeight w:val="264"/>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SDG&amp;E</w:t>
            </w:r>
          </w:p>
        </w:tc>
        <w:tc>
          <w:tcPr>
            <w:tcW w:w="142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CBP - DA</w:t>
            </w:r>
          </w:p>
        </w:tc>
        <w:tc>
          <w:tcPr>
            <w:tcW w:w="140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69%</w:t>
            </w:r>
          </w:p>
        </w:tc>
      </w:tr>
      <w:tr w:rsidR="00031274" w:rsidRPr="00031274" w:rsidTr="00031274">
        <w:trPr>
          <w:trHeight w:val="264"/>
          <w:jc w:val="center"/>
        </w:trPr>
        <w:tc>
          <w:tcPr>
            <w:tcW w:w="960" w:type="dxa"/>
            <w:vMerge/>
            <w:tcBorders>
              <w:top w:val="nil"/>
              <w:left w:val="single" w:sz="4" w:space="0" w:color="auto"/>
              <w:bottom w:val="single" w:sz="4" w:space="0" w:color="000000"/>
              <w:right w:val="single" w:sz="4" w:space="0" w:color="auto"/>
            </w:tcBorders>
            <w:vAlign w:val="center"/>
            <w:hideMark/>
          </w:tcPr>
          <w:p w:rsidR="00031274" w:rsidRPr="00031274" w:rsidRDefault="00031274" w:rsidP="00052960">
            <w:pPr>
              <w:pStyle w:val="TableText"/>
              <w:rPr>
                <w:rFonts w:eastAsia="Times New Roman"/>
              </w:rPr>
            </w:pPr>
          </w:p>
        </w:tc>
        <w:tc>
          <w:tcPr>
            <w:tcW w:w="142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CBP - DO</w:t>
            </w:r>
          </w:p>
        </w:tc>
        <w:tc>
          <w:tcPr>
            <w:tcW w:w="1400" w:type="dxa"/>
            <w:tcBorders>
              <w:top w:val="nil"/>
              <w:left w:val="nil"/>
              <w:bottom w:val="single" w:sz="4" w:space="0" w:color="auto"/>
              <w:right w:val="single" w:sz="4" w:space="0" w:color="auto"/>
            </w:tcBorders>
            <w:shd w:val="clear" w:color="auto" w:fill="auto"/>
            <w:noWrap/>
            <w:vAlign w:val="center"/>
            <w:hideMark/>
          </w:tcPr>
          <w:p w:rsidR="00031274" w:rsidRPr="00031274" w:rsidRDefault="00031274" w:rsidP="00052960">
            <w:pPr>
              <w:pStyle w:val="TableText"/>
              <w:rPr>
                <w:rFonts w:eastAsia="Times New Roman"/>
              </w:rPr>
            </w:pPr>
            <w:r w:rsidRPr="00031274">
              <w:rPr>
                <w:rFonts w:eastAsia="Times New Roman"/>
              </w:rPr>
              <w:t>59%</w:t>
            </w:r>
          </w:p>
        </w:tc>
      </w:tr>
    </w:tbl>
    <w:p w:rsidR="00A1373E" w:rsidRDefault="005A72FE" w:rsidP="006762C1">
      <w:pPr>
        <w:pStyle w:val="BodyParagraph"/>
        <w:tabs>
          <w:tab w:val="left" w:pos="7387"/>
        </w:tabs>
      </w:pPr>
      <w:r>
        <w:t xml:space="preserve">  </w:t>
      </w:r>
    </w:p>
    <w:p w:rsidR="00A1373E" w:rsidRDefault="00A1373E">
      <w:pPr>
        <w:rPr>
          <w:rFonts w:ascii="Verdana" w:hAnsi="Verdana"/>
          <w:sz w:val="18"/>
        </w:rPr>
      </w:pPr>
      <w:r>
        <w:br w:type="page"/>
      </w:r>
    </w:p>
    <w:p w:rsidR="00A1373E" w:rsidRDefault="00A1373E" w:rsidP="00A1373E">
      <w:pPr>
        <w:pStyle w:val="AppendixHeading"/>
        <w:ind w:left="360"/>
      </w:pPr>
      <w:bookmarkStart w:id="420" w:name="_Toc326074053"/>
      <w:r>
        <w:lastRenderedPageBreak/>
        <w:t>Resource Adequacy Tables</w:t>
      </w:r>
      <w:bookmarkEnd w:id="420"/>
    </w:p>
    <w:p w:rsidR="00975EC7" w:rsidRDefault="004C42F5" w:rsidP="00975EC7">
      <w:pPr>
        <w:pStyle w:val="BodyParagraph"/>
      </w:pPr>
      <w:r>
        <w:t>This appendix contains summary tables of ex ante load estimates</w:t>
      </w:r>
      <w:r w:rsidR="00F31F96">
        <w:t xml:space="preserve"> over the resource adequacy window</w:t>
      </w:r>
      <w:r w:rsidR="00663CD4">
        <w:t xml:space="preserve"> –</w:t>
      </w:r>
      <w:r w:rsidR="00663CD4" w:rsidRPr="00663CD4">
        <w:t xml:space="preserve"> 1 PM to 6 PM</w:t>
      </w:r>
      <w:r w:rsidR="00663CD4">
        <w:t xml:space="preserve"> during summer months – </w:t>
      </w:r>
      <w:r>
        <w:t>for</w:t>
      </w:r>
      <w:r w:rsidR="00F31F96">
        <w:t xml:space="preserve"> CBP, AMP, and DRRC</w:t>
      </w:r>
      <w:r>
        <w:t>.</w:t>
      </w:r>
      <w:r w:rsidR="00F31F96">
        <w:t xml:space="preserve">  Program resources are presented by utility.</w:t>
      </w:r>
      <w:r w:rsidR="00663CD4">
        <w:t xml:space="preserve">  The demand reductions are only presented for May to October due to the limited event experience outside of those months. However, several aggregator contracts can be called year round. </w:t>
      </w:r>
    </w:p>
    <w:p w:rsidR="004C42F5" w:rsidRDefault="004C42F5" w:rsidP="00975EC7">
      <w:pPr>
        <w:pStyle w:val="BodyParagraph"/>
      </w:pPr>
      <w:r>
        <w:t>Note that the ex ante load estimates for 1-in-2 and 1-in-10 weather years</w:t>
      </w:r>
      <w:r w:rsidR="00663CD4">
        <w:t xml:space="preserve"> are identical</w:t>
      </w:r>
      <w:r>
        <w:t xml:space="preserve">, as load reductions </w:t>
      </w:r>
      <w:r w:rsidR="00663CD4">
        <w:t>from aggregators are relative to their</w:t>
      </w:r>
      <w:r>
        <w:t xml:space="preserve"> contract obligation rather than as a function of reference loads</w:t>
      </w:r>
      <w:r w:rsidR="00C26B39">
        <w:t>, and thus weather</w:t>
      </w:r>
      <w:r>
        <w:t>.</w:t>
      </w:r>
      <w:r w:rsidR="00663CD4">
        <w:t xml:space="preserve">  The tables also summarize both portfolio and program specific load impacts, which are identical, since the aggregator programs require firm commitments. </w:t>
      </w:r>
    </w:p>
    <w:p w:rsidR="00F55000" w:rsidRDefault="00F55000" w:rsidP="00975EC7">
      <w:pPr>
        <w:pStyle w:val="BodyParagraph"/>
      </w:pPr>
    </w:p>
    <w:p w:rsidR="00F55000" w:rsidRDefault="00F55000">
      <w:pPr>
        <w:rPr>
          <w:rFonts w:ascii="Arial Bold" w:hAnsi="Arial Bold"/>
          <w:b/>
          <w:color w:val="5F497A" w:themeColor="accent4" w:themeShade="BF"/>
          <w:sz w:val="26"/>
        </w:rPr>
      </w:pPr>
      <w:r>
        <w:br w:type="page"/>
      </w:r>
    </w:p>
    <w:p w:rsidR="00F55000" w:rsidRPr="00F55000" w:rsidRDefault="004C42F5" w:rsidP="00F55000">
      <w:pPr>
        <w:pStyle w:val="AppendixHeading2"/>
      </w:pPr>
      <w:bookmarkStart w:id="421" w:name="_Toc326074054"/>
      <w:r>
        <w:lastRenderedPageBreak/>
        <w:t>PG&amp;E</w:t>
      </w:r>
      <w:bookmarkEnd w:id="421"/>
    </w:p>
    <w:p w:rsidR="00F55000" w:rsidRDefault="00F55000" w:rsidP="00F55000">
      <w:pPr>
        <w:pStyle w:val="Caption"/>
      </w:pPr>
      <w:r>
        <w:t>Table E-1:</w:t>
      </w:r>
    </w:p>
    <w:p w:rsidR="00F55000" w:rsidRDefault="00F55000" w:rsidP="00F55000">
      <w:pPr>
        <w:pStyle w:val="Caption"/>
      </w:pPr>
      <w:r>
        <w:t>AMP-DA</w:t>
      </w:r>
    </w:p>
    <w:tbl>
      <w:tblPr>
        <w:tblW w:w="9246" w:type="dxa"/>
        <w:tblInd w:w="95" w:type="dxa"/>
        <w:tblLayout w:type="fixed"/>
        <w:tblLook w:val="04A0"/>
      </w:tblPr>
      <w:tblGrid>
        <w:gridCol w:w="960"/>
        <w:gridCol w:w="583"/>
        <w:gridCol w:w="630"/>
        <w:gridCol w:w="537"/>
        <w:gridCol w:w="526"/>
        <w:gridCol w:w="827"/>
        <w:gridCol w:w="810"/>
        <w:gridCol w:w="810"/>
        <w:gridCol w:w="810"/>
        <w:gridCol w:w="810"/>
        <w:gridCol w:w="810"/>
        <w:gridCol w:w="557"/>
        <w:gridCol w:w="576"/>
      </w:tblGrid>
      <w:tr w:rsidR="00F55000" w:rsidRPr="00F55000" w:rsidTr="00F55000">
        <w:trPr>
          <w:trHeight w:val="288"/>
        </w:trPr>
        <w:tc>
          <w:tcPr>
            <w:tcW w:w="960" w:type="dxa"/>
            <w:tcBorders>
              <w:top w:val="single" w:sz="8" w:space="0" w:color="auto"/>
              <w:left w:val="single" w:sz="8" w:space="0" w:color="auto"/>
              <w:bottom w:val="single" w:sz="8" w:space="0" w:color="FFFFFF"/>
              <w:right w:val="single" w:sz="8" w:space="0" w:color="FFFFFF"/>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 </w:t>
            </w:r>
          </w:p>
        </w:tc>
        <w:tc>
          <w:tcPr>
            <w:tcW w:w="8286" w:type="dxa"/>
            <w:gridSpan w:val="12"/>
            <w:tcBorders>
              <w:top w:val="single" w:sz="8" w:space="0" w:color="auto"/>
              <w:left w:val="nil"/>
              <w:bottom w:val="single" w:sz="8" w:space="0" w:color="FFFFFF"/>
              <w:right w:val="single" w:sz="8" w:space="0" w:color="000000"/>
            </w:tcBorders>
            <w:shd w:val="clear" w:color="000000" w:fill="1F497D"/>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Month and Resource Adequacy Window</w:t>
            </w:r>
          </w:p>
        </w:tc>
      </w:tr>
      <w:tr w:rsidR="00F55000" w:rsidRPr="00F55000" w:rsidTr="00F55000">
        <w:trPr>
          <w:trHeight w:val="288"/>
        </w:trPr>
        <w:tc>
          <w:tcPr>
            <w:tcW w:w="960" w:type="dxa"/>
            <w:vMerge w:val="restart"/>
            <w:tcBorders>
              <w:top w:val="nil"/>
              <w:left w:val="single" w:sz="8" w:space="0" w:color="auto"/>
              <w:bottom w:val="single" w:sz="8" w:space="0" w:color="000000"/>
              <w:right w:val="single" w:sz="8" w:space="0" w:color="FFFFFF"/>
            </w:tcBorders>
            <w:shd w:val="clear" w:color="000000" w:fill="1F497D"/>
            <w:noWrap/>
            <w:vAlign w:val="bottom"/>
            <w:hideMark/>
          </w:tcPr>
          <w:p w:rsidR="00F55000" w:rsidRPr="00F55000" w:rsidRDefault="00F55000" w:rsidP="00F55000">
            <w:pPr>
              <w:spacing w:after="0" w:line="240" w:lineRule="auto"/>
              <w:rPr>
                <w:rFonts w:ascii="Arial" w:eastAsia="Times New Roman" w:hAnsi="Arial" w:cs="Arial"/>
                <w:color w:val="000000"/>
                <w:sz w:val="18"/>
                <w:szCs w:val="18"/>
              </w:rPr>
            </w:pPr>
            <w:r w:rsidRPr="00F55000">
              <w:rPr>
                <w:rFonts w:ascii="Arial" w:eastAsia="Times New Roman" w:hAnsi="Arial" w:cs="Arial"/>
                <w:color w:val="000000"/>
                <w:sz w:val="18"/>
                <w:szCs w:val="18"/>
              </w:rPr>
              <w:t> </w:t>
            </w:r>
          </w:p>
        </w:tc>
        <w:tc>
          <w:tcPr>
            <w:tcW w:w="583" w:type="dxa"/>
            <w:tcBorders>
              <w:top w:val="nil"/>
              <w:left w:val="nil"/>
              <w:bottom w:val="nil"/>
              <w:right w:val="single" w:sz="8" w:space="0" w:color="FFFFFF"/>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Jan</w:t>
            </w:r>
          </w:p>
        </w:tc>
        <w:tc>
          <w:tcPr>
            <w:tcW w:w="630" w:type="dxa"/>
            <w:tcBorders>
              <w:top w:val="nil"/>
              <w:left w:val="nil"/>
              <w:bottom w:val="nil"/>
              <w:right w:val="single" w:sz="8" w:space="0" w:color="FFFFFF"/>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Feb</w:t>
            </w:r>
          </w:p>
        </w:tc>
        <w:tc>
          <w:tcPr>
            <w:tcW w:w="537" w:type="dxa"/>
            <w:tcBorders>
              <w:top w:val="nil"/>
              <w:left w:val="nil"/>
              <w:bottom w:val="nil"/>
              <w:right w:val="single" w:sz="8" w:space="0" w:color="FFFFFF"/>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Mar</w:t>
            </w:r>
          </w:p>
        </w:tc>
        <w:tc>
          <w:tcPr>
            <w:tcW w:w="526" w:type="dxa"/>
            <w:tcBorders>
              <w:top w:val="nil"/>
              <w:left w:val="nil"/>
              <w:bottom w:val="nil"/>
              <w:right w:val="single" w:sz="8" w:space="0" w:color="FFFFFF"/>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Apr</w:t>
            </w:r>
          </w:p>
        </w:tc>
        <w:tc>
          <w:tcPr>
            <w:tcW w:w="827" w:type="dxa"/>
            <w:tcBorders>
              <w:top w:val="nil"/>
              <w:left w:val="nil"/>
              <w:bottom w:val="nil"/>
              <w:right w:val="single" w:sz="8" w:space="0" w:color="FFFFFF"/>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May</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Jun</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Jul</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Aug</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Sep</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Oct</w:t>
            </w:r>
          </w:p>
        </w:tc>
        <w:tc>
          <w:tcPr>
            <w:tcW w:w="557" w:type="dxa"/>
            <w:tcBorders>
              <w:top w:val="nil"/>
              <w:left w:val="nil"/>
              <w:bottom w:val="nil"/>
              <w:right w:val="single" w:sz="8" w:space="0" w:color="FFFFFF"/>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Nov</w:t>
            </w:r>
          </w:p>
        </w:tc>
        <w:tc>
          <w:tcPr>
            <w:tcW w:w="576" w:type="dxa"/>
            <w:tcBorders>
              <w:top w:val="nil"/>
              <w:left w:val="nil"/>
              <w:bottom w:val="nil"/>
              <w:right w:val="single" w:sz="8" w:space="0" w:color="auto"/>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Dec</w:t>
            </w:r>
          </w:p>
        </w:tc>
      </w:tr>
      <w:tr w:rsidR="00F55000" w:rsidRPr="00F55000" w:rsidTr="00F55000">
        <w:trPr>
          <w:trHeight w:val="288"/>
        </w:trPr>
        <w:tc>
          <w:tcPr>
            <w:tcW w:w="960" w:type="dxa"/>
            <w:vMerge/>
            <w:tcBorders>
              <w:top w:val="nil"/>
              <w:left w:val="single" w:sz="8" w:space="0" w:color="auto"/>
              <w:bottom w:val="single" w:sz="8" w:space="0" w:color="000000"/>
              <w:right w:val="single" w:sz="8" w:space="0" w:color="FFFFFF"/>
            </w:tcBorders>
            <w:vAlign w:val="center"/>
            <w:hideMark/>
          </w:tcPr>
          <w:p w:rsidR="00F55000" w:rsidRPr="00F55000" w:rsidRDefault="00F55000" w:rsidP="00F55000">
            <w:pPr>
              <w:spacing w:after="0" w:line="240" w:lineRule="auto"/>
              <w:rPr>
                <w:rFonts w:ascii="Arial" w:eastAsia="Times New Roman" w:hAnsi="Arial" w:cs="Arial"/>
                <w:color w:val="000000"/>
                <w:sz w:val="18"/>
                <w:szCs w:val="18"/>
              </w:rPr>
            </w:pPr>
          </w:p>
        </w:tc>
        <w:tc>
          <w:tcPr>
            <w:tcW w:w="8286" w:type="dxa"/>
            <w:gridSpan w:val="12"/>
            <w:tcBorders>
              <w:top w:val="single" w:sz="8" w:space="0" w:color="FFFFFF"/>
              <w:left w:val="nil"/>
              <w:bottom w:val="single" w:sz="8" w:space="0" w:color="auto"/>
              <w:right w:val="single" w:sz="8" w:space="0" w:color="000000"/>
            </w:tcBorders>
            <w:shd w:val="clear" w:color="000000" w:fill="1F497D"/>
            <w:noWrap/>
            <w:vAlign w:val="bottom"/>
            <w:hideMark/>
          </w:tcPr>
          <w:p w:rsidR="00F55000" w:rsidRPr="00F55000" w:rsidRDefault="00F55000" w:rsidP="00F55000">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1 - 6 PM</w:t>
            </w:r>
          </w:p>
        </w:tc>
      </w:tr>
      <w:tr w:rsidR="00F55000" w:rsidRPr="00F55000" w:rsidTr="00F55000">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2012</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F55000">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2013</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F55000">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2014</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F55000">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2015</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F55000">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2016</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F55000">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2017</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F55000">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2018</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F55000">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2019</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F55000">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2020</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F55000">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2021</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F55000">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2022</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44.0</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bl>
    <w:p w:rsidR="004C42F5" w:rsidRDefault="00663CD4" w:rsidP="004C42F5">
      <w:pPr>
        <w:pStyle w:val="BodyParagraph"/>
      </w:pPr>
      <w:r>
        <w:t>*Impacts are the same for 1-in-10 and 1-in-2 weather years. Program specific and portfolio impacts are identical.</w:t>
      </w:r>
    </w:p>
    <w:p w:rsidR="00F55000" w:rsidRDefault="00F55000" w:rsidP="00F55000">
      <w:pPr>
        <w:pStyle w:val="Caption"/>
      </w:pPr>
      <w:r>
        <w:t>Table E-2:</w:t>
      </w:r>
    </w:p>
    <w:p w:rsidR="00F55000" w:rsidRDefault="00F55000" w:rsidP="00F55000">
      <w:pPr>
        <w:pStyle w:val="Caption"/>
      </w:pPr>
      <w:r>
        <w:t>AMP-DO</w:t>
      </w:r>
    </w:p>
    <w:tbl>
      <w:tblPr>
        <w:tblW w:w="9246" w:type="dxa"/>
        <w:tblInd w:w="95" w:type="dxa"/>
        <w:tblLayout w:type="fixed"/>
        <w:tblLook w:val="04A0"/>
      </w:tblPr>
      <w:tblGrid>
        <w:gridCol w:w="960"/>
        <w:gridCol w:w="583"/>
        <w:gridCol w:w="630"/>
        <w:gridCol w:w="537"/>
        <w:gridCol w:w="526"/>
        <w:gridCol w:w="827"/>
        <w:gridCol w:w="810"/>
        <w:gridCol w:w="810"/>
        <w:gridCol w:w="810"/>
        <w:gridCol w:w="810"/>
        <w:gridCol w:w="810"/>
        <w:gridCol w:w="557"/>
        <w:gridCol w:w="576"/>
      </w:tblGrid>
      <w:tr w:rsidR="00F55000" w:rsidRPr="00F55000" w:rsidTr="00227071">
        <w:trPr>
          <w:trHeight w:val="288"/>
        </w:trPr>
        <w:tc>
          <w:tcPr>
            <w:tcW w:w="960" w:type="dxa"/>
            <w:tcBorders>
              <w:top w:val="single" w:sz="8" w:space="0" w:color="auto"/>
              <w:left w:val="single" w:sz="8" w:space="0" w:color="auto"/>
              <w:bottom w:val="single" w:sz="8" w:space="0" w:color="FFFFFF"/>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 </w:t>
            </w:r>
          </w:p>
        </w:tc>
        <w:tc>
          <w:tcPr>
            <w:tcW w:w="8286" w:type="dxa"/>
            <w:gridSpan w:val="12"/>
            <w:tcBorders>
              <w:top w:val="single" w:sz="8" w:space="0" w:color="auto"/>
              <w:left w:val="nil"/>
              <w:bottom w:val="single" w:sz="8" w:space="0" w:color="FFFFFF"/>
              <w:right w:val="single" w:sz="8" w:space="0" w:color="000000"/>
            </w:tcBorders>
            <w:shd w:val="clear" w:color="000000" w:fill="1F497D"/>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Month and Resource Adequacy Window</w:t>
            </w:r>
          </w:p>
        </w:tc>
      </w:tr>
      <w:tr w:rsidR="00F55000" w:rsidRPr="00F55000" w:rsidTr="00227071">
        <w:trPr>
          <w:trHeight w:val="288"/>
        </w:trPr>
        <w:tc>
          <w:tcPr>
            <w:tcW w:w="960" w:type="dxa"/>
            <w:vMerge w:val="restart"/>
            <w:tcBorders>
              <w:top w:val="nil"/>
              <w:left w:val="single" w:sz="8" w:space="0" w:color="auto"/>
              <w:bottom w:val="single" w:sz="8" w:space="0" w:color="000000"/>
              <w:right w:val="single" w:sz="8" w:space="0" w:color="FFFFFF"/>
            </w:tcBorders>
            <w:shd w:val="clear" w:color="000000" w:fill="1F497D"/>
            <w:noWrap/>
            <w:vAlign w:val="bottom"/>
            <w:hideMark/>
          </w:tcPr>
          <w:p w:rsidR="00F55000" w:rsidRPr="00F55000" w:rsidRDefault="00F55000" w:rsidP="00227071">
            <w:pPr>
              <w:spacing w:after="0" w:line="240" w:lineRule="auto"/>
              <w:rPr>
                <w:rFonts w:ascii="Arial" w:eastAsia="Times New Roman" w:hAnsi="Arial" w:cs="Arial"/>
                <w:color w:val="000000"/>
                <w:sz w:val="18"/>
                <w:szCs w:val="18"/>
              </w:rPr>
            </w:pPr>
            <w:r w:rsidRPr="00F55000">
              <w:rPr>
                <w:rFonts w:ascii="Arial" w:eastAsia="Times New Roman" w:hAnsi="Arial" w:cs="Arial"/>
                <w:color w:val="000000"/>
                <w:sz w:val="18"/>
                <w:szCs w:val="18"/>
              </w:rPr>
              <w:t> </w:t>
            </w:r>
          </w:p>
        </w:tc>
        <w:tc>
          <w:tcPr>
            <w:tcW w:w="583"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Jan</w:t>
            </w:r>
          </w:p>
        </w:tc>
        <w:tc>
          <w:tcPr>
            <w:tcW w:w="63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Feb</w:t>
            </w:r>
          </w:p>
        </w:tc>
        <w:tc>
          <w:tcPr>
            <w:tcW w:w="537"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Mar</w:t>
            </w:r>
          </w:p>
        </w:tc>
        <w:tc>
          <w:tcPr>
            <w:tcW w:w="526"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Apr</w:t>
            </w:r>
          </w:p>
        </w:tc>
        <w:tc>
          <w:tcPr>
            <w:tcW w:w="827"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May</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Jun</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Jul</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Aug</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Sep</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Oct</w:t>
            </w:r>
          </w:p>
        </w:tc>
        <w:tc>
          <w:tcPr>
            <w:tcW w:w="557"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Nov</w:t>
            </w:r>
          </w:p>
        </w:tc>
        <w:tc>
          <w:tcPr>
            <w:tcW w:w="576" w:type="dxa"/>
            <w:tcBorders>
              <w:top w:val="nil"/>
              <w:left w:val="nil"/>
              <w:bottom w:val="nil"/>
              <w:right w:val="single" w:sz="8" w:space="0" w:color="auto"/>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Dec</w:t>
            </w:r>
          </w:p>
        </w:tc>
      </w:tr>
      <w:tr w:rsidR="00F55000" w:rsidRPr="00F55000" w:rsidTr="00227071">
        <w:trPr>
          <w:trHeight w:val="288"/>
        </w:trPr>
        <w:tc>
          <w:tcPr>
            <w:tcW w:w="960" w:type="dxa"/>
            <w:vMerge/>
            <w:tcBorders>
              <w:top w:val="nil"/>
              <w:left w:val="single" w:sz="8" w:space="0" w:color="auto"/>
              <w:bottom w:val="single" w:sz="8" w:space="0" w:color="000000"/>
              <w:right w:val="single" w:sz="8" w:space="0" w:color="FFFFFF"/>
            </w:tcBorders>
            <w:vAlign w:val="center"/>
            <w:hideMark/>
          </w:tcPr>
          <w:p w:rsidR="00F55000" w:rsidRPr="00F55000" w:rsidRDefault="00F55000" w:rsidP="00227071">
            <w:pPr>
              <w:spacing w:after="0" w:line="240" w:lineRule="auto"/>
              <w:rPr>
                <w:rFonts w:ascii="Arial" w:eastAsia="Times New Roman" w:hAnsi="Arial" w:cs="Arial"/>
                <w:color w:val="000000"/>
                <w:sz w:val="18"/>
                <w:szCs w:val="18"/>
              </w:rPr>
            </w:pPr>
          </w:p>
        </w:tc>
        <w:tc>
          <w:tcPr>
            <w:tcW w:w="8286" w:type="dxa"/>
            <w:gridSpan w:val="12"/>
            <w:tcBorders>
              <w:top w:val="single" w:sz="8" w:space="0" w:color="FFFFFF"/>
              <w:left w:val="nil"/>
              <w:bottom w:val="single" w:sz="8" w:space="0" w:color="auto"/>
              <w:right w:val="single" w:sz="8" w:space="0" w:color="000000"/>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1 - 6 PM</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2012</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2013</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2014</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2015</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2016</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2017</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2018</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2019</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2020</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2021</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rPr>
            </w:pPr>
            <w:r w:rsidRPr="00F55000">
              <w:rPr>
                <w:rFonts w:eastAsia="Times New Roman"/>
              </w:rPr>
              <w:t>2022</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rPr>
                <w:sz w:val="20"/>
                <w:szCs w:val="20"/>
              </w:rPr>
            </w:pPr>
            <w:r>
              <w:rPr>
                <w:sz w:val="20"/>
                <w:szCs w:val="20"/>
              </w:rPr>
              <w:t>154.5</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F55000">
            <w:pPr>
              <w:pStyle w:val="TableText"/>
              <w:rPr>
                <w:rFonts w:eastAsia="Times New Roman"/>
                <w:sz w:val="20"/>
                <w:szCs w:val="20"/>
              </w:rPr>
            </w:pPr>
            <w:r w:rsidRPr="00F55000">
              <w:rPr>
                <w:rFonts w:eastAsia="Times New Roman"/>
                <w:sz w:val="20"/>
                <w:szCs w:val="20"/>
              </w:rPr>
              <w:t>-</w:t>
            </w:r>
          </w:p>
        </w:tc>
      </w:tr>
    </w:tbl>
    <w:p w:rsidR="00F55000" w:rsidRDefault="00663CD4" w:rsidP="004C42F5">
      <w:pPr>
        <w:pStyle w:val="BodyParagraph"/>
      </w:pPr>
      <w:r>
        <w:t>*Impacts are the same for 1-in-10 and 1-in-2 weather years. Program specific and portfolio impacts are identical.</w:t>
      </w:r>
    </w:p>
    <w:p w:rsidR="00F55000" w:rsidRDefault="00F55000" w:rsidP="00F55000">
      <w:pPr>
        <w:pStyle w:val="Caption"/>
      </w:pPr>
      <w:r>
        <w:lastRenderedPageBreak/>
        <w:t>Table E-3:</w:t>
      </w:r>
    </w:p>
    <w:p w:rsidR="00F55000" w:rsidRDefault="00F55000" w:rsidP="00F55000">
      <w:pPr>
        <w:pStyle w:val="Caption"/>
      </w:pPr>
      <w:r>
        <w:t>CBP-DA</w:t>
      </w:r>
    </w:p>
    <w:tbl>
      <w:tblPr>
        <w:tblW w:w="9246" w:type="dxa"/>
        <w:tblInd w:w="95" w:type="dxa"/>
        <w:tblLayout w:type="fixed"/>
        <w:tblLook w:val="04A0"/>
      </w:tblPr>
      <w:tblGrid>
        <w:gridCol w:w="960"/>
        <w:gridCol w:w="583"/>
        <w:gridCol w:w="630"/>
        <w:gridCol w:w="537"/>
        <w:gridCol w:w="526"/>
        <w:gridCol w:w="827"/>
        <w:gridCol w:w="810"/>
        <w:gridCol w:w="810"/>
        <w:gridCol w:w="810"/>
        <w:gridCol w:w="810"/>
        <w:gridCol w:w="810"/>
        <w:gridCol w:w="557"/>
        <w:gridCol w:w="576"/>
      </w:tblGrid>
      <w:tr w:rsidR="00F55000" w:rsidRPr="00F55000" w:rsidTr="00227071">
        <w:trPr>
          <w:trHeight w:val="288"/>
        </w:trPr>
        <w:tc>
          <w:tcPr>
            <w:tcW w:w="960" w:type="dxa"/>
            <w:tcBorders>
              <w:top w:val="single" w:sz="8" w:space="0" w:color="auto"/>
              <w:left w:val="single" w:sz="8" w:space="0" w:color="auto"/>
              <w:bottom w:val="single" w:sz="8" w:space="0" w:color="FFFFFF"/>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 </w:t>
            </w:r>
          </w:p>
        </w:tc>
        <w:tc>
          <w:tcPr>
            <w:tcW w:w="8286" w:type="dxa"/>
            <w:gridSpan w:val="12"/>
            <w:tcBorders>
              <w:top w:val="single" w:sz="8" w:space="0" w:color="auto"/>
              <w:left w:val="nil"/>
              <w:bottom w:val="single" w:sz="8" w:space="0" w:color="FFFFFF"/>
              <w:right w:val="single" w:sz="8" w:space="0" w:color="000000"/>
            </w:tcBorders>
            <w:shd w:val="clear" w:color="000000" w:fill="1F497D"/>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Month and Resource Adequacy Window</w:t>
            </w:r>
          </w:p>
        </w:tc>
      </w:tr>
      <w:tr w:rsidR="00F55000" w:rsidRPr="00F55000" w:rsidTr="00227071">
        <w:trPr>
          <w:trHeight w:val="288"/>
        </w:trPr>
        <w:tc>
          <w:tcPr>
            <w:tcW w:w="960" w:type="dxa"/>
            <w:vMerge w:val="restart"/>
            <w:tcBorders>
              <w:top w:val="nil"/>
              <w:left w:val="single" w:sz="8" w:space="0" w:color="auto"/>
              <w:bottom w:val="single" w:sz="8" w:space="0" w:color="000000"/>
              <w:right w:val="single" w:sz="8" w:space="0" w:color="FFFFFF"/>
            </w:tcBorders>
            <w:shd w:val="clear" w:color="000000" w:fill="1F497D"/>
            <w:noWrap/>
            <w:vAlign w:val="bottom"/>
            <w:hideMark/>
          </w:tcPr>
          <w:p w:rsidR="00F55000" w:rsidRPr="00F55000" w:rsidRDefault="00F55000" w:rsidP="00227071">
            <w:pPr>
              <w:spacing w:after="0" w:line="240" w:lineRule="auto"/>
              <w:rPr>
                <w:rFonts w:ascii="Arial" w:eastAsia="Times New Roman" w:hAnsi="Arial" w:cs="Arial"/>
                <w:color w:val="000000"/>
                <w:sz w:val="18"/>
                <w:szCs w:val="18"/>
              </w:rPr>
            </w:pPr>
            <w:r w:rsidRPr="00F55000">
              <w:rPr>
                <w:rFonts w:ascii="Arial" w:eastAsia="Times New Roman" w:hAnsi="Arial" w:cs="Arial"/>
                <w:color w:val="000000"/>
                <w:sz w:val="18"/>
                <w:szCs w:val="18"/>
              </w:rPr>
              <w:t> </w:t>
            </w:r>
          </w:p>
        </w:tc>
        <w:tc>
          <w:tcPr>
            <w:tcW w:w="583"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Jan</w:t>
            </w:r>
          </w:p>
        </w:tc>
        <w:tc>
          <w:tcPr>
            <w:tcW w:w="63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Feb</w:t>
            </w:r>
          </w:p>
        </w:tc>
        <w:tc>
          <w:tcPr>
            <w:tcW w:w="537"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Mar</w:t>
            </w:r>
          </w:p>
        </w:tc>
        <w:tc>
          <w:tcPr>
            <w:tcW w:w="526"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Apr</w:t>
            </w:r>
          </w:p>
        </w:tc>
        <w:tc>
          <w:tcPr>
            <w:tcW w:w="827"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May</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Jun</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Jul</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Aug</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Sep</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Oct</w:t>
            </w:r>
          </w:p>
        </w:tc>
        <w:tc>
          <w:tcPr>
            <w:tcW w:w="557"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Nov</w:t>
            </w:r>
          </w:p>
        </w:tc>
        <w:tc>
          <w:tcPr>
            <w:tcW w:w="576" w:type="dxa"/>
            <w:tcBorders>
              <w:top w:val="nil"/>
              <w:left w:val="nil"/>
              <w:bottom w:val="nil"/>
              <w:right w:val="single" w:sz="8" w:space="0" w:color="auto"/>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Dec</w:t>
            </w:r>
          </w:p>
        </w:tc>
      </w:tr>
      <w:tr w:rsidR="00F55000" w:rsidRPr="00F55000" w:rsidTr="00227071">
        <w:trPr>
          <w:trHeight w:val="288"/>
        </w:trPr>
        <w:tc>
          <w:tcPr>
            <w:tcW w:w="960" w:type="dxa"/>
            <w:vMerge/>
            <w:tcBorders>
              <w:top w:val="nil"/>
              <w:left w:val="single" w:sz="8" w:space="0" w:color="auto"/>
              <w:bottom w:val="single" w:sz="8" w:space="0" w:color="000000"/>
              <w:right w:val="single" w:sz="8" w:space="0" w:color="FFFFFF"/>
            </w:tcBorders>
            <w:vAlign w:val="center"/>
            <w:hideMark/>
          </w:tcPr>
          <w:p w:rsidR="00F55000" w:rsidRPr="00F55000" w:rsidRDefault="00F55000" w:rsidP="00227071">
            <w:pPr>
              <w:spacing w:after="0" w:line="240" w:lineRule="auto"/>
              <w:rPr>
                <w:rFonts w:ascii="Arial" w:eastAsia="Times New Roman" w:hAnsi="Arial" w:cs="Arial"/>
                <w:color w:val="000000"/>
                <w:sz w:val="18"/>
                <w:szCs w:val="18"/>
              </w:rPr>
            </w:pPr>
          </w:p>
        </w:tc>
        <w:tc>
          <w:tcPr>
            <w:tcW w:w="8286" w:type="dxa"/>
            <w:gridSpan w:val="12"/>
            <w:tcBorders>
              <w:top w:val="single" w:sz="8" w:space="0" w:color="FFFFFF"/>
              <w:left w:val="nil"/>
              <w:bottom w:val="single" w:sz="8" w:space="0" w:color="auto"/>
              <w:right w:val="single" w:sz="8" w:space="0" w:color="000000"/>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1 - 6 PM</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2012</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12.0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12.0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12.0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12.1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12.1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12.1</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2013</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14.1</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2014</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14.3</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14.3</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14.2</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2015</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14.4</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2016</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14.6</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14.6</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14.6</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14.6</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14.6</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2017</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14.7</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14.8</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14.9</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14.9</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14.8</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14.8</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2018</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15.1</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2019</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15.3</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15.4</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2020</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15.6</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15.7</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15.8</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15.8</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15.8</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15.8</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2021</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15.9</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16.0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16.1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16.1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16.1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16.1</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2022</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16.3</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16.4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16.5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16.5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16.5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16.5</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bl>
    <w:p w:rsidR="00F55000" w:rsidRDefault="00663CD4" w:rsidP="004C42F5">
      <w:pPr>
        <w:pStyle w:val="BodyParagraph"/>
      </w:pPr>
      <w:r>
        <w:t>*Impacts are the same for 1-in-10 and 1-in-2 weather years. Program specific and portfolio impacts are identical.</w:t>
      </w:r>
    </w:p>
    <w:p w:rsidR="00F55000" w:rsidRDefault="00F55000" w:rsidP="00F55000">
      <w:pPr>
        <w:pStyle w:val="Caption"/>
      </w:pPr>
      <w:r>
        <w:t>Table E-4:</w:t>
      </w:r>
    </w:p>
    <w:p w:rsidR="00F55000" w:rsidRDefault="00F55000" w:rsidP="00F55000">
      <w:pPr>
        <w:pStyle w:val="Caption"/>
      </w:pPr>
      <w:r>
        <w:t>CBP-DO</w:t>
      </w:r>
    </w:p>
    <w:tbl>
      <w:tblPr>
        <w:tblW w:w="9246" w:type="dxa"/>
        <w:tblInd w:w="95" w:type="dxa"/>
        <w:tblLayout w:type="fixed"/>
        <w:tblLook w:val="04A0"/>
      </w:tblPr>
      <w:tblGrid>
        <w:gridCol w:w="960"/>
        <w:gridCol w:w="583"/>
        <w:gridCol w:w="630"/>
        <w:gridCol w:w="537"/>
        <w:gridCol w:w="526"/>
        <w:gridCol w:w="827"/>
        <w:gridCol w:w="810"/>
        <w:gridCol w:w="810"/>
        <w:gridCol w:w="810"/>
        <w:gridCol w:w="810"/>
        <w:gridCol w:w="810"/>
        <w:gridCol w:w="557"/>
        <w:gridCol w:w="576"/>
      </w:tblGrid>
      <w:tr w:rsidR="00F55000" w:rsidRPr="00F55000" w:rsidTr="00227071">
        <w:trPr>
          <w:trHeight w:val="288"/>
        </w:trPr>
        <w:tc>
          <w:tcPr>
            <w:tcW w:w="960" w:type="dxa"/>
            <w:tcBorders>
              <w:top w:val="single" w:sz="8" w:space="0" w:color="auto"/>
              <w:left w:val="single" w:sz="8" w:space="0" w:color="auto"/>
              <w:bottom w:val="single" w:sz="8" w:space="0" w:color="FFFFFF"/>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 </w:t>
            </w:r>
          </w:p>
        </w:tc>
        <w:tc>
          <w:tcPr>
            <w:tcW w:w="8286" w:type="dxa"/>
            <w:gridSpan w:val="12"/>
            <w:tcBorders>
              <w:top w:val="single" w:sz="8" w:space="0" w:color="auto"/>
              <w:left w:val="nil"/>
              <w:bottom w:val="single" w:sz="8" w:space="0" w:color="FFFFFF"/>
              <w:right w:val="single" w:sz="8" w:space="0" w:color="000000"/>
            </w:tcBorders>
            <w:shd w:val="clear" w:color="000000" w:fill="1F497D"/>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Month and Resource Adequacy Window</w:t>
            </w:r>
          </w:p>
        </w:tc>
      </w:tr>
      <w:tr w:rsidR="00F55000" w:rsidRPr="00F55000" w:rsidTr="00227071">
        <w:trPr>
          <w:trHeight w:val="288"/>
        </w:trPr>
        <w:tc>
          <w:tcPr>
            <w:tcW w:w="960" w:type="dxa"/>
            <w:vMerge w:val="restart"/>
            <w:tcBorders>
              <w:top w:val="nil"/>
              <w:left w:val="single" w:sz="8" w:space="0" w:color="auto"/>
              <w:bottom w:val="single" w:sz="8" w:space="0" w:color="000000"/>
              <w:right w:val="single" w:sz="8" w:space="0" w:color="FFFFFF"/>
            </w:tcBorders>
            <w:shd w:val="clear" w:color="000000" w:fill="1F497D"/>
            <w:noWrap/>
            <w:vAlign w:val="bottom"/>
            <w:hideMark/>
          </w:tcPr>
          <w:p w:rsidR="00F55000" w:rsidRPr="00F55000" w:rsidRDefault="00F55000" w:rsidP="00227071">
            <w:pPr>
              <w:spacing w:after="0" w:line="240" w:lineRule="auto"/>
              <w:rPr>
                <w:rFonts w:ascii="Arial" w:eastAsia="Times New Roman" w:hAnsi="Arial" w:cs="Arial"/>
                <w:color w:val="000000"/>
                <w:sz w:val="18"/>
                <w:szCs w:val="18"/>
              </w:rPr>
            </w:pPr>
            <w:r w:rsidRPr="00F55000">
              <w:rPr>
                <w:rFonts w:ascii="Arial" w:eastAsia="Times New Roman" w:hAnsi="Arial" w:cs="Arial"/>
                <w:color w:val="000000"/>
                <w:sz w:val="18"/>
                <w:szCs w:val="18"/>
              </w:rPr>
              <w:t> </w:t>
            </w:r>
          </w:p>
        </w:tc>
        <w:tc>
          <w:tcPr>
            <w:tcW w:w="583"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Jan</w:t>
            </w:r>
          </w:p>
        </w:tc>
        <w:tc>
          <w:tcPr>
            <w:tcW w:w="63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Feb</w:t>
            </w:r>
          </w:p>
        </w:tc>
        <w:tc>
          <w:tcPr>
            <w:tcW w:w="537"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Mar</w:t>
            </w:r>
          </w:p>
        </w:tc>
        <w:tc>
          <w:tcPr>
            <w:tcW w:w="526"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Apr</w:t>
            </w:r>
          </w:p>
        </w:tc>
        <w:tc>
          <w:tcPr>
            <w:tcW w:w="827"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May</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Jun</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Jul</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Aug</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Sep</w:t>
            </w:r>
          </w:p>
        </w:tc>
        <w:tc>
          <w:tcPr>
            <w:tcW w:w="810"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Oct</w:t>
            </w:r>
          </w:p>
        </w:tc>
        <w:tc>
          <w:tcPr>
            <w:tcW w:w="557" w:type="dxa"/>
            <w:tcBorders>
              <w:top w:val="nil"/>
              <w:left w:val="nil"/>
              <w:bottom w:val="nil"/>
              <w:right w:val="single" w:sz="8" w:space="0" w:color="FFFFFF"/>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Nov</w:t>
            </w:r>
          </w:p>
        </w:tc>
        <w:tc>
          <w:tcPr>
            <w:tcW w:w="576" w:type="dxa"/>
            <w:tcBorders>
              <w:top w:val="nil"/>
              <w:left w:val="nil"/>
              <w:bottom w:val="nil"/>
              <w:right w:val="single" w:sz="8" w:space="0" w:color="auto"/>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Dec</w:t>
            </w:r>
          </w:p>
        </w:tc>
      </w:tr>
      <w:tr w:rsidR="00F55000" w:rsidRPr="00F55000" w:rsidTr="00227071">
        <w:trPr>
          <w:trHeight w:val="288"/>
        </w:trPr>
        <w:tc>
          <w:tcPr>
            <w:tcW w:w="960" w:type="dxa"/>
            <w:vMerge/>
            <w:tcBorders>
              <w:top w:val="nil"/>
              <w:left w:val="single" w:sz="8" w:space="0" w:color="auto"/>
              <w:bottom w:val="single" w:sz="8" w:space="0" w:color="000000"/>
              <w:right w:val="single" w:sz="8" w:space="0" w:color="FFFFFF"/>
            </w:tcBorders>
            <w:vAlign w:val="center"/>
            <w:hideMark/>
          </w:tcPr>
          <w:p w:rsidR="00F55000" w:rsidRPr="00F55000" w:rsidRDefault="00F55000" w:rsidP="00227071">
            <w:pPr>
              <w:spacing w:after="0" w:line="240" w:lineRule="auto"/>
              <w:rPr>
                <w:rFonts w:ascii="Arial" w:eastAsia="Times New Roman" w:hAnsi="Arial" w:cs="Arial"/>
                <w:color w:val="000000"/>
                <w:sz w:val="18"/>
                <w:szCs w:val="18"/>
              </w:rPr>
            </w:pPr>
          </w:p>
        </w:tc>
        <w:tc>
          <w:tcPr>
            <w:tcW w:w="8286" w:type="dxa"/>
            <w:gridSpan w:val="12"/>
            <w:tcBorders>
              <w:top w:val="single" w:sz="8" w:space="0" w:color="FFFFFF"/>
              <w:left w:val="nil"/>
              <w:bottom w:val="single" w:sz="8" w:space="0" w:color="auto"/>
              <w:right w:val="single" w:sz="8" w:space="0" w:color="000000"/>
            </w:tcBorders>
            <w:shd w:val="clear" w:color="000000" w:fill="1F497D"/>
            <w:noWrap/>
            <w:vAlign w:val="bottom"/>
            <w:hideMark/>
          </w:tcPr>
          <w:p w:rsidR="00F55000" w:rsidRPr="00F55000" w:rsidRDefault="00F55000"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1 - 6 PM</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2012</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17.4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17.4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17.5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17.5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17.5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17.6</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2013</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20.2</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20.3</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20.3</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20.3</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20.3</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20.1</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2014</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20.3</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20.4</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2015</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20.6</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20.7</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20.7</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20.7</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20.7</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20.6</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2016</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20.9</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21.0</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2017</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21.2</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21.3</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21.4</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21.3</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2018</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21.6</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21.7</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21.8</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21.8</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21.8</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21.8</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2019</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22.0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22.2</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22.2</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22.2</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22.2</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2020</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22.5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22.6</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22.7</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22.7</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22.7</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22.7</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2021</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23.0</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23.1</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23.2</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23.2</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23.2</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23.2</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r w:rsidR="00F55000"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rPr>
            </w:pPr>
            <w:r w:rsidRPr="00F55000">
              <w:rPr>
                <w:rFonts w:eastAsia="Times New Roman"/>
              </w:rPr>
              <w:t>2022</w:t>
            </w:r>
          </w:p>
        </w:tc>
        <w:tc>
          <w:tcPr>
            <w:tcW w:w="583"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23.5</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23.6</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23.7</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23.7</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23.7</w:t>
            </w:r>
          </w:p>
        </w:tc>
        <w:tc>
          <w:tcPr>
            <w:tcW w:w="810" w:type="dxa"/>
            <w:tcBorders>
              <w:top w:val="nil"/>
              <w:left w:val="nil"/>
              <w:bottom w:val="single" w:sz="8" w:space="0" w:color="auto"/>
              <w:right w:val="single" w:sz="8" w:space="0" w:color="auto"/>
            </w:tcBorders>
            <w:shd w:val="clear" w:color="auto" w:fill="auto"/>
            <w:noWrap/>
            <w:vAlign w:val="bottom"/>
            <w:hideMark/>
          </w:tcPr>
          <w:p w:rsidR="00F55000" w:rsidRDefault="00F55000" w:rsidP="00F55000">
            <w:pPr>
              <w:pStyle w:val="TableText"/>
            </w:pPr>
            <w:r>
              <w:t>23.7</w:t>
            </w:r>
          </w:p>
        </w:tc>
        <w:tc>
          <w:tcPr>
            <w:tcW w:w="557"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55000" w:rsidRPr="00F55000" w:rsidRDefault="00F55000" w:rsidP="00227071">
            <w:pPr>
              <w:pStyle w:val="TableText"/>
              <w:rPr>
                <w:rFonts w:eastAsia="Times New Roman"/>
                <w:sz w:val="20"/>
                <w:szCs w:val="20"/>
              </w:rPr>
            </w:pPr>
            <w:r w:rsidRPr="00F55000">
              <w:rPr>
                <w:rFonts w:eastAsia="Times New Roman"/>
                <w:sz w:val="20"/>
                <w:szCs w:val="20"/>
              </w:rPr>
              <w:t>-</w:t>
            </w:r>
          </w:p>
        </w:tc>
      </w:tr>
    </w:tbl>
    <w:p w:rsidR="00F55000" w:rsidRDefault="00663CD4" w:rsidP="004C42F5">
      <w:pPr>
        <w:pStyle w:val="BodyParagraph"/>
      </w:pPr>
      <w:r>
        <w:t>*Impacts are the same for 1-in-10 and 1-in-2 weather years. Program specific and portfolio impacts are identical.</w:t>
      </w:r>
    </w:p>
    <w:p w:rsidR="00F55000" w:rsidRDefault="00F55000">
      <w:pPr>
        <w:rPr>
          <w:rFonts w:ascii="Verdana" w:hAnsi="Verdana"/>
          <w:sz w:val="18"/>
        </w:rPr>
      </w:pPr>
      <w:r>
        <w:br w:type="page"/>
      </w:r>
    </w:p>
    <w:p w:rsidR="00F55000" w:rsidRDefault="00F55000" w:rsidP="00F55000">
      <w:pPr>
        <w:pStyle w:val="AppendixHeading2"/>
      </w:pPr>
      <w:bookmarkStart w:id="422" w:name="_Toc326074055"/>
      <w:r>
        <w:lastRenderedPageBreak/>
        <w:t>SCE</w:t>
      </w:r>
      <w:bookmarkEnd w:id="422"/>
    </w:p>
    <w:p w:rsidR="00F949D3" w:rsidRDefault="00F949D3" w:rsidP="00F949D3">
      <w:pPr>
        <w:pStyle w:val="Caption"/>
      </w:pPr>
      <w:r>
        <w:t>Table E-5:</w:t>
      </w:r>
    </w:p>
    <w:p w:rsidR="00F949D3" w:rsidRDefault="00F949D3" w:rsidP="00F949D3">
      <w:pPr>
        <w:pStyle w:val="Caption"/>
      </w:pPr>
      <w:r>
        <w:t>DRRC-DA</w:t>
      </w:r>
    </w:p>
    <w:tbl>
      <w:tblPr>
        <w:tblW w:w="9246" w:type="dxa"/>
        <w:tblInd w:w="95" w:type="dxa"/>
        <w:tblLayout w:type="fixed"/>
        <w:tblLook w:val="04A0"/>
      </w:tblPr>
      <w:tblGrid>
        <w:gridCol w:w="960"/>
        <w:gridCol w:w="583"/>
        <w:gridCol w:w="630"/>
        <w:gridCol w:w="537"/>
        <w:gridCol w:w="526"/>
        <w:gridCol w:w="827"/>
        <w:gridCol w:w="810"/>
        <w:gridCol w:w="810"/>
        <w:gridCol w:w="810"/>
        <w:gridCol w:w="810"/>
        <w:gridCol w:w="810"/>
        <w:gridCol w:w="557"/>
        <w:gridCol w:w="576"/>
      </w:tblGrid>
      <w:tr w:rsidR="00F949D3" w:rsidRPr="00F55000" w:rsidTr="00227071">
        <w:trPr>
          <w:trHeight w:val="288"/>
        </w:trPr>
        <w:tc>
          <w:tcPr>
            <w:tcW w:w="960" w:type="dxa"/>
            <w:tcBorders>
              <w:top w:val="single" w:sz="8" w:space="0" w:color="auto"/>
              <w:left w:val="single" w:sz="8" w:space="0" w:color="auto"/>
              <w:bottom w:val="single" w:sz="8" w:space="0" w:color="FFFFFF"/>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 </w:t>
            </w:r>
          </w:p>
        </w:tc>
        <w:tc>
          <w:tcPr>
            <w:tcW w:w="8286" w:type="dxa"/>
            <w:gridSpan w:val="12"/>
            <w:tcBorders>
              <w:top w:val="single" w:sz="8" w:space="0" w:color="auto"/>
              <w:left w:val="nil"/>
              <w:bottom w:val="single" w:sz="8" w:space="0" w:color="FFFFFF"/>
              <w:right w:val="single" w:sz="8" w:space="0" w:color="000000"/>
            </w:tcBorders>
            <w:shd w:val="clear" w:color="000000" w:fill="1F497D"/>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Month and Resource Adequacy Window</w:t>
            </w:r>
          </w:p>
        </w:tc>
      </w:tr>
      <w:tr w:rsidR="00F949D3" w:rsidRPr="00F55000" w:rsidTr="00227071">
        <w:trPr>
          <w:trHeight w:val="288"/>
        </w:trPr>
        <w:tc>
          <w:tcPr>
            <w:tcW w:w="960" w:type="dxa"/>
            <w:vMerge w:val="restart"/>
            <w:tcBorders>
              <w:top w:val="nil"/>
              <w:left w:val="single" w:sz="8" w:space="0" w:color="auto"/>
              <w:bottom w:val="single" w:sz="8" w:space="0" w:color="000000"/>
              <w:right w:val="single" w:sz="8" w:space="0" w:color="FFFFFF"/>
            </w:tcBorders>
            <w:shd w:val="clear" w:color="000000" w:fill="1F497D"/>
            <w:noWrap/>
            <w:vAlign w:val="bottom"/>
            <w:hideMark/>
          </w:tcPr>
          <w:p w:rsidR="00F949D3" w:rsidRPr="00F55000" w:rsidRDefault="00F949D3" w:rsidP="00227071">
            <w:pPr>
              <w:spacing w:after="0" w:line="240" w:lineRule="auto"/>
              <w:rPr>
                <w:rFonts w:ascii="Arial" w:eastAsia="Times New Roman" w:hAnsi="Arial" w:cs="Arial"/>
                <w:color w:val="000000"/>
                <w:sz w:val="18"/>
                <w:szCs w:val="18"/>
              </w:rPr>
            </w:pPr>
            <w:r w:rsidRPr="00F55000">
              <w:rPr>
                <w:rFonts w:ascii="Arial" w:eastAsia="Times New Roman" w:hAnsi="Arial" w:cs="Arial"/>
                <w:color w:val="000000"/>
                <w:sz w:val="18"/>
                <w:szCs w:val="18"/>
              </w:rPr>
              <w:t> </w:t>
            </w:r>
          </w:p>
        </w:tc>
        <w:tc>
          <w:tcPr>
            <w:tcW w:w="583"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Jan</w:t>
            </w:r>
          </w:p>
        </w:tc>
        <w:tc>
          <w:tcPr>
            <w:tcW w:w="63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Feb</w:t>
            </w:r>
          </w:p>
        </w:tc>
        <w:tc>
          <w:tcPr>
            <w:tcW w:w="537"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Mar</w:t>
            </w:r>
          </w:p>
        </w:tc>
        <w:tc>
          <w:tcPr>
            <w:tcW w:w="526"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Apr</w:t>
            </w:r>
          </w:p>
        </w:tc>
        <w:tc>
          <w:tcPr>
            <w:tcW w:w="827"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May</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Jun</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Jul</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Aug</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Sep</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Oct</w:t>
            </w:r>
          </w:p>
        </w:tc>
        <w:tc>
          <w:tcPr>
            <w:tcW w:w="557"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Nov</w:t>
            </w:r>
          </w:p>
        </w:tc>
        <w:tc>
          <w:tcPr>
            <w:tcW w:w="576" w:type="dxa"/>
            <w:tcBorders>
              <w:top w:val="nil"/>
              <w:left w:val="nil"/>
              <w:bottom w:val="nil"/>
              <w:right w:val="single" w:sz="8" w:space="0" w:color="auto"/>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Dec</w:t>
            </w:r>
          </w:p>
        </w:tc>
      </w:tr>
      <w:tr w:rsidR="00F949D3" w:rsidRPr="00F55000" w:rsidTr="00227071">
        <w:trPr>
          <w:trHeight w:val="288"/>
        </w:trPr>
        <w:tc>
          <w:tcPr>
            <w:tcW w:w="960" w:type="dxa"/>
            <w:vMerge/>
            <w:tcBorders>
              <w:top w:val="nil"/>
              <w:left w:val="single" w:sz="8" w:space="0" w:color="auto"/>
              <w:bottom w:val="single" w:sz="8" w:space="0" w:color="000000"/>
              <w:right w:val="single" w:sz="8" w:space="0" w:color="FFFFFF"/>
            </w:tcBorders>
            <w:vAlign w:val="center"/>
            <w:hideMark/>
          </w:tcPr>
          <w:p w:rsidR="00F949D3" w:rsidRPr="00F55000" w:rsidRDefault="00F949D3" w:rsidP="00227071">
            <w:pPr>
              <w:spacing w:after="0" w:line="240" w:lineRule="auto"/>
              <w:rPr>
                <w:rFonts w:ascii="Arial" w:eastAsia="Times New Roman" w:hAnsi="Arial" w:cs="Arial"/>
                <w:color w:val="000000"/>
                <w:sz w:val="18"/>
                <w:szCs w:val="18"/>
              </w:rPr>
            </w:pPr>
          </w:p>
        </w:tc>
        <w:tc>
          <w:tcPr>
            <w:tcW w:w="8286" w:type="dxa"/>
            <w:gridSpan w:val="12"/>
            <w:tcBorders>
              <w:top w:val="single" w:sz="8" w:space="0" w:color="FFFFFF"/>
              <w:left w:val="nil"/>
              <w:bottom w:val="single" w:sz="8" w:space="0" w:color="auto"/>
              <w:right w:val="single" w:sz="8" w:space="0" w:color="000000"/>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1 - 6 PM</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2012</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10.2</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12.6</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14.3</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14.5</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2013</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10.2</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12.6</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14.3</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14.5</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2014</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10.2</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12.6</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14.3</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14.5</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2015</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10.2</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12.6</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14.3</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14.5</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2016</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10.2</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12.6</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14.3</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14.5</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2017</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10.2</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12.6</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14.3</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14.5</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2018</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10.2</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12.6</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14.3</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14.5</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2019</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10.2</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12.6</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14.3</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14.5</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2020</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10.2</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12.6</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14.3</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14.5</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2021</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10.2</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12.6</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14.3</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14.5</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2022</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10.2</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12.6</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14.3</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14.5</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bl>
    <w:p w:rsidR="00F949D3" w:rsidRDefault="00663CD4" w:rsidP="00F55000">
      <w:pPr>
        <w:pStyle w:val="BodyParagraph"/>
      </w:pPr>
      <w:r>
        <w:t>*Impacts are the same for 1-in-10 and 1-in-2 weather years. Program specific and portfolio impacts are identical.</w:t>
      </w:r>
    </w:p>
    <w:p w:rsidR="00F949D3" w:rsidRDefault="00F949D3" w:rsidP="00F949D3">
      <w:pPr>
        <w:pStyle w:val="Caption"/>
      </w:pPr>
      <w:r>
        <w:t>Table E-6:</w:t>
      </w:r>
    </w:p>
    <w:p w:rsidR="00F949D3" w:rsidRDefault="00F949D3" w:rsidP="00F949D3">
      <w:pPr>
        <w:pStyle w:val="Caption"/>
      </w:pPr>
      <w:r>
        <w:t>DRRC-DO</w:t>
      </w:r>
    </w:p>
    <w:tbl>
      <w:tblPr>
        <w:tblW w:w="9246" w:type="dxa"/>
        <w:tblInd w:w="95" w:type="dxa"/>
        <w:tblLayout w:type="fixed"/>
        <w:tblLook w:val="04A0"/>
      </w:tblPr>
      <w:tblGrid>
        <w:gridCol w:w="960"/>
        <w:gridCol w:w="583"/>
        <w:gridCol w:w="630"/>
        <w:gridCol w:w="537"/>
        <w:gridCol w:w="526"/>
        <w:gridCol w:w="827"/>
        <w:gridCol w:w="810"/>
        <w:gridCol w:w="810"/>
        <w:gridCol w:w="810"/>
        <w:gridCol w:w="810"/>
        <w:gridCol w:w="810"/>
        <w:gridCol w:w="557"/>
        <w:gridCol w:w="576"/>
      </w:tblGrid>
      <w:tr w:rsidR="00F949D3" w:rsidRPr="00F55000" w:rsidTr="00227071">
        <w:trPr>
          <w:trHeight w:val="288"/>
        </w:trPr>
        <w:tc>
          <w:tcPr>
            <w:tcW w:w="960" w:type="dxa"/>
            <w:tcBorders>
              <w:top w:val="single" w:sz="8" w:space="0" w:color="auto"/>
              <w:left w:val="single" w:sz="8" w:space="0" w:color="auto"/>
              <w:bottom w:val="single" w:sz="8" w:space="0" w:color="FFFFFF"/>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 </w:t>
            </w:r>
          </w:p>
        </w:tc>
        <w:tc>
          <w:tcPr>
            <w:tcW w:w="8286" w:type="dxa"/>
            <w:gridSpan w:val="12"/>
            <w:tcBorders>
              <w:top w:val="single" w:sz="8" w:space="0" w:color="auto"/>
              <w:left w:val="nil"/>
              <w:bottom w:val="single" w:sz="8" w:space="0" w:color="FFFFFF"/>
              <w:right w:val="single" w:sz="8" w:space="0" w:color="000000"/>
            </w:tcBorders>
            <w:shd w:val="clear" w:color="000000" w:fill="1F497D"/>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Month and Resource Adequacy Window</w:t>
            </w:r>
          </w:p>
        </w:tc>
      </w:tr>
      <w:tr w:rsidR="00F949D3" w:rsidRPr="00F55000" w:rsidTr="00227071">
        <w:trPr>
          <w:trHeight w:val="288"/>
        </w:trPr>
        <w:tc>
          <w:tcPr>
            <w:tcW w:w="960" w:type="dxa"/>
            <w:vMerge w:val="restart"/>
            <w:tcBorders>
              <w:top w:val="nil"/>
              <w:left w:val="single" w:sz="8" w:space="0" w:color="auto"/>
              <w:bottom w:val="single" w:sz="8" w:space="0" w:color="000000"/>
              <w:right w:val="single" w:sz="8" w:space="0" w:color="FFFFFF"/>
            </w:tcBorders>
            <w:shd w:val="clear" w:color="000000" w:fill="1F497D"/>
            <w:noWrap/>
            <w:vAlign w:val="bottom"/>
            <w:hideMark/>
          </w:tcPr>
          <w:p w:rsidR="00F949D3" w:rsidRPr="00F55000" w:rsidRDefault="00F949D3" w:rsidP="00227071">
            <w:pPr>
              <w:spacing w:after="0" w:line="240" w:lineRule="auto"/>
              <w:rPr>
                <w:rFonts w:ascii="Arial" w:eastAsia="Times New Roman" w:hAnsi="Arial" w:cs="Arial"/>
                <w:color w:val="000000"/>
                <w:sz w:val="18"/>
                <w:szCs w:val="18"/>
              </w:rPr>
            </w:pPr>
            <w:r w:rsidRPr="00F55000">
              <w:rPr>
                <w:rFonts w:ascii="Arial" w:eastAsia="Times New Roman" w:hAnsi="Arial" w:cs="Arial"/>
                <w:color w:val="000000"/>
                <w:sz w:val="18"/>
                <w:szCs w:val="18"/>
              </w:rPr>
              <w:t> </w:t>
            </w:r>
          </w:p>
        </w:tc>
        <w:tc>
          <w:tcPr>
            <w:tcW w:w="583"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Jan</w:t>
            </w:r>
          </w:p>
        </w:tc>
        <w:tc>
          <w:tcPr>
            <w:tcW w:w="63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Feb</w:t>
            </w:r>
          </w:p>
        </w:tc>
        <w:tc>
          <w:tcPr>
            <w:tcW w:w="537"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Mar</w:t>
            </w:r>
          </w:p>
        </w:tc>
        <w:tc>
          <w:tcPr>
            <w:tcW w:w="526"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Apr</w:t>
            </w:r>
          </w:p>
        </w:tc>
        <w:tc>
          <w:tcPr>
            <w:tcW w:w="827"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May</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Jun</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Jul</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Aug</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Sep</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Oct</w:t>
            </w:r>
          </w:p>
        </w:tc>
        <w:tc>
          <w:tcPr>
            <w:tcW w:w="557"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Nov</w:t>
            </w:r>
          </w:p>
        </w:tc>
        <w:tc>
          <w:tcPr>
            <w:tcW w:w="576" w:type="dxa"/>
            <w:tcBorders>
              <w:top w:val="nil"/>
              <w:left w:val="nil"/>
              <w:bottom w:val="nil"/>
              <w:right w:val="single" w:sz="8" w:space="0" w:color="auto"/>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Dec</w:t>
            </w:r>
          </w:p>
        </w:tc>
      </w:tr>
      <w:tr w:rsidR="00F949D3" w:rsidRPr="00F55000" w:rsidTr="00227071">
        <w:trPr>
          <w:trHeight w:val="288"/>
        </w:trPr>
        <w:tc>
          <w:tcPr>
            <w:tcW w:w="960" w:type="dxa"/>
            <w:vMerge/>
            <w:tcBorders>
              <w:top w:val="nil"/>
              <w:left w:val="single" w:sz="8" w:space="0" w:color="auto"/>
              <w:bottom w:val="single" w:sz="8" w:space="0" w:color="000000"/>
              <w:right w:val="single" w:sz="8" w:space="0" w:color="FFFFFF"/>
            </w:tcBorders>
            <w:vAlign w:val="center"/>
            <w:hideMark/>
          </w:tcPr>
          <w:p w:rsidR="00F949D3" w:rsidRPr="00F55000" w:rsidRDefault="00F949D3" w:rsidP="00227071">
            <w:pPr>
              <w:spacing w:after="0" w:line="240" w:lineRule="auto"/>
              <w:rPr>
                <w:rFonts w:ascii="Arial" w:eastAsia="Times New Roman" w:hAnsi="Arial" w:cs="Arial"/>
                <w:color w:val="000000"/>
                <w:sz w:val="18"/>
                <w:szCs w:val="18"/>
              </w:rPr>
            </w:pPr>
          </w:p>
        </w:tc>
        <w:tc>
          <w:tcPr>
            <w:tcW w:w="8286" w:type="dxa"/>
            <w:gridSpan w:val="12"/>
            <w:tcBorders>
              <w:top w:val="single" w:sz="8" w:space="0" w:color="FFFFFF"/>
              <w:left w:val="nil"/>
              <w:bottom w:val="single" w:sz="8" w:space="0" w:color="auto"/>
              <w:right w:val="single" w:sz="8" w:space="0" w:color="000000"/>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1 - 6 PM</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2012</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127.9</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137.4</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144.2</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153.5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159.0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161.1</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2013</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140.7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151.0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158.6</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168.9</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175.0</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177.2</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2014</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154.7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166.1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174.5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185.8</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192.5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194.9</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2015</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154.7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166.1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174.5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185.8</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192.5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194.9</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2016</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154.7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166.1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174.5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185.8</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192.5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194.9</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2017</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154.7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166.1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174.5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185.8</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192.5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194.9</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2018</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154.7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166.1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174.5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185.8</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192.5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194.9</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2019</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154.7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166.1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174.5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185.8</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192.5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194.9</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2020</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154.7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166.1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174.5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185.8</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192.5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194.9</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2021</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154.7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166.1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174.5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185.8</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192.5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194.9</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2022</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154.7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166.1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174.5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185.8</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192.5</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194.9</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bl>
    <w:p w:rsidR="00F949D3" w:rsidRDefault="00663CD4" w:rsidP="00F55000">
      <w:pPr>
        <w:pStyle w:val="BodyParagraph"/>
      </w:pPr>
      <w:r>
        <w:t>*Impacts are the same for 1-in-10 and 1-in-2 weather years. Program specific and portfolio impacts are identical.</w:t>
      </w:r>
    </w:p>
    <w:p w:rsidR="00F949D3" w:rsidRDefault="00F949D3" w:rsidP="00F949D3">
      <w:pPr>
        <w:pStyle w:val="Caption"/>
      </w:pPr>
      <w:r>
        <w:lastRenderedPageBreak/>
        <w:t>Table E-7:</w:t>
      </w:r>
    </w:p>
    <w:p w:rsidR="00F949D3" w:rsidRDefault="00F949D3" w:rsidP="00F949D3">
      <w:pPr>
        <w:pStyle w:val="Caption"/>
      </w:pPr>
      <w:r>
        <w:t>CBP-DA</w:t>
      </w:r>
    </w:p>
    <w:tbl>
      <w:tblPr>
        <w:tblW w:w="9246" w:type="dxa"/>
        <w:tblInd w:w="95" w:type="dxa"/>
        <w:tblLayout w:type="fixed"/>
        <w:tblLook w:val="04A0"/>
      </w:tblPr>
      <w:tblGrid>
        <w:gridCol w:w="960"/>
        <w:gridCol w:w="583"/>
        <w:gridCol w:w="630"/>
        <w:gridCol w:w="537"/>
        <w:gridCol w:w="526"/>
        <w:gridCol w:w="827"/>
        <w:gridCol w:w="810"/>
        <w:gridCol w:w="810"/>
        <w:gridCol w:w="810"/>
        <w:gridCol w:w="810"/>
        <w:gridCol w:w="810"/>
        <w:gridCol w:w="557"/>
        <w:gridCol w:w="576"/>
      </w:tblGrid>
      <w:tr w:rsidR="00F949D3" w:rsidRPr="00F55000" w:rsidTr="00227071">
        <w:trPr>
          <w:trHeight w:val="288"/>
        </w:trPr>
        <w:tc>
          <w:tcPr>
            <w:tcW w:w="960" w:type="dxa"/>
            <w:tcBorders>
              <w:top w:val="single" w:sz="8" w:space="0" w:color="auto"/>
              <w:left w:val="single" w:sz="8" w:space="0" w:color="auto"/>
              <w:bottom w:val="single" w:sz="8" w:space="0" w:color="FFFFFF"/>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 </w:t>
            </w:r>
          </w:p>
        </w:tc>
        <w:tc>
          <w:tcPr>
            <w:tcW w:w="8286" w:type="dxa"/>
            <w:gridSpan w:val="12"/>
            <w:tcBorders>
              <w:top w:val="single" w:sz="8" w:space="0" w:color="auto"/>
              <w:left w:val="nil"/>
              <w:bottom w:val="single" w:sz="8" w:space="0" w:color="FFFFFF"/>
              <w:right w:val="single" w:sz="8" w:space="0" w:color="000000"/>
            </w:tcBorders>
            <w:shd w:val="clear" w:color="000000" w:fill="1F497D"/>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Month and Resource Adequacy Window</w:t>
            </w:r>
          </w:p>
        </w:tc>
      </w:tr>
      <w:tr w:rsidR="00F949D3" w:rsidRPr="00F55000" w:rsidTr="00227071">
        <w:trPr>
          <w:trHeight w:val="288"/>
        </w:trPr>
        <w:tc>
          <w:tcPr>
            <w:tcW w:w="960" w:type="dxa"/>
            <w:vMerge w:val="restart"/>
            <w:tcBorders>
              <w:top w:val="nil"/>
              <w:left w:val="single" w:sz="8" w:space="0" w:color="auto"/>
              <w:bottom w:val="single" w:sz="8" w:space="0" w:color="000000"/>
              <w:right w:val="single" w:sz="8" w:space="0" w:color="FFFFFF"/>
            </w:tcBorders>
            <w:shd w:val="clear" w:color="000000" w:fill="1F497D"/>
            <w:noWrap/>
            <w:vAlign w:val="bottom"/>
            <w:hideMark/>
          </w:tcPr>
          <w:p w:rsidR="00F949D3" w:rsidRPr="00F55000" w:rsidRDefault="00F949D3" w:rsidP="00227071">
            <w:pPr>
              <w:spacing w:after="0" w:line="240" w:lineRule="auto"/>
              <w:rPr>
                <w:rFonts w:ascii="Arial" w:eastAsia="Times New Roman" w:hAnsi="Arial" w:cs="Arial"/>
                <w:color w:val="000000"/>
                <w:sz w:val="18"/>
                <w:szCs w:val="18"/>
              </w:rPr>
            </w:pPr>
            <w:r w:rsidRPr="00F55000">
              <w:rPr>
                <w:rFonts w:ascii="Arial" w:eastAsia="Times New Roman" w:hAnsi="Arial" w:cs="Arial"/>
                <w:color w:val="000000"/>
                <w:sz w:val="18"/>
                <w:szCs w:val="18"/>
              </w:rPr>
              <w:t> </w:t>
            </w:r>
          </w:p>
        </w:tc>
        <w:tc>
          <w:tcPr>
            <w:tcW w:w="583"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Jan</w:t>
            </w:r>
          </w:p>
        </w:tc>
        <w:tc>
          <w:tcPr>
            <w:tcW w:w="63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Feb</w:t>
            </w:r>
          </w:p>
        </w:tc>
        <w:tc>
          <w:tcPr>
            <w:tcW w:w="537"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Mar</w:t>
            </w:r>
          </w:p>
        </w:tc>
        <w:tc>
          <w:tcPr>
            <w:tcW w:w="526"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Apr</w:t>
            </w:r>
          </w:p>
        </w:tc>
        <w:tc>
          <w:tcPr>
            <w:tcW w:w="827"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May</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Jun</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Jul</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Aug</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Sep</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Oct</w:t>
            </w:r>
          </w:p>
        </w:tc>
        <w:tc>
          <w:tcPr>
            <w:tcW w:w="557"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Nov</w:t>
            </w:r>
          </w:p>
        </w:tc>
        <w:tc>
          <w:tcPr>
            <w:tcW w:w="576" w:type="dxa"/>
            <w:tcBorders>
              <w:top w:val="nil"/>
              <w:left w:val="nil"/>
              <w:bottom w:val="nil"/>
              <w:right w:val="single" w:sz="8" w:space="0" w:color="auto"/>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Dec</w:t>
            </w:r>
          </w:p>
        </w:tc>
      </w:tr>
      <w:tr w:rsidR="00F949D3" w:rsidRPr="00F55000" w:rsidTr="00227071">
        <w:trPr>
          <w:trHeight w:val="288"/>
        </w:trPr>
        <w:tc>
          <w:tcPr>
            <w:tcW w:w="960" w:type="dxa"/>
            <w:vMerge/>
            <w:tcBorders>
              <w:top w:val="nil"/>
              <w:left w:val="single" w:sz="8" w:space="0" w:color="auto"/>
              <w:bottom w:val="single" w:sz="8" w:space="0" w:color="000000"/>
              <w:right w:val="single" w:sz="8" w:space="0" w:color="FFFFFF"/>
            </w:tcBorders>
            <w:vAlign w:val="center"/>
            <w:hideMark/>
          </w:tcPr>
          <w:p w:rsidR="00F949D3" w:rsidRPr="00F55000" w:rsidRDefault="00F949D3" w:rsidP="00227071">
            <w:pPr>
              <w:spacing w:after="0" w:line="240" w:lineRule="auto"/>
              <w:rPr>
                <w:rFonts w:ascii="Arial" w:eastAsia="Times New Roman" w:hAnsi="Arial" w:cs="Arial"/>
                <w:color w:val="000000"/>
                <w:sz w:val="18"/>
                <w:szCs w:val="18"/>
              </w:rPr>
            </w:pPr>
          </w:p>
        </w:tc>
        <w:tc>
          <w:tcPr>
            <w:tcW w:w="8286" w:type="dxa"/>
            <w:gridSpan w:val="12"/>
            <w:tcBorders>
              <w:top w:val="single" w:sz="8" w:space="0" w:color="FFFFFF"/>
              <w:left w:val="nil"/>
              <w:bottom w:val="single" w:sz="8" w:space="0" w:color="auto"/>
              <w:right w:val="single" w:sz="8" w:space="0" w:color="000000"/>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1 - 6 PM</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2012</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5.4</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5.4</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5.4</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5.4</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5.4</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5.4</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2013</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2014</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2015</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2016</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2017</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2018</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2019</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2020</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2021</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2022</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5.7</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bl>
    <w:p w:rsidR="00F949D3" w:rsidRDefault="00663CD4" w:rsidP="00F55000">
      <w:pPr>
        <w:pStyle w:val="BodyParagraph"/>
      </w:pPr>
      <w:r>
        <w:t>*Impacts are the same for 1-in-10 and 1-in-2 weather years. Program specific and portfolio impacts are identical.</w:t>
      </w:r>
    </w:p>
    <w:p w:rsidR="00F949D3" w:rsidRDefault="00F949D3" w:rsidP="00F949D3">
      <w:pPr>
        <w:pStyle w:val="Caption"/>
      </w:pPr>
      <w:r>
        <w:t>Table E-7:</w:t>
      </w:r>
    </w:p>
    <w:p w:rsidR="00F949D3" w:rsidRDefault="00F949D3" w:rsidP="00F949D3">
      <w:pPr>
        <w:pStyle w:val="Caption"/>
      </w:pPr>
      <w:r>
        <w:t>CBP-DO</w:t>
      </w:r>
    </w:p>
    <w:tbl>
      <w:tblPr>
        <w:tblW w:w="9246" w:type="dxa"/>
        <w:tblInd w:w="95" w:type="dxa"/>
        <w:tblLayout w:type="fixed"/>
        <w:tblLook w:val="04A0"/>
      </w:tblPr>
      <w:tblGrid>
        <w:gridCol w:w="960"/>
        <w:gridCol w:w="583"/>
        <w:gridCol w:w="630"/>
        <w:gridCol w:w="537"/>
        <w:gridCol w:w="526"/>
        <w:gridCol w:w="827"/>
        <w:gridCol w:w="810"/>
        <w:gridCol w:w="810"/>
        <w:gridCol w:w="810"/>
        <w:gridCol w:w="810"/>
        <w:gridCol w:w="810"/>
        <w:gridCol w:w="557"/>
        <w:gridCol w:w="576"/>
      </w:tblGrid>
      <w:tr w:rsidR="00F949D3" w:rsidRPr="00F55000" w:rsidTr="00227071">
        <w:trPr>
          <w:trHeight w:val="288"/>
        </w:trPr>
        <w:tc>
          <w:tcPr>
            <w:tcW w:w="960" w:type="dxa"/>
            <w:tcBorders>
              <w:top w:val="single" w:sz="8" w:space="0" w:color="auto"/>
              <w:left w:val="single" w:sz="8" w:space="0" w:color="auto"/>
              <w:bottom w:val="single" w:sz="8" w:space="0" w:color="FFFFFF"/>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 </w:t>
            </w:r>
          </w:p>
        </w:tc>
        <w:tc>
          <w:tcPr>
            <w:tcW w:w="8286" w:type="dxa"/>
            <w:gridSpan w:val="12"/>
            <w:tcBorders>
              <w:top w:val="single" w:sz="8" w:space="0" w:color="auto"/>
              <w:left w:val="nil"/>
              <w:bottom w:val="single" w:sz="8" w:space="0" w:color="FFFFFF"/>
              <w:right w:val="single" w:sz="8" w:space="0" w:color="000000"/>
            </w:tcBorders>
            <w:shd w:val="clear" w:color="000000" w:fill="1F497D"/>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Month and Resource Adequacy Window</w:t>
            </w:r>
          </w:p>
        </w:tc>
      </w:tr>
      <w:tr w:rsidR="00F949D3" w:rsidRPr="00F55000" w:rsidTr="00227071">
        <w:trPr>
          <w:trHeight w:val="288"/>
        </w:trPr>
        <w:tc>
          <w:tcPr>
            <w:tcW w:w="960" w:type="dxa"/>
            <w:vMerge w:val="restart"/>
            <w:tcBorders>
              <w:top w:val="nil"/>
              <w:left w:val="single" w:sz="8" w:space="0" w:color="auto"/>
              <w:bottom w:val="single" w:sz="8" w:space="0" w:color="000000"/>
              <w:right w:val="single" w:sz="8" w:space="0" w:color="FFFFFF"/>
            </w:tcBorders>
            <w:shd w:val="clear" w:color="000000" w:fill="1F497D"/>
            <w:noWrap/>
            <w:vAlign w:val="bottom"/>
            <w:hideMark/>
          </w:tcPr>
          <w:p w:rsidR="00F949D3" w:rsidRPr="00F55000" w:rsidRDefault="00F949D3" w:rsidP="00227071">
            <w:pPr>
              <w:spacing w:after="0" w:line="240" w:lineRule="auto"/>
              <w:rPr>
                <w:rFonts w:ascii="Arial" w:eastAsia="Times New Roman" w:hAnsi="Arial" w:cs="Arial"/>
                <w:color w:val="000000"/>
                <w:sz w:val="18"/>
                <w:szCs w:val="18"/>
              </w:rPr>
            </w:pPr>
            <w:r w:rsidRPr="00F55000">
              <w:rPr>
                <w:rFonts w:ascii="Arial" w:eastAsia="Times New Roman" w:hAnsi="Arial" w:cs="Arial"/>
                <w:color w:val="000000"/>
                <w:sz w:val="18"/>
                <w:szCs w:val="18"/>
              </w:rPr>
              <w:t> </w:t>
            </w:r>
          </w:p>
        </w:tc>
        <w:tc>
          <w:tcPr>
            <w:tcW w:w="583"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Jan</w:t>
            </w:r>
          </w:p>
        </w:tc>
        <w:tc>
          <w:tcPr>
            <w:tcW w:w="63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Feb</w:t>
            </w:r>
          </w:p>
        </w:tc>
        <w:tc>
          <w:tcPr>
            <w:tcW w:w="537"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Mar</w:t>
            </w:r>
          </w:p>
        </w:tc>
        <w:tc>
          <w:tcPr>
            <w:tcW w:w="526"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Apr</w:t>
            </w:r>
          </w:p>
        </w:tc>
        <w:tc>
          <w:tcPr>
            <w:tcW w:w="827"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May</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Jun</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Jul</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Aug</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Sep</w:t>
            </w:r>
          </w:p>
        </w:tc>
        <w:tc>
          <w:tcPr>
            <w:tcW w:w="810"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Oct</w:t>
            </w:r>
          </w:p>
        </w:tc>
        <w:tc>
          <w:tcPr>
            <w:tcW w:w="557" w:type="dxa"/>
            <w:tcBorders>
              <w:top w:val="nil"/>
              <w:left w:val="nil"/>
              <w:bottom w:val="nil"/>
              <w:right w:val="single" w:sz="8" w:space="0" w:color="FFFFFF"/>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Nov</w:t>
            </w:r>
          </w:p>
        </w:tc>
        <w:tc>
          <w:tcPr>
            <w:tcW w:w="576" w:type="dxa"/>
            <w:tcBorders>
              <w:top w:val="nil"/>
              <w:left w:val="nil"/>
              <w:bottom w:val="nil"/>
              <w:right w:val="single" w:sz="8" w:space="0" w:color="auto"/>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Dec</w:t>
            </w:r>
          </w:p>
        </w:tc>
      </w:tr>
      <w:tr w:rsidR="00F949D3" w:rsidRPr="00F55000" w:rsidTr="00227071">
        <w:trPr>
          <w:trHeight w:val="288"/>
        </w:trPr>
        <w:tc>
          <w:tcPr>
            <w:tcW w:w="960" w:type="dxa"/>
            <w:vMerge/>
            <w:tcBorders>
              <w:top w:val="nil"/>
              <w:left w:val="single" w:sz="8" w:space="0" w:color="auto"/>
              <w:bottom w:val="single" w:sz="8" w:space="0" w:color="000000"/>
              <w:right w:val="single" w:sz="8" w:space="0" w:color="FFFFFF"/>
            </w:tcBorders>
            <w:vAlign w:val="center"/>
            <w:hideMark/>
          </w:tcPr>
          <w:p w:rsidR="00F949D3" w:rsidRPr="00F55000" w:rsidRDefault="00F949D3" w:rsidP="00227071">
            <w:pPr>
              <w:spacing w:after="0" w:line="240" w:lineRule="auto"/>
              <w:rPr>
                <w:rFonts w:ascii="Arial" w:eastAsia="Times New Roman" w:hAnsi="Arial" w:cs="Arial"/>
                <w:color w:val="000000"/>
                <w:sz w:val="18"/>
                <w:szCs w:val="18"/>
              </w:rPr>
            </w:pPr>
          </w:p>
        </w:tc>
        <w:tc>
          <w:tcPr>
            <w:tcW w:w="8286" w:type="dxa"/>
            <w:gridSpan w:val="12"/>
            <w:tcBorders>
              <w:top w:val="single" w:sz="8" w:space="0" w:color="FFFFFF"/>
              <w:left w:val="nil"/>
              <w:bottom w:val="single" w:sz="8" w:space="0" w:color="auto"/>
              <w:right w:val="single" w:sz="8" w:space="0" w:color="000000"/>
            </w:tcBorders>
            <w:shd w:val="clear" w:color="000000" w:fill="1F497D"/>
            <w:noWrap/>
            <w:vAlign w:val="bottom"/>
            <w:hideMark/>
          </w:tcPr>
          <w:p w:rsidR="00F949D3" w:rsidRPr="00F55000" w:rsidRDefault="00F949D3"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1 - 6 PM</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2012</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20.9</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20.9</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20.9</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20.9</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20.9</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20.9</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2013</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2014</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2015</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2016</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2017</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2018</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2019</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2020</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2021</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r w:rsidR="00F949D3"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rPr>
            </w:pPr>
            <w:r w:rsidRPr="00F55000">
              <w:rPr>
                <w:rFonts w:eastAsia="Times New Roman"/>
              </w:rPr>
              <w:t>2022</w:t>
            </w:r>
          </w:p>
        </w:tc>
        <w:tc>
          <w:tcPr>
            <w:tcW w:w="583"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810" w:type="dxa"/>
            <w:tcBorders>
              <w:top w:val="nil"/>
              <w:left w:val="nil"/>
              <w:bottom w:val="single" w:sz="8" w:space="0" w:color="auto"/>
              <w:right w:val="single" w:sz="8" w:space="0" w:color="auto"/>
            </w:tcBorders>
            <w:shd w:val="clear" w:color="auto" w:fill="auto"/>
            <w:noWrap/>
            <w:vAlign w:val="bottom"/>
            <w:hideMark/>
          </w:tcPr>
          <w:p w:rsidR="00F949D3" w:rsidRDefault="00F949D3" w:rsidP="00F949D3">
            <w:pPr>
              <w:pStyle w:val="TableText"/>
            </w:pPr>
            <w:r>
              <w:t>22.1</w:t>
            </w:r>
          </w:p>
        </w:tc>
        <w:tc>
          <w:tcPr>
            <w:tcW w:w="557"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F949D3" w:rsidRPr="00F55000" w:rsidRDefault="00F949D3" w:rsidP="00227071">
            <w:pPr>
              <w:pStyle w:val="TableText"/>
              <w:rPr>
                <w:rFonts w:eastAsia="Times New Roman"/>
                <w:sz w:val="20"/>
                <w:szCs w:val="20"/>
              </w:rPr>
            </w:pPr>
            <w:r w:rsidRPr="00F55000">
              <w:rPr>
                <w:rFonts w:eastAsia="Times New Roman"/>
                <w:sz w:val="20"/>
                <w:szCs w:val="20"/>
              </w:rPr>
              <w:t>-</w:t>
            </w:r>
          </w:p>
        </w:tc>
      </w:tr>
    </w:tbl>
    <w:p w:rsidR="00F949D3" w:rsidRDefault="00663CD4" w:rsidP="00F55000">
      <w:pPr>
        <w:pStyle w:val="BodyParagraph"/>
      </w:pPr>
      <w:r>
        <w:t xml:space="preserve">*Impacts are the same for 1-in-10 and 1-in-2 weather years. Program specific and portfolio impacts are identical. </w:t>
      </w:r>
    </w:p>
    <w:p w:rsidR="00F949D3" w:rsidRDefault="00F949D3">
      <w:pPr>
        <w:rPr>
          <w:rFonts w:ascii="Verdana" w:hAnsi="Verdana"/>
          <w:sz w:val="18"/>
        </w:rPr>
      </w:pPr>
      <w:r>
        <w:br w:type="page"/>
      </w:r>
    </w:p>
    <w:p w:rsidR="00F949D3" w:rsidRDefault="00F949D3" w:rsidP="00F949D3">
      <w:pPr>
        <w:pStyle w:val="AppendixHeading2"/>
      </w:pPr>
      <w:bookmarkStart w:id="423" w:name="_Toc326074056"/>
      <w:r>
        <w:lastRenderedPageBreak/>
        <w:t>SDG&amp;E</w:t>
      </w:r>
      <w:bookmarkEnd w:id="423"/>
    </w:p>
    <w:p w:rsidR="003C0352" w:rsidRDefault="003C0352" w:rsidP="003C0352">
      <w:pPr>
        <w:pStyle w:val="Caption"/>
      </w:pPr>
      <w:r>
        <w:t>Table E-8:</w:t>
      </w:r>
    </w:p>
    <w:p w:rsidR="003C0352" w:rsidRDefault="003C0352" w:rsidP="003C0352">
      <w:pPr>
        <w:pStyle w:val="Caption"/>
      </w:pPr>
      <w:r>
        <w:t>CBP-DA</w:t>
      </w:r>
    </w:p>
    <w:tbl>
      <w:tblPr>
        <w:tblW w:w="9246" w:type="dxa"/>
        <w:tblInd w:w="95" w:type="dxa"/>
        <w:tblLayout w:type="fixed"/>
        <w:tblLook w:val="04A0"/>
      </w:tblPr>
      <w:tblGrid>
        <w:gridCol w:w="960"/>
        <w:gridCol w:w="583"/>
        <w:gridCol w:w="630"/>
        <w:gridCol w:w="537"/>
        <w:gridCol w:w="526"/>
        <w:gridCol w:w="827"/>
        <w:gridCol w:w="810"/>
        <w:gridCol w:w="810"/>
        <w:gridCol w:w="810"/>
        <w:gridCol w:w="810"/>
        <w:gridCol w:w="810"/>
        <w:gridCol w:w="557"/>
        <w:gridCol w:w="576"/>
      </w:tblGrid>
      <w:tr w:rsidR="003C0352" w:rsidRPr="00F55000" w:rsidTr="00227071">
        <w:trPr>
          <w:trHeight w:val="288"/>
        </w:trPr>
        <w:tc>
          <w:tcPr>
            <w:tcW w:w="960" w:type="dxa"/>
            <w:tcBorders>
              <w:top w:val="single" w:sz="8" w:space="0" w:color="auto"/>
              <w:left w:val="single" w:sz="8" w:space="0" w:color="auto"/>
              <w:bottom w:val="single" w:sz="8" w:space="0" w:color="FFFFFF"/>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 </w:t>
            </w:r>
          </w:p>
        </w:tc>
        <w:tc>
          <w:tcPr>
            <w:tcW w:w="8286" w:type="dxa"/>
            <w:gridSpan w:val="12"/>
            <w:tcBorders>
              <w:top w:val="single" w:sz="8" w:space="0" w:color="auto"/>
              <w:left w:val="nil"/>
              <w:bottom w:val="single" w:sz="8" w:space="0" w:color="FFFFFF"/>
              <w:right w:val="single" w:sz="8" w:space="0" w:color="000000"/>
            </w:tcBorders>
            <w:shd w:val="clear" w:color="000000" w:fill="1F497D"/>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Month and Resource Adequacy Window</w:t>
            </w:r>
          </w:p>
        </w:tc>
      </w:tr>
      <w:tr w:rsidR="003C0352" w:rsidRPr="00F55000" w:rsidTr="00227071">
        <w:trPr>
          <w:trHeight w:val="288"/>
        </w:trPr>
        <w:tc>
          <w:tcPr>
            <w:tcW w:w="960" w:type="dxa"/>
            <w:vMerge w:val="restart"/>
            <w:tcBorders>
              <w:top w:val="nil"/>
              <w:left w:val="single" w:sz="8" w:space="0" w:color="auto"/>
              <w:bottom w:val="single" w:sz="8" w:space="0" w:color="000000"/>
              <w:right w:val="single" w:sz="8" w:space="0" w:color="FFFFFF"/>
            </w:tcBorders>
            <w:shd w:val="clear" w:color="000000" w:fill="1F497D"/>
            <w:noWrap/>
            <w:vAlign w:val="bottom"/>
            <w:hideMark/>
          </w:tcPr>
          <w:p w:rsidR="003C0352" w:rsidRPr="00F55000" w:rsidRDefault="003C0352" w:rsidP="00227071">
            <w:pPr>
              <w:spacing w:after="0" w:line="240" w:lineRule="auto"/>
              <w:rPr>
                <w:rFonts w:ascii="Arial" w:eastAsia="Times New Roman" w:hAnsi="Arial" w:cs="Arial"/>
                <w:color w:val="000000"/>
                <w:sz w:val="18"/>
                <w:szCs w:val="18"/>
              </w:rPr>
            </w:pPr>
            <w:r w:rsidRPr="00F55000">
              <w:rPr>
                <w:rFonts w:ascii="Arial" w:eastAsia="Times New Roman" w:hAnsi="Arial" w:cs="Arial"/>
                <w:color w:val="000000"/>
                <w:sz w:val="18"/>
                <w:szCs w:val="18"/>
              </w:rPr>
              <w:t> </w:t>
            </w:r>
          </w:p>
        </w:tc>
        <w:tc>
          <w:tcPr>
            <w:tcW w:w="583"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Jan</w:t>
            </w:r>
          </w:p>
        </w:tc>
        <w:tc>
          <w:tcPr>
            <w:tcW w:w="630"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Feb</w:t>
            </w:r>
          </w:p>
        </w:tc>
        <w:tc>
          <w:tcPr>
            <w:tcW w:w="537"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Mar</w:t>
            </w:r>
          </w:p>
        </w:tc>
        <w:tc>
          <w:tcPr>
            <w:tcW w:w="526"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Apr</w:t>
            </w:r>
          </w:p>
        </w:tc>
        <w:tc>
          <w:tcPr>
            <w:tcW w:w="827"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May</w:t>
            </w:r>
          </w:p>
        </w:tc>
        <w:tc>
          <w:tcPr>
            <w:tcW w:w="810"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Jun</w:t>
            </w:r>
          </w:p>
        </w:tc>
        <w:tc>
          <w:tcPr>
            <w:tcW w:w="810"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Jul</w:t>
            </w:r>
          </w:p>
        </w:tc>
        <w:tc>
          <w:tcPr>
            <w:tcW w:w="810"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Aug</w:t>
            </w:r>
          </w:p>
        </w:tc>
        <w:tc>
          <w:tcPr>
            <w:tcW w:w="810"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Sep</w:t>
            </w:r>
          </w:p>
        </w:tc>
        <w:tc>
          <w:tcPr>
            <w:tcW w:w="810"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Oct</w:t>
            </w:r>
          </w:p>
        </w:tc>
        <w:tc>
          <w:tcPr>
            <w:tcW w:w="557"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Nov</w:t>
            </w:r>
          </w:p>
        </w:tc>
        <w:tc>
          <w:tcPr>
            <w:tcW w:w="576" w:type="dxa"/>
            <w:tcBorders>
              <w:top w:val="nil"/>
              <w:left w:val="nil"/>
              <w:bottom w:val="nil"/>
              <w:right w:val="single" w:sz="8" w:space="0" w:color="auto"/>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Dec</w:t>
            </w:r>
          </w:p>
        </w:tc>
      </w:tr>
      <w:tr w:rsidR="003C0352" w:rsidRPr="00F55000" w:rsidTr="00227071">
        <w:trPr>
          <w:trHeight w:val="288"/>
        </w:trPr>
        <w:tc>
          <w:tcPr>
            <w:tcW w:w="960" w:type="dxa"/>
            <w:vMerge/>
            <w:tcBorders>
              <w:top w:val="nil"/>
              <w:left w:val="single" w:sz="8" w:space="0" w:color="auto"/>
              <w:bottom w:val="single" w:sz="8" w:space="0" w:color="000000"/>
              <w:right w:val="single" w:sz="8" w:space="0" w:color="FFFFFF"/>
            </w:tcBorders>
            <w:vAlign w:val="center"/>
            <w:hideMark/>
          </w:tcPr>
          <w:p w:rsidR="003C0352" w:rsidRPr="00F55000" w:rsidRDefault="003C0352" w:rsidP="00227071">
            <w:pPr>
              <w:spacing w:after="0" w:line="240" w:lineRule="auto"/>
              <w:rPr>
                <w:rFonts w:ascii="Arial" w:eastAsia="Times New Roman" w:hAnsi="Arial" w:cs="Arial"/>
                <w:color w:val="000000"/>
                <w:sz w:val="18"/>
                <w:szCs w:val="18"/>
              </w:rPr>
            </w:pPr>
          </w:p>
        </w:tc>
        <w:tc>
          <w:tcPr>
            <w:tcW w:w="8286" w:type="dxa"/>
            <w:gridSpan w:val="12"/>
            <w:tcBorders>
              <w:top w:val="single" w:sz="8" w:space="0" w:color="FFFFFF"/>
              <w:left w:val="nil"/>
              <w:bottom w:val="single" w:sz="8" w:space="0" w:color="auto"/>
              <w:right w:val="single" w:sz="8" w:space="0" w:color="000000"/>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1 - 6 PM</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2012</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12.7</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12.7</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13.0</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13.0</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2013</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2014</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2015</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2016</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2017</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2018</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2019</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2020</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2021</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2022</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14.2</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bl>
    <w:p w:rsidR="003C0352" w:rsidRDefault="00663CD4" w:rsidP="00F949D3">
      <w:pPr>
        <w:pStyle w:val="BodyParagraph"/>
      </w:pPr>
      <w:r>
        <w:t xml:space="preserve">*Impacts are the same for 1-in-10 and 1-in-2 weather years. Program specific and portfolio impacts are identical. </w:t>
      </w:r>
    </w:p>
    <w:p w:rsidR="003C0352" w:rsidRDefault="003C0352" w:rsidP="003C0352">
      <w:pPr>
        <w:pStyle w:val="Caption"/>
      </w:pPr>
      <w:r>
        <w:t>Table E-8:</w:t>
      </w:r>
    </w:p>
    <w:p w:rsidR="003C0352" w:rsidRDefault="003C0352" w:rsidP="003C0352">
      <w:pPr>
        <w:pStyle w:val="Caption"/>
      </w:pPr>
      <w:r>
        <w:t>CBP-DO</w:t>
      </w:r>
    </w:p>
    <w:tbl>
      <w:tblPr>
        <w:tblW w:w="9246" w:type="dxa"/>
        <w:tblInd w:w="95" w:type="dxa"/>
        <w:tblLayout w:type="fixed"/>
        <w:tblLook w:val="04A0"/>
      </w:tblPr>
      <w:tblGrid>
        <w:gridCol w:w="960"/>
        <w:gridCol w:w="583"/>
        <w:gridCol w:w="630"/>
        <w:gridCol w:w="537"/>
        <w:gridCol w:w="526"/>
        <w:gridCol w:w="827"/>
        <w:gridCol w:w="810"/>
        <w:gridCol w:w="810"/>
        <w:gridCol w:w="810"/>
        <w:gridCol w:w="810"/>
        <w:gridCol w:w="810"/>
        <w:gridCol w:w="557"/>
        <w:gridCol w:w="576"/>
      </w:tblGrid>
      <w:tr w:rsidR="003C0352" w:rsidRPr="00F55000" w:rsidTr="00227071">
        <w:trPr>
          <w:trHeight w:val="288"/>
        </w:trPr>
        <w:tc>
          <w:tcPr>
            <w:tcW w:w="960" w:type="dxa"/>
            <w:tcBorders>
              <w:top w:val="single" w:sz="8" w:space="0" w:color="auto"/>
              <w:left w:val="single" w:sz="8" w:space="0" w:color="auto"/>
              <w:bottom w:val="single" w:sz="8" w:space="0" w:color="FFFFFF"/>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 </w:t>
            </w:r>
          </w:p>
        </w:tc>
        <w:tc>
          <w:tcPr>
            <w:tcW w:w="8286" w:type="dxa"/>
            <w:gridSpan w:val="12"/>
            <w:tcBorders>
              <w:top w:val="single" w:sz="8" w:space="0" w:color="auto"/>
              <w:left w:val="nil"/>
              <w:bottom w:val="single" w:sz="8" w:space="0" w:color="FFFFFF"/>
              <w:right w:val="single" w:sz="8" w:space="0" w:color="000000"/>
            </w:tcBorders>
            <w:shd w:val="clear" w:color="000000" w:fill="1F497D"/>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Month and Resource Adequacy Window</w:t>
            </w:r>
          </w:p>
        </w:tc>
      </w:tr>
      <w:tr w:rsidR="003C0352" w:rsidRPr="00F55000" w:rsidTr="00227071">
        <w:trPr>
          <w:trHeight w:val="288"/>
        </w:trPr>
        <w:tc>
          <w:tcPr>
            <w:tcW w:w="960" w:type="dxa"/>
            <w:vMerge w:val="restart"/>
            <w:tcBorders>
              <w:top w:val="nil"/>
              <w:left w:val="single" w:sz="8" w:space="0" w:color="auto"/>
              <w:bottom w:val="single" w:sz="8" w:space="0" w:color="000000"/>
              <w:right w:val="single" w:sz="8" w:space="0" w:color="FFFFFF"/>
            </w:tcBorders>
            <w:shd w:val="clear" w:color="000000" w:fill="1F497D"/>
            <w:noWrap/>
            <w:vAlign w:val="bottom"/>
            <w:hideMark/>
          </w:tcPr>
          <w:p w:rsidR="003C0352" w:rsidRPr="00F55000" w:rsidRDefault="003C0352" w:rsidP="00227071">
            <w:pPr>
              <w:spacing w:after="0" w:line="240" w:lineRule="auto"/>
              <w:rPr>
                <w:rFonts w:ascii="Arial" w:eastAsia="Times New Roman" w:hAnsi="Arial" w:cs="Arial"/>
                <w:color w:val="000000"/>
                <w:sz w:val="18"/>
                <w:szCs w:val="18"/>
              </w:rPr>
            </w:pPr>
            <w:r w:rsidRPr="00F55000">
              <w:rPr>
                <w:rFonts w:ascii="Arial" w:eastAsia="Times New Roman" w:hAnsi="Arial" w:cs="Arial"/>
                <w:color w:val="000000"/>
                <w:sz w:val="18"/>
                <w:szCs w:val="18"/>
              </w:rPr>
              <w:t> </w:t>
            </w:r>
          </w:p>
        </w:tc>
        <w:tc>
          <w:tcPr>
            <w:tcW w:w="583"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Jan</w:t>
            </w:r>
          </w:p>
        </w:tc>
        <w:tc>
          <w:tcPr>
            <w:tcW w:w="630"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Feb</w:t>
            </w:r>
          </w:p>
        </w:tc>
        <w:tc>
          <w:tcPr>
            <w:tcW w:w="537"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Mar</w:t>
            </w:r>
          </w:p>
        </w:tc>
        <w:tc>
          <w:tcPr>
            <w:tcW w:w="526"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Apr</w:t>
            </w:r>
          </w:p>
        </w:tc>
        <w:tc>
          <w:tcPr>
            <w:tcW w:w="827"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May</w:t>
            </w:r>
          </w:p>
        </w:tc>
        <w:tc>
          <w:tcPr>
            <w:tcW w:w="810"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Jun</w:t>
            </w:r>
          </w:p>
        </w:tc>
        <w:tc>
          <w:tcPr>
            <w:tcW w:w="810"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Jul</w:t>
            </w:r>
          </w:p>
        </w:tc>
        <w:tc>
          <w:tcPr>
            <w:tcW w:w="810"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Aug</w:t>
            </w:r>
          </w:p>
        </w:tc>
        <w:tc>
          <w:tcPr>
            <w:tcW w:w="810"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Sep</w:t>
            </w:r>
          </w:p>
        </w:tc>
        <w:tc>
          <w:tcPr>
            <w:tcW w:w="810"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Oct</w:t>
            </w:r>
          </w:p>
        </w:tc>
        <w:tc>
          <w:tcPr>
            <w:tcW w:w="557" w:type="dxa"/>
            <w:tcBorders>
              <w:top w:val="nil"/>
              <w:left w:val="nil"/>
              <w:bottom w:val="nil"/>
              <w:right w:val="single" w:sz="8" w:space="0" w:color="FFFFFF"/>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Nov</w:t>
            </w:r>
          </w:p>
        </w:tc>
        <w:tc>
          <w:tcPr>
            <w:tcW w:w="576" w:type="dxa"/>
            <w:tcBorders>
              <w:top w:val="nil"/>
              <w:left w:val="nil"/>
              <w:bottom w:val="nil"/>
              <w:right w:val="single" w:sz="8" w:space="0" w:color="auto"/>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Dec</w:t>
            </w:r>
          </w:p>
        </w:tc>
      </w:tr>
      <w:tr w:rsidR="003C0352" w:rsidRPr="00F55000" w:rsidTr="00227071">
        <w:trPr>
          <w:trHeight w:val="288"/>
        </w:trPr>
        <w:tc>
          <w:tcPr>
            <w:tcW w:w="960" w:type="dxa"/>
            <w:vMerge/>
            <w:tcBorders>
              <w:top w:val="nil"/>
              <w:left w:val="single" w:sz="8" w:space="0" w:color="auto"/>
              <w:bottom w:val="single" w:sz="8" w:space="0" w:color="000000"/>
              <w:right w:val="single" w:sz="8" w:space="0" w:color="FFFFFF"/>
            </w:tcBorders>
            <w:vAlign w:val="center"/>
            <w:hideMark/>
          </w:tcPr>
          <w:p w:rsidR="003C0352" w:rsidRPr="00F55000" w:rsidRDefault="003C0352" w:rsidP="00227071">
            <w:pPr>
              <w:spacing w:after="0" w:line="240" w:lineRule="auto"/>
              <w:rPr>
                <w:rFonts w:ascii="Arial" w:eastAsia="Times New Roman" w:hAnsi="Arial" w:cs="Arial"/>
                <w:color w:val="000000"/>
                <w:sz w:val="18"/>
                <w:szCs w:val="18"/>
              </w:rPr>
            </w:pPr>
          </w:p>
        </w:tc>
        <w:tc>
          <w:tcPr>
            <w:tcW w:w="8286" w:type="dxa"/>
            <w:gridSpan w:val="12"/>
            <w:tcBorders>
              <w:top w:val="single" w:sz="8" w:space="0" w:color="FFFFFF"/>
              <w:left w:val="nil"/>
              <w:bottom w:val="single" w:sz="8" w:space="0" w:color="auto"/>
              <w:right w:val="single" w:sz="8" w:space="0" w:color="000000"/>
            </w:tcBorders>
            <w:shd w:val="clear" w:color="000000" w:fill="1F497D"/>
            <w:noWrap/>
            <w:vAlign w:val="bottom"/>
            <w:hideMark/>
          </w:tcPr>
          <w:p w:rsidR="003C0352" w:rsidRPr="00F55000" w:rsidRDefault="003C0352" w:rsidP="00227071">
            <w:pPr>
              <w:spacing w:after="0" w:line="240" w:lineRule="auto"/>
              <w:jc w:val="center"/>
              <w:rPr>
                <w:rFonts w:ascii="Arial" w:eastAsia="Times New Roman" w:hAnsi="Arial" w:cs="Arial"/>
                <w:b/>
                <w:bCs/>
                <w:color w:val="FFFFFF"/>
                <w:sz w:val="18"/>
                <w:szCs w:val="18"/>
              </w:rPr>
            </w:pPr>
            <w:r w:rsidRPr="00F55000">
              <w:rPr>
                <w:rFonts w:ascii="Arial" w:eastAsia="Times New Roman" w:hAnsi="Arial" w:cs="Arial"/>
                <w:b/>
                <w:bCs/>
                <w:color w:val="FFFFFF"/>
                <w:sz w:val="18"/>
                <w:szCs w:val="18"/>
              </w:rPr>
              <w:t>1 - 6 PM</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2012</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12.0</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12.0</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12.2</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12.3</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12.3</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12.4</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2013</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12.8</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12.9</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13.0</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13.1</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2014</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2015</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2016</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2017</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2018</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2019</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2020</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2021</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r w:rsidR="003C0352" w:rsidRPr="00F55000" w:rsidTr="00227071">
        <w:trPr>
          <w:trHeight w:val="288"/>
        </w:trPr>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rPr>
            </w:pPr>
            <w:r w:rsidRPr="00F55000">
              <w:rPr>
                <w:rFonts w:eastAsia="Times New Roman"/>
              </w:rPr>
              <w:t>2022</w:t>
            </w:r>
          </w:p>
        </w:tc>
        <w:tc>
          <w:tcPr>
            <w:tcW w:w="583"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630"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3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2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827"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13.5</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13.6</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810" w:type="dxa"/>
            <w:tcBorders>
              <w:top w:val="nil"/>
              <w:left w:val="nil"/>
              <w:bottom w:val="single" w:sz="8" w:space="0" w:color="auto"/>
              <w:right w:val="single" w:sz="8" w:space="0" w:color="auto"/>
            </w:tcBorders>
            <w:shd w:val="clear" w:color="auto" w:fill="auto"/>
            <w:noWrap/>
            <w:vAlign w:val="bottom"/>
            <w:hideMark/>
          </w:tcPr>
          <w:p w:rsidR="003C0352" w:rsidRDefault="003C0352" w:rsidP="003C0352">
            <w:pPr>
              <w:pStyle w:val="TableText"/>
            </w:pPr>
            <w:r>
              <w:t>13.7</w:t>
            </w:r>
          </w:p>
        </w:tc>
        <w:tc>
          <w:tcPr>
            <w:tcW w:w="557"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c>
          <w:tcPr>
            <w:tcW w:w="576" w:type="dxa"/>
            <w:tcBorders>
              <w:top w:val="nil"/>
              <w:left w:val="nil"/>
              <w:bottom w:val="single" w:sz="8" w:space="0" w:color="auto"/>
              <w:right w:val="single" w:sz="8" w:space="0" w:color="auto"/>
            </w:tcBorders>
            <w:shd w:val="clear" w:color="auto" w:fill="auto"/>
            <w:noWrap/>
            <w:vAlign w:val="bottom"/>
            <w:hideMark/>
          </w:tcPr>
          <w:p w:rsidR="003C0352" w:rsidRPr="00F55000" w:rsidRDefault="003C0352" w:rsidP="00227071">
            <w:pPr>
              <w:pStyle w:val="TableText"/>
              <w:rPr>
                <w:rFonts w:eastAsia="Times New Roman"/>
                <w:sz w:val="20"/>
                <w:szCs w:val="20"/>
              </w:rPr>
            </w:pPr>
            <w:r w:rsidRPr="00F55000">
              <w:rPr>
                <w:rFonts w:eastAsia="Times New Roman"/>
                <w:sz w:val="20"/>
                <w:szCs w:val="20"/>
              </w:rPr>
              <w:t>-</w:t>
            </w:r>
          </w:p>
        </w:tc>
      </w:tr>
    </w:tbl>
    <w:p w:rsidR="003C0352" w:rsidRPr="00F949D3" w:rsidRDefault="00663CD4" w:rsidP="00F949D3">
      <w:pPr>
        <w:pStyle w:val="BodyParagraph"/>
      </w:pPr>
      <w:r>
        <w:t xml:space="preserve">*Impacts are the same for 1-in-10 and 1-in-2 weather years. Program specific and portfolio impacts are identical. </w:t>
      </w:r>
    </w:p>
    <w:sectPr w:rsidR="003C0352" w:rsidRPr="00F949D3" w:rsidSect="001348A1">
      <w:headerReference w:type="default" r:id="rId46"/>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32F" w:rsidRDefault="0061332F" w:rsidP="00695783">
      <w:pPr>
        <w:spacing w:after="0" w:line="240" w:lineRule="auto"/>
      </w:pPr>
      <w:r>
        <w:separator/>
      </w:r>
    </w:p>
  </w:endnote>
  <w:endnote w:type="continuationSeparator" w:id="0">
    <w:p w:rsidR="0061332F" w:rsidRDefault="0061332F" w:rsidP="006957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tilliumText22L Xb">
    <w:altName w:val="Arial"/>
    <w:panose1 w:val="00000000000000000000"/>
    <w:charset w:val="00"/>
    <w:family w:val="modern"/>
    <w:notTrueType/>
    <w:pitch w:val="variable"/>
    <w:sig w:usb0="00000001" w:usb1="0000004B" w:usb2="00000000" w:usb3="00000000" w:csb0="00000193" w:csb1="00000000"/>
  </w:font>
  <w:font w:name="TitilliumText22L Rg">
    <w:altName w:val="Arial"/>
    <w:panose1 w:val="00000000000000000000"/>
    <w:charset w:val="00"/>
    <w:family w:val="modern"/>
    <w:notTrueType/>
    <w:pitch w:val="variable"/>
    <w:sig w:usb0="00000001" w:usb1="0000004B" w:usb2="00000000" w:usb3="00000000" w:csb0="00000193"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Bold">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Narrow">
    <w:panose1 w:val="020B0506020202030204"/>
    <w:charset w:val="00"/>
    <w:family w:val="swiss"/>
    <w:pitch w:val="variable"/>
    <w:sig w:usb0="00000287" w:usb1="000008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0318"/>
      <w:docPartObj>
        <w:docPartGallery w:val="Page Numbers (Bottom of Page)"/>
        <w:docPartUnique/>
      </w:docPartObj>
    </w:sdtPr>
    <w:sdtContent>
      <w:p w:rsidR="0061332F" w:rsidRDefault="00C61D83" w:rsidP="00BB4362">
        <w:pPr>
          <w:pStyle w:val="Footer"/>
          <w:jc w:val="right"/>
        </w:pPr>
      </w:p>
    </w:sdtContent>
  </w:sdt>
  <w:p w:rsidR="0061332F" w:rsidRDefault="0061332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2F" w:rsidRDefault="0061332F" w:rsidP="00BB4362">
    <w:pPr>
      <w:pStyle w:val="Footer"/>
      <w:jc w:val="right"/>
    </w:pPr>
  </w:p>
  <w:sdt>
    <w:sdtPr>
      <w:id w:val="787175680"/>
      <w:docPartObj>
        <w:docPartGallery w:val="Page Numbers (Bottom of Page)"/>
        <w:docPartUnique/>
      </w:docPartObj>
    </w:sdtPr>
    <w:sdtContent>
      <w:p w:rsidR="0061332F" w:rsidRDefault="0061332F" w:rsidP="00BB4362">
        <w:pPr>
          <w:pStyle w:val="Footer"/>
          <w:jc w:val="right"/>
        </w:pPr>
        <w:r>
          <w:rPr>
            <w:noProof/>
            <w:color w:val="808080" w:themeColor="background1" w:themeShade="80"/>
          </w:rPr>
          <w:drawing>
            <wp:anchor distT="0" distB="0" distL="114300" distR="114300" simplePos="0" relativeHeight="251659264" behindDoc="0" locked="0" layoutInCell="1" allowOverlap="1">
              <wp:simplePos x="0" y="0"/>
              <wp:positionH relativeFrom="column">
                <wp:posOffset>-133350</wp:posOffset>
              </wp:positionH>
              <wp:positionV relativeFrom="paragraph">
                <wp:posOffset>-97790</wp:posOffset>
              </wp:positionV>
              <wp:extent cx="2052320" cy="419100"/>
              <wp:effectExtent l="19050" t="0" r="5080" b="0"/>
              <wp:wrapNone/>
              <wp:docPr id="7" name="Picture 3"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 Logo NEW PURPLE 2007"/>
                      <pic:cNvPicPr>
                        <a:picLocks noChangeAspect="1" noChangeArrowheads="1"/>
                      </pic:cNvPicPr>
                    </pic:nvPicPr>
                    <pic:blipFill>
                      <a:blip r:embed="rId1"/>
                      <a:srcRect/>
                      <a:stretch>
                        <a:fillRect/>
                      </a:stretch>
                    </pic:blipFill>
                    <pic:spPr bwMode="auto">
                      <a:xfrm>
                        <a:off x="0" y="0"/>
                        <a:ext cx="2052320" cy="419100"/>
                      </a:xfrm>
                      <a:prstGeom prst="rect">
                        <a:avLst/>
                      </a:prstGeom>
                      <a:noFill/>
                    </pic:spPr>
                  </pic:pic>
                </a:graphicData>
              </a:graphic>
            </wp:anchor>
          </w:drawing>
        </w:r>
        <w:r w:rsidR="00C61D83" w:rsidRPr="001D5412">
          <w:rPr>
            <w:color w:val="808080"/>
          </w:rPr>
          <w:fldChar w:fldCharType="begin"/>
        </w:r>
        <w:r w:rsidRPr="001D5412">
          <w:rPr>
            <w:color w:val="808080"/>
          </w:rPr>
          <w:instrText xml:space="preserve"> PAGE   \* MERGEFORMAT </w:instrText>
        </w:r>
        <w:r w:rsidR="00C61D83" w:rsidRPr="001D5412">
          <w:rPr>
            <w:color w:val="808080"/>
          </w:rPr>
          <w:fldChar w:fldCharType="separate"/>
        </w:r>
        <w:r w:rsidR="00190970" w:rsidRPr="00190970">
          <w:rPr>
            <w:noProof/>
            <w:color w:val="808080" w:themeColor="background1" w:themeShade="80"/>
          </w:rPr>
          <w:t>i</w:t>
        </w:r>
        <w:r w:rsidR="00C61D83" w:rsidRPr="001D5412">
          <w:rPr>
            <w:color w:val="808080"/>
          </w:rPr>
          <w:fldChar w:fldCharType="end"/>
        </w:r>
      </w:p>
    </w:sdtContent>
  </w:sdt>
  <w:p w:rsidR="0061332F" w:rsidRDefault="0061332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2F" w:rsidRPr="00321715" w:rsidRDefault="00C61D83" w:rsidP="00BB4362">
    <w:pPr>
      <w:pStyle w:val="Footer"/>
      <w:jc w:val="right"/>
      <w:rPr>
        <w:sz w:val="20"/>
        <w:szCs w:val="20"/>
      </w:rPr>
    </w:pPr>
    <w:r w:rsidRPr="009D111C">
      <w:rPr>
        <w:rStyle w:val="PageNumber"/>
        <w:rFonts w:eastAsiaTheme="majorEastAsia"/>
      </w:rPr>
      <w:fldChar w:fldCharType="begin"/>
    </w:r>
    <w:r w:rsidR="0061332F" w:rsidRPr="009D111C">
      <w:rPr>
        <w:rStyle w:val="PageNumber"/>
        <w:rFonts w:eastAsiaTheme="majorEastAsia"/>
      </w:rPr>
      <w:instrText xml:space="preserve">PAGE  </w:instrText>
    </w:r>
    <w:r w:rsidRPr="009D111C">
      <w:rPr>
        <w:rStyle w:val="PageNumber"/>
        <w:rFonts w:eastAsiaTheme="majorEastAsia"/>
      </w:rPr>
      <w:fldChar w:fldCharType="separate"/>
    </w:r>
    <w:r w:rsidR="0061332F">
      <w:rPr>
        <w:rStyle w:val="PageNumber"/>
        <w:rFonts w:eastAsiaTheme="majorEastAsia"/>
        <w:noProof/>
      </w:rPr>
      <w:t>58</w:t>
    </w:r>
    <w:r w:rsidRPr="009D111C">
      <w:rPr>
        <w:rStyle w:val="PageNumber"/>
        <w:rFonts w:eastAsiaTheme="majorEastAsia"/>
      </w:rPr>
      <w:fldChar w:fldCharType="end"/>
    </w:r>
  </w:p>
  <w:p w:rsidR="0061332F" w:rsidRDefault="006133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32F" w:rsidRDefault="0061332F" w:rsidP="00695783">
      <w:pPr>
        <w:spacing w:after="0" w:line="240" w:lineRule="auto"/>
      </w:pPr>
      <w:r>
        <w:separator/>
      </w:r>
    </w:p>
  </w:footnote>
  <w:footnote w:type="continuationSeparator" w:id="0">
    <w:p w:rsidR="0061332F" w:rsidRDefault="0061332F" w:rsidP="00695783">
      <w:pPr>
        <w:spacing w:after="0" w:line="240" w:lineRule="auto"/>
      </w:pPr>
      <w:r>
        <w:continuationSeparator/>
      </w:r>
    </w:p>
  </w:footnote>
  <w:footnote w:id="1">
    <w:p w:rsidR="0061332F" w:rsidRDefault="0061332F" w:rsidP="00EF33FF">
      <w:pPr>
        <w:pStyle w:val="Footnote"/>
      </w:pPr>
      <w:r>
        <w:rPr>
          <w:rStyle w:val="FootnoteReference"/>
        </w:rPr>
        <w:footnoteRef/>
      </w:r>
      <w:r>
        <w:t xml:space="preserve"> These contracts are negotiated individually between aggregators and utilities and typically include penalties for delays in the schedule for building the DR power plants. </w:t>
      </w:r>
    </w:p>
  </w:footnote>
  <w:footnote w:id="2">
    <w:p w:rsidR="0061332F" w:rsidRPr="00B16C0D" w:rsidRDefault="0061332F" w:rsidP="00EF33FF">
      <w:pPr>
        <w:pStyle w:val="Footnote"/>
      </w:pPr>
      <w:r>
        <w:rPr>
          <w:rStyle w:val="FootnoteReference"/>
        </w:rPr>
        <w:footnoteRef/>
      </w:r>
      <w:r>
        <w:t xml:space="preserve"> </w:t>
      </w:r>
      <w:proofErr w:type="gramStart"/>
      <w:r w:rsidRPr="00B16C0D">
        <w:t>Based on PG&amp;E, SCE and SDG&amp;E 2008 to 2011 Monthly Reports On Interruptible Load and Demand Response Programs.</w:t>
      </w:r>
      <w:proofErr w:type="gramEnd"/>
    </w:p>
  </w:footnote>
  <w:footnote w:id="3">
    <w:p w:rsidR="0061332F" w:rsidRDefault="0061332F">
      <w:pPr>
        <w:pStyle w:val="Footnote"/>
      </w:pPr>
      <w:r>
        <w:rPr>
          <w:rStyle w:val="FootnoteReference"/>
        </w:rPr>
        <w:footnoteRef/>
      </w:r>
      <w:r>
        <w:t xml:space="preserve"> The number of accounts nominated for the program does not necessarily match the number of accounts called for specific events or for the average event.   The number of participants in events differs because </w:t>
      </w:r>
      <w:r w:rsidRPr="00020540">
        <w:t>1)</w:t>
      </w:r>
      <w:r>
        <w:rPr>
          <w:color w:val="FF0000"/>
        </w:rPr>
        <w:t xml:space="preserve"> </w:t>
      </w:r>
      <w:r>
        <w:t>resources are often times not dispatched in full, 2</w:t>
      </w:r>
      <w:r w:rsidRPr="00020540">
        <w:t>)</w:t>
      </w:r>
      <w:r>
        <w:rPr>
          <w:color w:val="FF0000"/>
        </w:rPr>
        <w:t xml:space="preserve"> </w:t>
      </w:r>
      <w:r>
        <w:t>nominations vary by month</w:t>
      </w:r>
      <w:r w:rsidRPr="00020540">
        <w:t>, and 3)</w:t>
      </w:r>
      <w:r>
        <w:rPr>
          <w:color w:val="FF0000"/>
        </w:rPr>
        <w:t xml:space="preserve"> </w:t>
      </w:r>
      <w:r>
        <w:t>accounts may be nominated to different products or switch between CBP and aggregator contracts during the course of the summer. </w:t>
      </w:r>
    </w:p>
  </w:footnote>
  <w:footnote w:id="4">
    <w:p w:rsidR="0061332F" w:rsidRDefault="0061332F" w:rsidP="00EF33FF">
      <w:pPr>
        <w:pStyle w:val="Footnote"/>
      </w:pPr>
      <w:r>
        <w:rPr>
          <w:rStyle w:val="FootnoteReference"/>
        </w:rPr>
        <w:footnoteRef/>
      </w:r>
      <w:r>
        <w:t xml:space="preserve"> See Volume 2 for a detailed discussion of baseline methods.  </w:t>
      </w:r>
    </w:p>
  </w:footnote>
  <w:footnote w:id="5">
    <w:p w:rsidR="0061332F" w:rsidRDefault="0061332F">
      <w:pPr>
        <w:pStyle w:val="Footnote"/>
      </w:pPr>
      <w:r>
        <w:rPr>
          <w:rStyle w:val="FootnoteReference"/>
        </w:rPr>
        <w:footnoteRef/>
      </w:r>
      <w:r>
        <w:t xml:space="preserve"> The number of accounts nominated for the program does not necessarily match the number of accounts called for specific events or for the average event.   The number of participants in events differs because </w:t>
      </w:r>
      <w:r w:rsidRPr="00020540">
        <w:t xml:space="preserve">1) </w:t>
      </w:r>
      <w:r>
        <w:t>resources are often times not dispatched in full, 2</w:t>
      </w:r>
      <w:r w:rsidRPr="00020540">
        <w:t xml:space="preserve">) </w:t>
      </w:r>
      <w:r>
        <w:t>nominations vary by month</w:t>
      </w:r>
      <w:r w:rsidRPr="00020540">
        <w:t>, and 3) accounts</w:t>
      </w:r>
      <w:r>
        <w:t xml:space="preserve"> may be nominated to different products or switch between CBP and aggregator contracts during the course of the summer. </w:t>
      </w:r>
    </w:p>
  </w:footnote>
  <w:footnote w:id="6">
    <w:p w:rsidR="0061332F" w:rsidRDefault="0061332F" w:rsidP="00EF33FF">
      <w:pPr>
        <w:pStyle w:val="Footnote"/>
      </w:pPr>
      <w:r>
        <w:rPr>
          <w:rStyle w:val="FootnoteReference"/>
        </w:rPr>
        <w:footnoteRef/>
      </w:r>
      <w:r>
        <w:t xml:space="preserve"> Since SCE provided only hourly load data, regression models were applied separately to each set of customer load data at the hourly level, producing 24 models for each customer.</w:t>
      </w:r>
    </w:p>
  </w:footnote>
  <w:footnote w:id="7">
    <w:p w:rsidR="0061332F" w:rsidRPr="00763059" w:rsidRDefault="0061332F" w:rsidP="00EF33FF">
      <w:pPr>
        <w:pStyle w:val="Footnote"/>
      </w:pPr>
      <w:r>
        <w:rPr>
          <w:rStyle w:val="FootnoteReference"/>
        </w:rPr>
        <w:footnoteRef/>
      </w:r>
      <w:r>
        <w:t xml:space="preserve"> </w:t>
      </w:r>
      <w:r w:rsidRPr="00763059">
        <w:t xml:space="preserve">More specifically, the false event coefficients should be statistically insignificant for 95% of customers. </w:t>
      </w:r>
    </w:p>
  </w:footnote>
  <w:footnote w:id="8">
    <w:p w:rsidR="0061332F" w:rsidRDefault="0061332F" w:rsidP="00EF33FF">
      <w:pPr>
        <w:pStyle w:val="Footnote"/>
      </w:pPr>
      <w:r>
        <w:rPr>
          <w:rStyle w:val="FootnoteReference"/>
        </w:rPr>
        <w:footnoteRef/>
      </w:r>
      <w:r>
        <w:t xml:space="preserve">  In addition, 95% of individual results should be statistically insignificant. It is possible for the average value of the false event coefficients to be near zero, indicating no bias in the program level results, but for more than 5% of the individual results to be significant.  This typically indicates bias for individual customer segments that offset each other in the aggregate.  </w:t>
      </w:r>
    </w:p>
  </w:footnote>
  <w:footnote w:id="9">
    <w:p w:rsidR="0061332F" w:rsidRDefault="0061332F" w:rsidP="001E35DF">
      <w:pPr>
        <w:pStyle w:val="Footnote"/>
      </w:pPr>
      <w:r>
        <w:rPr>
          <w:rStyle w:val="FootnoteReference"/>
        </w:rPr>
        <w:footnoteRef/>
      </w:r>
      <w:r>
        <w:t xml:space="preserve"> Ex ante estimates are based on representative weather days; since we do not have customer energy consumption preceding these representative weather days, it is not feasible to include lagged power consumption variables in the ex ante model.  However, we did include lagged weather variables (</w:t>
      </w:r>
      <w:r w:rsidRPr="00065ADC">
        <w:rPr>
          <w:i/>
        </w:rPr>
        <w:t>cdh24hr</w:t>
      </w:r>
      <w:r>
        <w:t xml:space="preserve">) from the ex post model in the ex ante model since we have this data for representative weather days.  Finally, we specified that all ex ante representative weather days occurred mid-week, thereby fixing the value of the </w:t>
      </w:r>
      <w:proofErr w:type="spellStart"/>
      <w:r w:rsidRPr="00065ADC">
        <w:rPr>
          <w:i/>
        </w:rPr>
        <w:t>daytype</w:t>
      </w:r>
      <w:proofErr w:type="spellEnd"/>
      <w:r>
        <w:t xml:space="preserve"> variable.</w:t>
      </w:r>
    </w:p>
  </w:footnote>
  <w:footnote w:id="10">
    <w:p w:rsidR="0061332F" w:rsidRDefault="0061332F" w:rsidP="00124047">
      <w:pPr>
        <w:pStyle w:val="Footnote"/>
      </w:pPr>
      <w:r>
        <w:rPr>
          <w:rStyle w:val="FootnoteReference"/>
        </w:rPr>
        <w:footnoteRef/>
      </w:r>
      <w:r>
        <w:t xml:space="preserve"> It is possible that customers who otherwise would not enroll might do so because of the option of automating load reductions.  However, this cannot be assessed quantitatively given the data available and lack of randomized experiment.</w:t>
      </w:r>
    </w:p>
  </w:footnote>
  <w:footnote w:id="11">
    <w:p w:rsidR="0061332F" w:rsidRDefault="0061332F" w:rsidP="00EF33FF">
      <w:pPr>
        <w:pStyle w:val="Footnote"/>
      </w:pPr>
      <w:r>
        <w:rPr>
          <w:rStyle w:val="FootnoteReference"/>
        </w:rPr>
        <w:footnoteRef/>
      </w:r>
      <w:r>
        <w:t xml:space="preserve"> CBP resources were dispatched an additional three times in October 2011; however, these events are not considered part of the 2011 evaluation year and have been excluded from the analysis.</w:t>
      </w:r>
    </w:p>
  </w:footnote>
  <w:footnote w:id="12">
    <w:p w:rsidR="0061332F" w:rsidRDefault="0061332F" w:rsidP="00124047">
      <w:pPr>
        <w:pStyle w:val="FootnoteText"/>
      </w:pPr>
      <w:r>
        <w:rPr>
          <w:rStyle w:val="FootnoteReference"/>
        </w:rPr>
        <w:footnoteRef/>
      </w:r>
      <w:r>
        <w:t xml:space="preserve"> It is possible that customers who otherwise would not enroll might do so because of the option of automating load reductions.  However, this cannot be assessed quantitatively given the data available and lack of randomized experiment.</w:t>
      </w:r>
    </w:p>
  </w:footnote>
  <w:footnote w:id="13">
    <w:p w:rsidR="0061332F" w:rsidRDefault="0061332F" w:rsidP="00124047">
      <w:pPr>
        <w:pStyle w:val="FootnoteText"/>
      </w:pPr>
      <w:r>
        <w:rPr>
          <w:rStyle w:val="FootnoteReference"/>
        </w:rPr>
        <w:footnoteRef/>
      </w:r>
      <w:r>
        <w:t xml:space="preserve"> It is possible that customers who otherwise would not enroll might do so because of the option of automating load reductions.  However, this cannot be assessed quantitatively given the data available and lack of randomized experiment.</w:t>
      </w:r>
    </w:p>
  </w:footnote>
  <w:footnote w:id="14">
    <w:p w:rsidR="0061332F" w:rsidRDefault="0061332F" w:rsidP="00EF33FF">
      <w:pPr>
        <w:pStyle w:val="Footnote"/>
      </w:pPr>
      <w:r>
        <w:rPr>
          <w:rStyle w:val="FootnoteReference"/>
        </w:rPr>
        <w:footnoteRef/>
      </w:r>
      <w:r>
        <w:t xml:space="preserve"> There are many metrics for goodness-of-fit such as root mean square error, normalized root mean squared error, chi-squared, etc, all of which typically lead to the same conclusions.  MAPE was used because it’s a normalized metric that describes the average magnitude of the errors.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2F" w:rsidRDefault="0061332F" w:rsidP="00BB4362">
    <w:pPr>
      <w:pStyle w:val="Header"/>
      <w:tabs>
        <w:tab w:val="left" w:pos="360"/>
        <w:tab w:val="left" w:pos="8910"/>
        <w:tab w:val="left" w:pos="9000"/>
      </w:tabs>
    </w:pPr>
    <w:r w:rsidRPr="00EB2941">
      <w:rPr>
        <w:noProof/>
      </w:rPr>
      <w:drawing>
        <wp:inline distT="0" distB="0" distL="0" distR="0">
          <wp:extent cx="4274185" cy="690880"/>
          <wp:effectExtent l="19050" t="0" r="0" b="0"/>
          <wp:docPr id="8" name="Picture 1"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NEW PURPLE 2007"/>
                  <pic:cNvPicPr>
                    <a:picLocks noChangeAspect="1" noChangeArrowheads="1"/>
                  </pic:cNvPicPr>
                </pic:nvPicPr>
                <pic:blipFill>
                  <a:blip r:embed="rId1" cstate="print"/>
                  <a:srcRect t="21506"/>
                  <a:stretch>
                    <a:fillRect/>
                  </a:stretch>
                </pic:blipFill>
                <pic:spPr bwMode="auto">
                  <a:xfrm>
                    <a:off x="0" y="0"/>
                    <a:ext cx="4274185" cy="690880"/>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2F" w:rsidRDefault="0061332F">
    <w:pPr>
      <w:pStyle w:val="Header"/>
    </w:pPr>
    <w:r w:rsidRPr="007A2A2A">
      <w:rPr>
        <w:noProof/>
      </w:rPr>
      <w:drawing>
        <wp:anchor distT="0" distB="0" distL="114300" distR="114300" simplePos="0" relativeHeight="251660288" behindDoc="0" locked="0" layoutInCell="1" allowOverlap="1">
          <wp:simplePos x="0" y="0"/>
          <wp:positionH relativeFrom="column">
            <wp:posOffset>-733806</wp:posOffset>
          </wp:positionH>
          <wp:positionV relativeFrom="paragraph">
            <wp:posOffset>-67056</wp:posOffset>
          </wp:positionV>
          <wp:extent cx="4272534" cy="694944"/>
          <wp:effectExtent l="19050" t="0" r="0" b="0"/>
          <wp:wrapNone/>
          <wp:docPr id="17" name="Picture 1" descr="FSC Logo NEW PURPL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 Logo NEW PURPLE 2007"/>
                  <pic:cNvPicPr>
                    <a:picLocks noChangeAspect="1" noChangeArrowheads="1"/>
                  </pic:cNvPicPr>
                </pic:nvPicPr>
                <pic:blipFill>
                  <a:blip r:embed="rId1" cstate="print"/>
                  <a:srcRect t="21506"/>
                  <a:stretch>
                    <a:fillRect/>
                  </a:stretch>
                </pic:blipFill>
                <pic:spPr bwMode="auto">
                  <a:xfrm>
                    <a:off x="0" y="0"/>
                    <a:ext cx="4267835" cy="68834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2F" w:rsidRDefault="00C61D83" w:rsidP="00BB4362">
    <w:pPr>
      <w:pStyle w:val="Header"/>
      <w:tabs>
        <w:tab w:val="left" w:pos="360"/>
        <w:tab w:val="left" w:pos="8910"/>
        <w:tab w:val="left" w:pos="9000"/>
      </w:tabs>
    </w:pPr>
    <w:r>
      <w:rPr>
        <w:noProof/>
      </w:rPr>
    </w:r>
    <w:r>
      <w:rPr>
        <w:noProof/>
      </w:rPr>
      <w:pict>
        <v:shapetype id="_x0000_t32" coordsize="21600,21600" o:spt="32" o:oned="t" path="m,l21600,21600e" filled="f">
          <v:path arrowok="t" fillok="f" o:connecttype="none"/>
          <o:lock v:ext="edit" shapetype="t"/>
        </v:shapetype>
        <v:shape id="_x0000_s4098" type="#_x0000_t32" style="width:473.85pt;height:0;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fAOQIAAHYEAAAOAAAAZHJzL2Uyb0RvYy54bWysVMGO2jAQvVfqP1i+QxIaWIgIq1UCvWy7&#10;SLv9AGM7xKpjW7YhoKr/3rEDtLSXqurFscczb+bNPGf5eOokOnLrhFYlzsYpRlxRzYTal/jL22Y0&#10;x8h5ohiRWvESn7nDj6v375a9KfhEt1oybhGAKFf0psSt96ZIEkdb3hE31oYruGy07YiHo90nzJIe&#10;0DuZTNJ0lvTaMmM15c6BtR4u8SriNw2n/qVpHPdIlhhq83G1cd2FNVktSbG3xLSCXsog/1BFR4SC&#10;pDeomniCDlb8AdUJarXTjR9T3SW6aQTlkQOwydLf2Ly2xPDIBZrjzK1N7v/B0s/HrUWCwewWGCnS&#10;wYyeDl7H1CgL/emNK8CtUlsbGNKTejXPmn51SOmqJWrPo/Pb2UBsjEjuQsLBGciy6z9pBj4E8GOz&#10;To3tAiS0AZ3iTM63mfCTRxSMszR7mC+mGNHrXUKKa6Cxzn/kukNhU2LnLRH71ldaKZi8tllMQ47P&#10;zgMRCLwGhKxKb4SUUQBSob7Ei+lkGgOcloKFy+AWpcgradGRgIgIpVz5PPrJQweMBvvDNE0vcgIz&#10;iG4wRxMkvqHEMu4SWH1QLJbRcsLWl70nQg57iJYqVAItASKX3aCub4t0sZ6v5/kon8zWozyt69HT&#10;pspHs032MK0/1FVVZ99DsVletIIxrgKvq9Kz/O+UdHlzg0ZvWr81MLlHjxSh2Os3Fh01EWQwCGqn&#10;2Xlrw1CCPEDc0fnyEMPr+fUcvX7+LlY/AAAA//8DAFBLAwQUAAYACAAAACEAhIldt9YAAAACAQAA&#10;DwAAAGRycy9kb3ducmV2LnhtbEyPQUvDQBCF74L/YRnBm91YxNqYTSlCLyqIrT9gmh2TtJnZkN22&#10;8d879WIvDx5veO+bYjFyZ440xDaIg/tJBoakCr6V2sHXZnX3BCYmFI9dEHLwQxEW5fVVgbkPJ/mk&#10;4zrVRksk5uigSanPrY1VQ4xxEnoSzb7DwJjUDrX1A560nDs7zbJHy9iKLjTY00tD1X59YAdh6Te8&#10;evXvU/6gCt92Hpnnzt3ejMtnMInG9H8MZ3xFh1KZtuEgPprOgT6S/lSz+cNsBmZ7trYs7CV6+QsA&#10;AP//AwBQSwECLQAUAAYACAAAACEAtoM4kv4AAADhAQAAEwAAAAAAAAAAAAAAAAAAAAAAW0NvbnRl&#10;bnRfVHlwZXNdLnhtbFBLAQItABQABgAIAAAAIQA4/SH/1gAAAJQBAAALAAAAAAAAAAAAAAAAAC8B&#10;AABfcmVscy8ucmVsc1BLAQItABQABgAIAAAAIQDWtJfAOQIAAHYEAAAOAAAAAAAAAAAAAAAAAC4C&#10;AABkcnMvZTJvRG9jLnhtbFBLAQItABQABgAIAAAAIQCEiV231gAAAAIBAAAPAAAAAAAAAAAAAAAA&#10;AJMEAABkcnMvZG93bnJldi54bWxQSwUGAAAAAAQABADzAAAAlgUAAAAA&#10;" strokecolor="#5f497a [2407]">
          <w10:wrap type="none"/>
          <w10:anchorlock/>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2F" w:rsidRDefault="0061332F" w:rsidP="00BB4362">
    <w:pPr>
      <w:pStyle w:val="Header"/>
      <w:jc w:val="center"/>
    </w:pPr>
    <w:r>
      <w:rPr>
        <w:noProof/>
      </w:rPr>
      <w:drawing>
        <wp:inline distT="0" distB="0" distL="0" distR="0">
          <wp:extent cx="2238375" cy="1000125"/>
          <wp:effectExtent l="19050" t="0" r="9525"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38375" cy="1000125"/>
                  </a:xfrm>
                  <a:prstGeom prst="rect">
                    <a:avLst/>
                  </a:prstGeom>
                  <a:noFill/>
                  <a:ln w="9525">
                    <a:noFill/>
                    <a:miter lim="800000"/>
                    <a:headEnd/>
                    <a:tailEnd/>
                  </a:ln>
                </pic:spPr>
              </pic:pic>
            </a:graphicData>
          </a:graphic>
        </wp:inline>
      </w:drawing>
    </w:r>
    <w:r>
      <w:rPr>
        <w:noProof/>
      </w:rPr>
      <w:drawing>
        <wp:inline distT="0" distB="0" distL="0" distR="0">
          <wp:extent cx="2243455" cy="999490"/>
          <wp:effectExtent l="19050" t="0" r="444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243455" cy="999490"/>
                  </a:xfrm>
                  <a:prstGeom prst="rect">
                    <a:avLst/>
                  </a:prstGeom>
                  <a:noFill/>
                  <a:ln w="9525">
                    <a:noFill/>
                    <a:miter lim="800000"/>
                    <a:headEnd/>
                    <a:tailEnd/>
                  </a:ln>
                </pic:spPr>
              </pic:pic>
            </a:graphicData>
          </a:graphic>
        </wp:inline>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332F" w:rsidRDefault="00C61D83" w:rsidP="00F03987">
    <w:pPr>
      <w:pStyle w:val="Header"/>
      <w:tabs>
        <w:tab w:val="left" w:pos="360"/>
        <w:tab w:val="left" w:pos="8910"/>
        <w:tab w:val="left" w:pos="9000"/>
      </w:tabs>
    </w:pPr>
    <w:r>
      <w:rPr>
        <w:noProof/>
      </w:rPr>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4097" type="#_x0000_t34" style="width:481.6pt;height:.0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aqQgIAAHMEAAAOAAAAZHJzL2Uyb0RvYy54bWysVE2P0zAQvSPxHyzfu0natLTRpqtV0nJZ&#10;YKVdfoBrO43BX7K9TSvEf2fspoWFC0L04MbxzJs3855ze3dUEh2488LoGhc3OUZcU8OE3tf48/N2&#10;ssTIB6IZkUbzGp+4x3frt29uB1vxqemNZNwhANG+GmyN+xBslWWe9lwRf2Ms13DYGadIgK3bZ8yR&#10;AdCVzKZ5vsgG45h1hnLv4W17PsTrhN91nIZPXed5QLLGwC2k1aV1F9dsfUuqvSO2F3SkQf6BhSJC&#10;Q9ErVEsCQS9O/AGlBHXGmy7cUKMy03WC8tQDdFPkv3Xz1BPLUy8wHG+vY/L/D5Z+PDw6JFiNpxhp&#10;okCi+5dgUmVUxPEM1lcQ1ehHFxukR/1kHwz96pE2TU/0nqfg55OF3JSRvUqJG2+hyG74YBjEEMBP&#10;szp2TkVImAI6JklOV0n4MSAKLxdFsZhNQTkKZ4vZPDLKSHVJtc6H99woFB9qvOM6NEZrkN24WSpC&#10;Dg8+JGXY2B9hXwqMOiVB6AORaJ7Db8Qdo6HCBTmmarMVUiarSI2GGq/m03lC90YKFg9jmHf7XSMd&#10;AtAaz7fl6t39CPsqTIkAlpdC1XgZS48m7DlhG81SlUCEPD8DE6kjOAxkbCSOJlnr2ypfbZabZTkp&#10;p4vNpMzbdnK/bcrJYlu8m7eztmna4nvkWZRVLxjjOlK92Lwo/85G44U7G/Rq9OtMstfoSR6gePlP&#10;pJMjognOdtoZdnp0UcloDnB2Ch5vYbw6v+5T1M9vxfoHAAAA//8DAFBLAwQUAAYACAAAACEAHQys&#10;c9kAAAACAQAADwAAAGRycy9kb3ducmV2LnhtbEyPQUvDQBCF7wX/wzKCt3bTFIKm2ZQqelPBKnjd&#10;Zqeb0OxsyG6T1F/v1Iu9PBje471vis3kWjFgHxpPCpaLBARS5U1DVsHX58v8HkSImoxuPaGCMwbY&#10;lDezQufGj/SBwy5awSUUcq2gjrHLpQxVjU6Hhe+Q2Dv43unIZ2+l6fXI5a6VaZJk0umGeKHWHT7V&#10;WB13J6fg8e31O2ve3eDstDr+jOekSu2zUne303YNIuIU/8NwwWd0KJlp709kgmgV8CPxT9l7yFYp&#10;iP0lJMtCXqOXvwAAAP//AwBQSwECLQAUAAYACAAAACEAtoM4kv4AAADhAQAAEwAAAAAAAAAAAAAA&#10;AAAAAAAAW0NvbnRlbnRfVHlwZXNdLnhtbFBLAQItABQABgAIAAAAIQA4/SH/1gAAAJQBAAALAAAA&#10;AAAAAAAAAAAAAC8BAABfcmVscy8ucmVsc1BLAQItABQABgAIAAAAIQAoEEaqQgIAAHMEAAAOAAAA&#10;AAAAAAAAAAAAAC4CAABkcnMvZTJvRG9jLnhtbFBLAQItABQABgAIAAAAIQAdDKxz2QAAAAIBAAAP&#10;AAAAAAAAAAAAAAAAAJwEAABkcnMvZG93bnJldi54bWxQSwUGAAAAAAQABADzAAAAogUAAAAA&#10;" strokecolor="#5f497a">
          <w10:wrap type="none"/>
          <w10:anchorlock/>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082C914"/>
    <w:lvl w:ilvl="0">
      <w:start w:val="1"/>
      <w:numFmt w:val="decimal"/>
      <w:lvlText w:val="%1."/>
      <w:lvlJc w:val="left"/>
      <w:pPr>
        <w:tabs>
          <w:tab w:val="num" w:pos="1800"/>
        </w:tabs>
        <w:ind w:left="1800" w:hanging="360"/>
      </w:pPr>
    </w:lvl>
  </w:abstractNum>
  <w:abstractNum w:abstractNumId="1">
    <w:nsid w:val="FFFFFF7D"/>
    <w:multiLevelType w:val="singleLevel"/>
    <w:tmpl w:val="9B98C5F6"/>
    <w:lvl w:ilvl="0">
      <w:start w:val="1"/>
      <w:numFmt w:val="decimal"/>
      <w:lvlText w:val="%1."/>
      <w:lvlJc w:val="left"/>
      <w:pPr>
        <w:tabs>
          <w:tab w:val="num" w:pos="1440"/>
        </w:tabs>
        <w:ind w:left="1440" w:hanging="360"/>
      </w:pPr>
    </w:lvl>
  </w:abstractNum>
  <w:abstractNum w:abstractNumId="2">
    <w:nsid w:val="FFFFFF7E"/>
    <w:multiLevelType w:val="singleLevel"/>
    <w:tmpl w:val="1D28E46C"/>
    <w:lvl w:ilvl="0">
      <w:start w:val="1"/>
      <w:numFmt w:val="decimal"/>
      <w:lvlText w:val="%1."/>
      <w:lvlJc w:val="left"/>
      <w:pPr>
        <w:tabs>
          <w:tab w:val="num" w:pos="1080"/>
        </w:tabs>
        <w:ind w:left="1080" w:hanging="360"/>
      </w:pPr>
    </w:lvl>
  </w:abstractNum>
  <w:abstractNum w:abstractNumId="3">
    <w:nsid w:val="FFFFFF7F"/>
    <w:multiLevelType w:val="singleLevel"/>
    <w:tmpl w:val="25E2B3D8"/>
    <w:lvl w:ilvl="0">
      <w:start w:val="1"/>
      <w:numFmt w:val="decimal"/>
      <w:lvlText w:val="%1."/>
      <w:lvlJc w:val="left"/>
      <w:pPr>
        <w:tabs>
          <w:tab w:val="num" w:pos="720"/>
        </w:tabs>
        <w:ind w:left="720" w:hanging="360"/>
      </w:pPr>
    </w:lvl>
  </w:abstractNum>
  <w:abstractNum w:abstractNumId="4">
    <w:nsid w:val="FFFFFF80"/>
    <w:multiLevelType w:val="singleLevel"/>
    <w:tmpl w:val="5FD4A10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6AC05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6BA3F1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BFCCE6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BDCEABE"/>
    <w:lvl w:ilvl="0">
      <w:start w:val="1"/>
      <w:numFmt w:val="decimal"/>
      <w:lvlText w:val="%1."/>
      <w:lvlJc w:val="left"/>
      <w:pPr>
        <w:tabs>
          <w:tab w:val="num" w:pos="360"/>
        </w:tabs>
        <w:ind w:left="360" w:hanging="360"/>
      </w:pPr>
    </w:lvl>
  </w:abstractNum>
  <w:abstractNum w:abstractNumId="9">
    <w:nsid w:val="FFFFFF89"/>
    <w:multiLevelType w:val="singleLevel"/>
    <w:tmpl w:val="A0BE1D4A"/>
    <w:lvl w:ilvl="0">
      <w:start w:val="1"/>
      <w:numFmt w:val="bullet"/>
      <w:lvlText w:val=""/>
      <w:lvlJc w:val="left"/>
      <w:pPr>
        <w:tabs>
          <w:tab w:val="num" w:pos="360"/>
        </w:tabs>
        <w:ind w:left="360" w:hanging="360"/>
      </w:pPr>
      <w:rPr>
        <w:rFonts w:ascii="Symbol" w:hAnsi="Symbol" w:hint="default"/>
      </w:rPr>
    </w:lvl>
  </w:abstractNum>
  <w:abstractNum w:abstractNumId="10">
    <w:nsid w:val="033F33D8"/>
    <w:multiLevelType w:val="hybridMultilevel"/>
    <w:tmpl w:val="61346B64"/>
    <w:lvl w:ilvl="0" w:tplc="FFFFFFFF">
      <w:start w:val="1"/>
      <w:numFmt w:val="bullet"/>
      <w:pStyle w:val="Bullet"/>
      <w:lvlText w:val=""/>
      <w:lvlJc w:val="left"/>
      <w:pPr>
        <w:tabs>
          <w:tab w:val="num" w:pos="720"/>
        </w:tabs>
        <w:ind w:left="720" w:hanging="360"/>
      </w:pPr>
      <w:rPr>
        <w:rFonts w:ascii="Wingdings" w:hAnsi="Wingdings" w:hint="default"/>
        <w:color w:val="433B67"/>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62F5674"/>
    <w:multiLevelType w:val="hybridMultilevel"/>
    <w:tmpl w:val="652A9A1E"/>
    <w:lvl w:ilvl="0" w:tplc="F5241B0E">
      <w:start w:val="6"/>
      <w:numFmt w:val="decimal"/>
      <w:pStyle w:val="NumbersLa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6563045"/>
    <w:multiLevelType w:val="hybridMultilevel"/>
    <w:tmpl w:val="F3B03B8E"/>
    <w:lvl w:ilvl="0" w:tplc="FD9E53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96A593E"/>
    <w:multiLevelType w:val="hybridMultilevel"/>
    <w:tmpl w:val="BF0CB3C6"/>
    <w:lvl w:ilvl="0" w:tplc="4A6091AE">
      <w:start w:val="1"/>
      <w:numFmt w:val="bullet"/>
      <w:pStyle w:val="Bullets"/>
      <w:lvlText w:val=""/>
      <w:lvlJc w:val="left"/>
      <w:pPr>
        <w:tabs>
          <w:tab w:val="num" w:pos="720"/>
        </w:tabs>
        <w:ind w:left="720" w:hanging="360"/>
      </w:pPr>
      <w:rPr>
        <w:rFonts w:ascii="Wingdings" w:hAnsi="Wingdings" w:hint="default"/>
        <w:color w:val="433B67"/>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A7561E2"/>
    <w:multiLevelType w:val="hybridMultilevel"/>
    <w:tmpl w:val="6F6C1304"/>
    <w:lvl w:ilvl="0" w:tplc="FB1E35EA">
      <w:start w:val="1"/>
      <w:numFmt w:val="decimal"/>
      <w:pStyle w:val="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0E263D"/>
    <w:multiLevelType w:val="multilevel"/>
    <w:tmpl w:val="1540B8E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17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nsid w:val="27466AB5"/>
    <w:multiLevelType w:val="multilevel"/>
    <w:tmpl w:val="6B2CD62E"/>
    <w:styleLink w:val="NumberedSteps"/>
    <w:lvl w:ilvl="0">
      <w:start w:val="1"/>
      <w:numFmt w:val="decimal"/>
      <w:lvlText w:val="%1"/>
      <w:lvlJc w:val="left"/>
      <w:pPr>
        <w:tabs>
          <w:tab w:val="num" w:pos="720"/>
        </w:tabs>
        <w:ind w:left="720" w:hanging="360"/>
      </w:pPr>
      <w:rPr>
        <w:rFonts w:ascii="Arial" w:hAnsi="Arial"/>
        <w:dstrike w:val="0"/>
        <w:color w:val="auto"/>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6AF25D1"/>
    <w:multiLevelType w:val="hybridMultilevel"/>
    <w:tmpl w:val="223A6002"/>
    <w:lvl w:ilvl="0" w:tplc="0409000F">
      <w:start w:val="1"/>
      <w:numFmt w:val="decimal"/>
      <w:pStyle w:val="TOCHeading"/>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3FC5BB5"/>
    <w:multiLevelType w:val="hybridMultilevel"/>
    <w:tmpl w:val="D60418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6F033B8"/>
    <w:multiLevelType w:val="hybridMultilevel"/>
    <w:tmpl w:val="97563AD6"/>
    <w:lvl w:ilvl="0" w:tplc="FD9E53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4497E68"/>
    <w:multiLevelType w:val="multilevel"/>
    <w:tmpl w:val="BAA2770C"/>
    <w:lvl w:ilvl="0">
      <w:start w:val="1"/>
      <w:numFmt w:val="upperLetter"/>
      <w:pStyle w:val="AppendixHeading"/>
      <w:lvlText w:val="Appendix %1."/>
      <w:lvlJc w:val="left"/>
      <w:pPr>
        <w:ind w:left="4140" w:hanging="360"/>
      </w:pPr>
      <w:rPr>
        <w:b w:val="0"/>
        <w:bCs w:val="0"/>
        <w:i w:val="0"/>
        <w:iCs w:val="0"/>
        <w:caps w:val="0"/>
        <w:smallCaps w:val="0"/>
        <w:strike w:val="0"/>
        <w:dstrike w:val="0"/>
        <w:noProof w:val="0"/>
        <w:vanish w:val="0"/>
        <w:color w:val="433B67"/>
        <w:spacing w:val="0"/>
        <w:kern w:val="0"/>
        <w:position w:val="0"/>
        <w:u w:val="none"/>
        <w:vertAlign w:val="baseline"/>
        <w:em w:val="none"/>
      </w:rPr>
    </w:lvl>
    <w:lvl w:ilvl="1">
      <w:start w:val="1"/>
      <w:numFmt w:val="decimal"/>
      <w:pStyle w:val="AppendixHeading2"/>
      <w:lvlText w:val="%1.%2."/>
      <w:lvlJc w:val="left"/>
      <w:pPr>
        <w:ind w:left="-3438" w:hanging="432"/>
      </w:pPr>
      <w:rPr>
        <w:rFonts w:ascii="Arial" w:hAnsi="Arial" w:cs="Arial" w:hint="default"/>
        <w:b/>
        <w:bCs w:val="0"/>
        <w:i w:val="0"/>
        <w:iCs w:val="0"/>
        <w:caps w:val="0"/>
        <w:smallCaps w:val="0"/>
        <w:strike w:val="0"/>
        <w:dstrike w:val="0"/>
        <w:noProof w:val="0"/>
        <w:snapToGrid w:val="0"/>
        <w:vanish w:val="0"/>
        <w:color w:val="5F497A" w:themeColor="accent4" w:themeShade="BF"/>
        <w:spacing w:val="0"/>
        <w:w w:val="0"/>
        <w:kern w:val="0"/>
        <w:position w:val="0"/>
        <w:szCs w:val="0"/>
        <w:u w:val="none"/>
        <w:vertAlign w:val="baseline"/>
        <w:em w:val="none"/>
      </w:rPr>
    </w:lvl>
    <w:lvl w:ilvl="2">
      <w:start w:val="1"/>
      <w:numFmt w:val="decimal"/>
      <w:pStyle w:val="AppendixHeading3"/>
      <w:lvlText w:val="%1.%2.%3."/>
      <w:lvlJc w:val="left"/>
      <w:pPr>
        <w:ind w:left="-2826" w:hanging="504"/>
      </w:pPr>
      <w:rPr>
        <w:rFonts w:ascii="Arial" w:hAnsi="Arial" w:cs="Arial" w:hint="default"/>
        <w:b/>
        <w:bCs w:val="0"/>
        <w:i w:val="0"/>
        <w:iCs w:val="0"/>
        <w:caps w:val="0"/>
        <w:smallCaps w:val="0"/>
        <w:strike w:val="0"/>
        <w:dstrike w:val="0"/>
        <w:noProof w:val="0"/>
        <w:snapToGrid w:val="0"/>
        <w:vanish w:val="0"/>
        <w:color w:val="5F497A" w:themeColor="accent4" w:themeShade="BF"/>
        <w:spacing w:val="0"/>
        <w:w w:val="0"/>
        <w:kern w:val="0"/>
        <w:position w:val="0"/>
        <w:szCs w:val="0"/>
        <w:u w:val="none"/>
        <w:vertAlign w:val="baseline"/>
        <w:em w:val="none"/>
      </w:rPr>
    </w:lvl>
    <w:lvl w:ilvl="3">
      <w:start w:val="1"/>
      <w:numFmt w:val="decimal"/>
      <w:lvlText w:val="%1.%2.%3.%4."/>
      <w:lvlJc w:val="left"/>
      <w:pPr>
        <w:ind w:left="-2592" w:hanging="648"/>
      </w:pPr>
      <w:rPr>
        <w:rFonts w:hint="default"/>
      </w:rPr>
    </w:lvl>
    <w:lvl w:ilvl="4">
      <w:start w:val="1"/>
      <w:numFmt w:val="decimal"/>
      <w:lvlText w:val="%1.%2.%3.%4.%5."/>
      <w:lvlJc w:val="left"/>
      <w:pPr>
        <w:ind w:left="-2088" w:hanging="792"/>
      </w:pPr>
      <w:rPr>
        <w:rFonts w:hint="default"/>
      </w:rPr>
    </w:lvl>
    <w:lvl w:ilvl="5">
      <w:start w:val="1"/>
      <w:numFmt w:val="decimal"/>
      <w:lvlText w:val="%1.%2.%3.%4.%5.%6."/>
      <w:lvlJc w:val="left"/>
      <w:pPr>
        <w:ind w:left="-1584" w:hanging="936"/>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576" w:hanging="1224"/>
      </w:pPr>
      <w:rPr>
        <w:rFonts w:hint="default"/>
      </w:rPr>
    </w:lvl>
    <w:lvl w:ilvl="8">
      <w:start w:val="1"/>
      <w:numFmt w:val="decimal"/>
      <w:lvlText w:val="%1.%2.%3.%4.%5.%6.%7.%8.%9."/>
      <w:lvlJc w:val="left"/>
      <w:pPr>
        <w:ind w:left="0" w:hanging="1440"/>
      </w:pPr>
      <w:rPr>
        <w:rFonts w:hint="default"/>
      </w:rPr>
    </w:lvl>
  </w:abstractNum>
  <w:abstractNum w:abstractNumId="21">
    <w:nsid w:val="6D0F2EE8"/>
    <w:multiLevelType w:val="multilevel"/>
    <w:tmpl w:val="9F68006A"/>
    <w:styleLink w:val="Numbered"/>
    <w:lvl w:ilvl="0">
      <w:start w:val="1"/>
      <w:numFmt w:val="decimal"/>
      <w:lvlText w:val="%1"/>
      <w:lvlJc w:val="left"/>
      <w:pPr>
        <w:tabs>
          <w:tab w:val="num" w:pos="720"/>
        </w:tabs>
        <w:ind w:left="720" w:hanging="360"/>
      </w:pPr>
      <w:rPr>
        <w:rFonts w:ascii="Arial" w:hAnsi="Arial"/>
        <w:dstrike w:val="0"/>
        <w:color w:val="000000" w:themeColor="text1"/>
        <w:sz w:val="22"/>
        <w:vertAlign w:val="baseline"/>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EE17729"/>
    <w:multiLevelType w:val="hybridMultilevel"/>
    <w:tmpl w:val="6E866F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10A5505"/>
    <w:multiLevelType w:val="hybridMultilevel"/>
    <w:tmpl w:val="D70EC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B64E54"/>
    <w:multiLevelType w:val="hybridMultilevel"/>
    <w:tmpl w:val="3E88512A"/>
    <w:lvl w:ilvl="0" w:tplc="0409000F">
      <w:start w:val="1"/>
      <w:numFmt w:val="decimal"/>
      <w:lvlText w:val="%1."/>
      <w:lvlJc w:val="left"/>
      <w:pPr>
        <w:tabs>
          <w:tab w:val="num" w:pos="720"/>
        </w:tabs>
        <w:ind w:left="720" w:hanging="360"/>
      </w:pPr>
      <w:rPr>
        <w:rFonts w:hint="default"/>
        <w:color w:val="433B67"/>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5"/>
  </w:num>
  <w:num w:numId="3">
    <w:abstractNumId w:val="17"/>
  </w:num>
  <w:num w:numId="4">
    <w:abstractNumId w:val="20"/>
  </w:num>
  <w:num w:numId="5">
    <w:abstractNumId w:val="21"/>
  </w:num>
  <w:num w:numId="6">
    <w:abstractNumId w:val="16"/>
  </w:num>
  <w:num w:numId="7">
    <w:abstractNumId w:val="10"/>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1"/>
  </w:num>
  <w:num w:numId="11">
    <w:abstractNumId w:val="22"/>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9"/>
  </w:num>
  <w:num w:numId="15">
    <w:abstractNumId w:val="12"/>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0"/>
  </w:num>
  <w:num w:numId="20">
    <w:abstractNumId w:val="20"/>
  </w:num>
  <w:num w:numId="21">
    <w:abstractNumId w:val="20"/>
  </w:num>
  <w:num w:numId="22">
    <w:abstractNumId w:val="20"/>
  </w:num>
  <w:num w:numId="23">
    <w:abstractNumId w:val="20"/>
  </w:num>
  <w:num w:numId="24">
    <w:abstractNumId w:val="20"/>
  </w:num>
  <w:num w:numId="25">
    <w:abstractNumId w:val="15"/>
  </w:num>
  <w:num w:numId="26">
    <w:abstractNumId w:val="15"/>
  </w:num>
  <w:num w:numId="27">
    <w:abstractNumId w:val="15"/>
  </w:num>
  <w:num w:numId="28">
    <w:abstractNumId w:val="18"/>
  </w:num>
  <w:num w:numId="29">
    <w:abstractNumId w:val="20"/>
  </w:num>
  <w:num w:numId="30">
    <w:abstractNumId w:val="20"/>
  </w:num>
  <w:num w:numId="31">
    <w:abstractNumId w:val="20"/>
  </w:num>
  <w:num w:numId="32">
    <w:abstractNumId w:val="20"/>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hdrShapeDefaults>
    <o:shapedefaults v:ext="edit" spidmax="4099">
      <o:colormenu v:ext="edit" strokecolor="none"/>
    </o:shapedefaults>
    <o:shapelayout v:ext="edit">
      <o:idmap v:ext="edit" data="4"/>
      <o:rules v:ext="edit">
        <o:r id="V:Rule3" type="connector" idref="#_x0000_s4098"/>
        <o:r id="V:Rule4" type="connector" idref="#AutoShape 1"/>
      </o:rules>
    </o:shapelayout>
  </w:hdrShapeDefaults>
  <w:footnotePr>
    <w:footnote w:id="-1"/>
    <w:footnote w:id="0"/>
  </w:footnotePr>
  <w:endnotePr>
    <w:endnote w:id="-1"/>
    <w:endnote w:id="0"/>
  </w:endnotePr>
  <w:compat>
    <w:useFELayout/>
  </w:compat>
  <w:rsids>
    <w:rsidRoot w:val="005343AA"/>
    <w:rsid w:val="00003892"/>
    <w:rsid w:val="00003A1C"/>
    <w:rsid w:val="000107B1"/>
    <w:rsid w:val="00011137"/>
    <w:rsid w:val="00011593"/>
    <w:rsid w:val="00011DE1"/>
    <w:rsid w:val="00012111"/>
    <w:rsid w:val="00013B2C"/>
    <w:rsid w:val="00013F3C"/>
    <w:rsid w:val="00020540"/>
    <w:rsid w:val="0002176F"/>
    <w:rsid w:val="00023197"/>
    <w:rsid w:val="000251D6"/>
    <w:rsid w:val="000262CC"/>
    <w:rsid w:val="00030290"/>
    <w:rsid w:val="00031274"/>
    <w:rsid w:val="0003650B"/>
    <w:rsid w:val="00040046"/>
    <w:rsid w:val="00040E3F"/>
    <w:rsid w:val="00043BC0"/>
    <w:rsid w:val="00050374"/>
    <w:rsid w:val="0005291C"/>
    <w:rsid w:val="00052960"/>
    <w:rsid w:val="000538D1"/>
    <w:rsid w:val="00053F5A"/>
    <w:rsid w:val="000600A8"/>
    <w:rsid w:val="0006070E"/>
    <w:rsid w:val="0006105E"/>
    <w:rsid w:val="000644A7"/>
    <w:rsid w:val="0006539C"/>
    <w:rsid w:val="00067ED1"/>
    <w:rsid w:val="000761CF"/>
    <w:rsid w:val="00083909"/>
    <w:rsid w:val="00085927"/>
    <w:rsid w:val="00086308"/>
    <w:rsid w:val="00092B5B"/>
    <w:rsid w:val="000A1A9E"/>
    <w:rsid w:val="000A294F"/>
    <w:rsid w:val="000A3D35"/>
    <w:rsid w:val="000A4BAA"/>
    <w:rsid w:val="000A4D16"/>
    <w:rsid w:val="000A5894"/>
    <w:rsid w:val="000B170C"/>
    <w:rsid w:val="000B7C0D"/>
    <w:rsid w:val="000C301A"/>
    <w:rsid w:val="000C417A"/>
    <w:rsid w:val="000C701C"/>
    <w:rsid w:val="000D0277"/>
    <w:rsid w:val="000D027D"/>
    <w:rsid w:val="000D068E"/>
    <w:rsid w:val="000D2B81"/>
    <w:rsid w:val="000D3242"/>
    <w:rsid w:val="000D47CD"/>
    <w:rsid w:val="000D67D1"/>
    <w:rsid w:val="000E0B03"/>
    <w:rsid w:val="000E1ACA"/>
    <w:rsid w:val="000E20C8"/>
    <w:rsid w:val="000E3384"/>
    <w:rsid w:val="000E6E9D"/>
    <w:rsid w:val="000E77C9"/>
    <w:rsid w:val="000E7C00"/>
    <w:rsid w:val="000E7F72"/>
    <w:rsid w:val="000E7FE9"/>
    <w:rsid w:val="000F1689"/>
    <w:rsid w:val="000F185F"/>
    <w:rsid w:val="000F214C"/>
    <w:rsid w:val="000F2EB5"/>
    <w:rsid w:val="000F3A0E"/>
    <w:rsid w:val="000F4BF4"/>
    <w:rsid w:val="00100001"/>
    <w:rsid w:val="00101449"/>
    <w:rsid w:val="001017C6"/>
    <w:rsid w:val="001058F3"/>
    <w:rsid w:val="00106581"/>
    <w:rsid w:val="00106B18"/>
    <w:rsid w:val="00107DD3"/>
    <w:rsid w:val="0011027B"/>
    <w:rsid w:val="00111A1E"/>
    <w:rsid w:val="00113223"/>
    <w:rsid w:val="001136EF"/>
    <w:rsid w:val="001140D5"/>
    <w:rsid w:val="0011473B"/>
    <w:rsid w:val="001147E5"/>
    <w:rsid w:val="00124047"/>
    <w:rsid w:val="00124750"/>
    <w:rsid w:val="00125B8C"/>
    <w:rsid w:val="001279EC"/>
    <w:rsid w:val="00131C58"/>
    <w:rsid w:val="001348A1"/>
    <w:rsid w:val="00136632"/>
    <w:rsid w:val="001377B6"/>
    <w:rsid w:val="00141A48"/>
    <w:rsid w:val="00141F07"/>
    <w:rsid w:val="0014415F"/>
    <w:rsid w:val="001456BD"/>
    <w:rsid w:val="00146719"/>
    <w:rsid w:val="0014750D"/>
    <w:rsid w:val="00147655"/>
    <w:rsid w:val="001506C8"/>
    <w:rsid w:val="001540EB"/>
    <w:rsid w:val="0015737F"/>
    <w:rsid w:val="001575B2"/>
    <w:rsid w:val="00162E39"/>
    <w:rsid w:val="00163EC7"/>
    <w:rsid w:val="00164546"/>
    <w:rsid w:val="00164F85"/>
    <w:rsid w:val="00166B04"/>
    <w:rsid w:val="00172B64"/>
    <w:rsid w:val="001741D9"/>
    <w:rsid w:val="001832A4"/>
    <w:rsid w:val="00186953"/>
    <w:rsid w:val="00190970"/>
    <w:rsid w:val="001929AF"/>
    <w:rsid w:val="00194B27"/>
    <w:rsid w:val="001977C1"/>
    <w:rsid w:val="001A4792"/>
    <w:rsid w:val="001A4D71"/>
    <w:rsid w:val="001B0D27"/>
    <w:rsid w:val="001B2F64"/>
    <w:rsid w:val="001B3E5B"/>
    <w:rsid w:val="001C2433"/>
    <w:rsid w:val="001C3872"/>
    <w:rsid w:val="001C6CAE"/>
    <w:rsid w:val="001D07B4"/>
    <w:rsid w:val="001D14F7"/>
    <w:rsid w:val="001D439F"/>
    <w:rsid w:val="001D5412"/>
    <w:rsid w:val="001D5905"/>
    <w:rsid w:val="001D672D"/>
    <w:rsid w:val="001D6CCB"/>
    <w:rsid w:val="001D7779"/>
    <w:rsid w:val="001D7FD4"/>
    <w:rsid w:val="001E3458"/>
    <w:rsid w:val="001E35DF"/>
    <w:rsid w:val="001E375F"/>
    <w:rsid w:val="001E48E5"/>
    <w:rsid w:val="001E6EB2"/>
    <w:rsid w:val="001F00DB"/>
    <w:rsid w:val="001F3105"/>
    <w:rsid w:val="001F6FC2"/>
    <w:rsid w:val="00200AE7"/>
    <w:rsid w:val="00202F46"/>
    <w:rsid w:val="00203F57"/>
    <w:rsid w:val="00206FC2"/>
    <w:rsid w:val="002070AB"/>
    <w:rsid w:val="002078F6"/>
    <w:rsid w:val="002112E8"/>
    <w:rsid w:val="00212CEE"/>
    <w:rsid w:val="00214C40"/>
    <w:rsid w:val="002171A9"/>
    <w:rsid w:val="002203CD"/>
    <w:rsid w:val="00221DD4"/>
    <w:rsid w:val="0022241B"/>
    <w:rsid w:val="00222FB0"/>
    <w:rsid w:val="002241C5"/>
    <w:rsid w:val="00226132"/>
    <w:rsid w:val="00227071"/>
    <w:rsid w:val="002319B4"/>
    <w:rsid w:val="00240A5A"/>
    <w:rsid w:val="00245CAE"/>
    <w:rsid w:val="00246E0F"/>
    <w:rsid w:val="00250060"/>
    <w:rsid w:val="00250D02"/>
    <w:rsid w:val="002532AD"/>
    <w:rsid w:val="00263101"/>
    <w:rsid w:val="00263860"/>
    <w:rsid w:val="00265FA0"/>
    <w:rsid w:val="00266606"/>
    <w:rsid w:val="00267D91"/>
    <w:rsid w:val="00270ED1"/>
    <w:rsid w:val="00270F6E"/>
    <w:rsid w:val="00271878"/>
    <w:rsid w:val="00272693"/>
    <w:rsid w:val="002736F2"/>
    <w:rsid w:val="00273702"/>
    <w:rsid w:val="00280356"/>
    <w:rsid w:val="002808E0"/>
    <w:rsid w:val="00280B04"/>
    <w:rsid w:val="00284347"/>
    <w:rsid w:val="00287A2F"/>
    <w:rsid w:val="00295410"/>
    <w:rsid w:val="00296EA2"/>
    <w:rsid w:val="002A389E"/>
    <w:rsid w:val="002A73F2"/>
    <w:rsid w:val="002B1DFB"/>
    <w:rsid w:val="002B51AB"/>
    <w:rsid w:val="002B6DFE"/>
    <w:rsid w:val="002B747D"/>
    <w:rsid w:val="002C0330"/>
    <w:rsid w:val="002C2024"/>
    <w:rsid w:val="002C3D08"/>
    <w:rsid w:val="002C5DF9"/>
    <w:rsid w:val="002D0E81"/>
    <w:rsid w:val="002D1A0B"/>
    <w:rsid w:val="002D27E9"/>
    <w:rsid w:val="002D7769"/>
    <w:rsid w:val="002E289F"/>
    <w:rsid w:val="002E3836"/>
    <w:rsid w:val="002E6FE4"/>
    <w:rsid w:val="002F0E85"/>
    <w:rsid w:val="002F4C6B"/>
    <w:rsid w:val="002F534E"/>
    <w:rsid w:val="0030055B"/>
    <w:rsid w:val="00305437"/>
    <w:rsid w:val="00307B70"/>
    <w:rsid w:val="00307DD1"/>
    <w:rsid w:val="00310ACE"/>
    <w:rsid w:val="003134A2"/>
    <w:rsid w:val="00313D2B"/>
    <w:rsid w:val="00313EB7"/>
    <w:rsid w:val="0031409B"/>
    <w:rsid w:val="00317B29"/>
    <w:rsid w:val="00321715"/>
    <w:rsid w:val="0032513A"/>
    <w:rsid w:val="00336375"/>
    <w:rsid w:val="00342533"/>
    <w:rsid w:val="00343970"/>
    <w:rsid w:val="0034402E"/>
    <w:rsid w:val="00345F96"/>
    <w:rsid w:val="00354A23"/>
    <w:rsid w:val="00356CEA"/>
    <w:rsid w:val="00357D93"/>
    <w:rsid w:val="00360582"/>
    <w:rsid w:val="0036313A"/>
    <w:rsid w:val="00363171"/>
    <w:rsid w:val="003635F4"/>
    <w:rsid w:val="0036714E"/>
    <w:rsid w:val="00367331"/>
    <w:rsid w:val="00376785"/>
    <w:rsid w:val="00376DE4"/>
    <w:rsid w:val="00380238"/>
    <w:rsid w:val="0038066E"/>
    <w:rsid w:val="00382429"/>
    <w:rsid w:val="0038358B"/>
    <w:rsid w:val="003835C8"/>
    <w:rsid w:val="00384D85"/>
    <w:rsid w:val="00385F7A"/>
    <w:rsid w:val="003900DF"/>
    <w:rsid w:val="003934C3"/>
    <w:rsid w:val="00393B8D"/>
    <w:rsid w:val="00394D98"/>
    <w:rsid w:val="003A03E5"/>
    <w:rsid w:val="003A3F53"/>
    <w:rsid w:val="003B182A"/>
    <w:rsid w:val="003B1EDD"/>
    <w:rsid w:val="003B3A7D"/>
    <w:rsid w:val="003B54A0"/>
    <w:rsid w:val="003B70A3"/>
    <w:rsid w:val="003B7391"/>
    <w:rsid w:val="003B75BA"/>
    <w:rsid w:val="003C0352"/>
    <w:rsid w:val="003C52F4"/>
    <w:rsid w:val="003C584F"/>
    <w:rsid w:val="003C5913"/>
    <w:rsid w:val="003D1095"/>
    <w:rsid w:val="003D2080"/>
    <w:rsid w:val="003D29A2"/>
    <w:rsid w:val="003D652A"/>
    <w:rsid w:val="003E2EAB"/>
    <w:rsid w:val="003E3532"/>
    <w:rsid w:val="003E4579"/>
    <w:rsid w:val="003E5B2E"/>
    <w:rsid w:val="003E754F"/>
    <w:rsid w:val="003E7761"/>
    <w:rsid w:val="003F397F"/>
    <w:rsid w:val="003F5AC5"/>
    <w:rsid w:val="00400288"/>
    <w:rsid w:val="00400296"/>
    <w:rsid w:val="00403E66"/>
    <w:rsid w:val="0040540D"/>
    <w:rsid w:val="00405BEC"/>
    <w:rsid w:val="004068BF"/>
    <w:rsid w:val="004071B6"/>
    <w:rsid w:val="0041026C"/>
    <w:rsid w:val="0041125E"/>
    <w:rsid w:val="0041271C"/>
    <w:rsid w:val="00415CEE"/>
    <w:rsid w:val="0042123F"/>
    <w:rsid w:val="00422C33"/>
    <w:rsid w:val="00426E37"/>
    <w:rsid w:val="00427D56"/>
    <w:rsid w:val="00430EB0"/>
    <w:rsid w:val="00432764"/>
    <w:rsid w:val="00437412"/>
    <w:rsid w:val="00447848"/>
    <w:rsid w:val="00452951"/>
    <w:rsid w:val="00454243"/>
    <w:rsid w:val="00455356"/>
    <w:rsid w:val="00456A92"/>
    <w:rsid w:val="00460E6B"/>
    <w:rsid w:val="00461B69"/>
    <w:rsid w:val="0046328B"/>
    <w:rsid w:val="00464542"/>
    <w:rsid w:val="0046753E"/>
    <w:rsid w:val="0047340F"/>
    <w:rsid w:val="004739E0"/>
    <w:rsid w:val="004869AB"/>
    <w:rsid w:val="004959BC"/>
    <w:rsid w:val="0049648A"/>
    <w:rsid w:val="0049796A"/>
    <w:rsid w:val="00497DFE"/>
    <w:rsid w:val="004A0337"/>
    <w:rsid w:val="004A3D00"/>
    <w:rsid w:val="004A7B02"/>
    <w:rsid w:val="004C19B6"/>
    <w:rsid w:val="004C21C9"/>
    <w:rsid w:val="004C3D8D"/>
    <w:rsid w:val="004C42F5"/>
    <w:rsid w:val="004C508E"/>
    <w:rsid w:val="004C53CE"/>
    <w:rsid w:val="004C6D1B"/>
    <w:rsid w:val="004D1278"/>
    <w:rsid w:val="004D2191"/>
    <w:rsid w:val="004D4422"/>
    <w:rsid w:val="004D5F77"/>
    <w:rsid w:val="004E1DE0"/>
    <w:rsid w:val="004E66F8"/>
    <w:rsid w:val="004E759D"/>
    <w:rsid w:val="004F1C85"/>
    <w:rsid w:val="004F2384"/>
    <w:rsid w:val="004F6B7C"/>
    <w:rsid w:val="004F7792"/>
    <w:rsid w:val="00505CEC"/>
    <w:rsid w:val="00511FA2"/>
    <w:rsid w:val="005124A4"/>
    <w:rsid w:val="005132EA"/>
    <w:rsid w:val="00514599"/>
    <w:rsid w:val="00515A0D"/>
    <w:rsid w:val="00520459"/>
    <w:rsid w:val="00522424"/>
    <w:rsid w:val="00523D32"/>
    <w:rsid w:val="00524485"/>
    <w:rsid w:val="00525C9D"/>
    <w:rsid w:val="005310C6"/>
    <w:rsid w:val="00531A3F"/>
    <w:rsid w:val="00533A93"/>
    <w:rsid w:val="00534341"/>
    <w:rsid w:val="005343AA"/>
    <w:rsid w:val="0053696A"/>
    <w:rsid w:val="0054119B"/>
    <w:rsid w:val="0054182F"/>
    <w:rsid w:val="005424F4"/>
    <w:rsid w:val="005437EA"/>
    <w:rsid w:val="00543D3E"/>
    <w:rsid w:val="005472BD"/>
    <w:rsid w:val="00550A3F"/>
    <w:rsid w:val="00550FAD"/>
    <w:rsid w:val="00551AA8"/>
    <w:rsid w:val="00552024"/>
    <w:rsid w:val="0055245E"/>
    <w:rsid w:val="00552CCD"/>
    <w:rsid w:val="00553A6A"/>
    <w:rsid w:val="0055531A"/>
    <w:rsid w:val="00561081"/>
    <w:rsid w:val="00561B16"/>
    <w:rsid w:val="005656D4"/>
    <w:rsid w:val="005667C2"/>
    <w:rsid w:val="00566C21"/>
    <w:rsid w:val="005670AC"/>
    <w:rsid w:val="00567FEB"/>
    <w:rsid w:val="005700C8"/>
    <w:rsid w:val="0057122E"/>
    <w:rsid w:val="00571D4C"/>
    <w:rsid w:val="005729C3"/>
    <w:rsid w:val="0057362D"/>
    <w:rsid w:val="00573A51"/>
    <w:rsid w:val="00574DE2"/>
    <w:rsid w:val="00576E6F"/>
    <w:rsid w:val="005831EF"/>
    <w:rsid w:val="0058392F"/>
    <w:rsid w:val="0058510A"/>
    <w:rsid w:val="00591F4C"/>
    <w:rsid w:val="005920D3"/>
    <w:rsid w:val="00593680"/>
    <w:rsid w:val="00593D93"/>
    <w:rsid w:val="00594D09"/>
    <w:rsid w:val="0059596C"/>
    <w:rsid w:val="00595F52"/>
    <w:rsid w:val="005A3A5C"/>
    <w:rsid w:val="005A4288"/>
    <w:rsid w:val="005A4A9F"/>
    <w:rsid w:val="005A50D9"/>
    <w:rsid w:val="005A72FE"/>
    <w:rsid w:val="005B3C81"/>
    <w:rsid w:val="005B71E5"/>
    <w:rsid w:val="005B72F0"/>
    <w:rsid w:val="005C1492"/>
    <w:rsid w:val="005C31CD"/>
    <w:rsid w:val="005C4163"/>
    <w:rsid w:val="005C5DB7"/>
    <w:rsid w:val="005C5E11"/>
    <w:rsid w:val="005C5F06"/>
    <w:rsid w:val="005C62C2"/>
    <w:rsid w:val="005D0FE4"/>
    <w:rsid w:val="005D13F3"/>
    <w:rsid w:val="005D16FB"/>
    <w:rsid w:val="005D2665"/>
    <w:rsid w:val="005D4982"/>
    <w:rsid w:val="005D560E"/>
    <w:rsid w:val="005E3FA6"/>
    <w:rsid w:val="005E54FF"/>
    <w:rsid w:val="005E5AFE"/>
    <w:rsid w:val="005E7C97"/>
    <w:rsid w:val="005F014B"/>
    <w:rsid w:val="0060002B"/>
    <w:rsid w:val="006001F6"/>
    <w:rsid w:val="00600D5B"/>
    <w:rsid w:val="00603093"/>
    <w:rsid w:val="00604B8D"/>
    <w:rsid w:val="00604CC7"/>
    <w:rsid w:val="00606FCC"/>
    <w:rsid w:val="00612DC3"/>
    <w:rsid w:val="0061332F"/>
    <w:rsid w:val="0061381C"/>
    <w:rsid w:val="006141BC"/>
    <w:rsid w:val="006161AE"/>
    <w:rsid w:val="00616F1A"/>
    <w:rsid w:val="006259CF"/>
    <w:rsid w:val="0062645C"/>
    <w:rsid w:val="00626776"/>
    <w:rsid w:val="00626DC9"/>
    <w:rsid w:val="006271D9"/>
    <w:rsid w:val="00630A6F"/>
    <w:rsid w:val="00632305"/>
    <w:rsid w:val="00633692"/>
    <w:rsid w:val="006368F2"/>
    <w:rsid w:val="0063770C"/>
    <w:rsid w:val="006378AF"/>
    <w:rsid w:val="0064018A"/>
    <w:rsid w:val="00640AB8"/>
    <w:rsid w:val="00642788"/>
    <w:rsid w:val="006436C3"/>
    <w:rsid w:val="00650881"/>
    <w:rsid w:val="00663CD4"/>
    <w:rsid w:val="006719C6"/>
    <w:rsid w:val="006762C1"/>
    <w:rsid w:val="00681E90"/>
    <w:rsid w:val="006821F4"/>
    <w:rsid w:val="006827F3"/>
    <w:rsid w:val="006841CF"/>
    <w:rsid w:val="00690AA3"/>
    <w:rsid w:val="00690C99"/>
    <w:rsid w:val="00693015"/>
    <w:rsid w:val="00695505"/>
    <w:rsid w:val="00695783"/>
    <w:rsid w:val="00695BF0"/>
    <w:rsid w:val="006A1974"/>
    <w:rsid w:val="006A1E54"/>
    <w:rsid w:val="006A3D44"/>
    <w:rsid w:val="006A5420"/>
    <w:rsid w:val="006A5BED"/>
    <w:rsid w:val="006A5CD5"/>
    <w:rsid w:val="006A7EA6"/>
    <w:rsid w:val="006B3118"/>
    <w:rsid w:val="006B3D9D"/>
    <w:rsid w:val="006B7BA6"/>
    <w:rsid w:val="006C0904"/>
    <w:rsid w:val="006C1D4D"/>
    <w:rsid w:val="006C448D"/>
    <w:rsid w:val="006C46E6"/>
    <w:rsid w:val="006C6F3A"/>
    <w:rsid w:val="006C7E20"/>
    <w:rsid w:val="006D5226"/>
    <w:rsid w:val="006E0E84"/>
    <w:rsid w:val="006E114F"/>
    <w:rsid w:val="006E1D51"/>
    <w:rsid w:val="006E2457"/>
    <w:rsid w:val="006E2969"/>
    <w:rsid w:val="006E3CAB"/>
    <w:rsid w:val="006E6117"/>
    <w:rsid w:val="006E67CE"/>
    <w:rsid w:val="006F0DCD"/>
    <w:rsid w:val="006F2FC1"/>
    <w:rsid w:val="006F726C"/>
    <w:rsid w:val="006F7F9A"/>
    <w:rsid w:val="0070043D"/>
    <w:rsid w:val="00700DA1"/>
    <w:rsid w:val="00703CA2"/>
    <w:rsid w:val="00705A09"/>
    <w:rsid w:val="00712ADA"/>
    <w:rsid w:val="00716100"/>
    <w:rsid w:val="00716429"/>
    <w:rsid w:val="007173A4"/>
    <w:rsid w:val="0072176E"/>
    <w:rsid w:val="00725115"/>
    <w:rsid w:val="0072537D"/>
    <w:rsid w:val="0072606B"/>
    <w:rsid w:val="007270D3"/>
    <w:rsid w:val="00730770"/>
    <w:rsid w:val="00732490"/>
    <w:rsid w:val="0073265D"/>
    <w:rsid w:val="00734048"/>
    <w:rsid w:val="007342AB"/>
    <w:rsid w:val="00736DDF"/>
    <w:rsid w:val="00743DE7"/>
    <w:rsid w:val="0074470A"/>
    <w:rsid w:val="00745730"/>
    <w:rsid w:val="00747076"/>
    <w:rsid w:val="007536E3"/>
    <w:rsid w:val="0076199F"/>
    <w:rsid w:val="00763059"/>
    <w:rsid w:val="007631CD"/>
    <w:rsid w:val="007639FE"/>
    <w:rsid w:val="00764A7F"/>
    <w:rsid w:val="00765A21"/>
    <w:rsid w:val="00767E42"/>
    <w:rsid w:val="00767F7C"/>
    <w:rsid w:val="00770DD6"/>
    <w:rsid w:val="007715BA"/>
    <w:rsid w:val="007723A3"/>
    <w:rsid w:val="00780B0B"/>
    <w:rsid w:val="00781585"/>
    <w:rsid w:val="007819E3"/>
    <w:rsid w:val="007821EF"/>
    <w:rsid w:val="00784A5A"/>
    <w:rsid w:val="0079058B"/>
    <w:rsid w:val="007963C8"/>
    <w:rsid w:val="00797BDC"/>
    <w:rsid w:val="007A0BD9"/>
    <w:rsid w:val="007A3E92"/>
    <w:rsid w:val="007A49F0"/>
    <w:rsid w:val="007A5652"/>
    <w:rsid w:val="007A6974"/>
    <w:rsid w:val="007B0415"/>
    <w:rsid w:val="007B2DD3"/>
    <w:rsid w:val="007B31BC"/>
    <w:rsid w:val="007B49B6"/>
    <w:rsid w:val="007B6380"/>
    <w:rsid w:val="007B73C4"/>
    <w:rsid w:val="007C42DF"/>
    <w:rsid w:val="007C6953"/>
    <w:rsid w:val="007D3FB2"/>
    <w:rsid w:val="007D49CB"/>
    <w:rsid w:val="007D7D61"/>
    <w:rsid w:val="007E0FF2"/>
    <w:rsid w:val="007E36E3"/>
    <w:rsid w:val="007E4CE3"/>
    <w:rsid w:val="007E52E2"/>
    <w:rsid w:val="007E54BB"/>
    <w:rsid w:val="007E6409"/>
    <w:rsid w:val="007E7246"/>
    <w:rsid w:val="007F04F5"/>
    <w:rsid w:val="007F167E"/>
    <w:rsid w:val="008002F8"/>
    <w:rsid w:val="008013B3"/>
    <w:rsid w:val="00801A78"/>
    <w:rsid w:val="008033F7"/>
    <w:rsid w:val="0081050A"/>
    <w:rsid w:val="0081088D"/>
    <w:rsid w:val="00812CBE"/>
    <w:rsid w:val="00812FFA"/>
    <w:rsid w:val="0081516C"/>
    <w:rsid w:val="00817CC7"/>
    <w:rsid w:val="0082346A"/>
    <w:rsid w:val="00823719"/>
    <w:rsid w:val="00823D81"/>
    <w:rsid w:val="00826397"/>
    <w:rsid w:val="00832523"/>
    <w:rsid w:val="00837269"/>
    <w:rsid w:val="0084021C"/>
    <w:rsid w:val="00841A79"/>
    <w:rsid w:val="008437EE"/>
    <w:rsid w:val="00844288"/>
    <w:rsid w:val="008448A4"/>
    <w:rsid w:val="0084737F"/>
    <w:rsid w:val="0085096A"/>
    <w:rsid w:val="0085149F"/>
    <w:rsid w:val="00856177"/>
    <w:rsid w:val="00860C9A"/>
    <w:rsid w:val="00863638"/>
    <w:rsid w:val="00863F0C"/>
    <w:rsid w:val="00864A2D"/>
    <w:rsid w:val="00865458"/>
    <w:rsid w:val="008664F8"/>
    <w:rsid w:val="008669D5"/>
    <w:rsid w:val="00866E05"/>
    <w:rsid w:val="0087009C"/>
    <w:rsid w:val="008712B2"/>
    <w:rsid w:val="00872F3B"/>
    <w:rsid w:val="0087300F"/>
    <w:rsid w:val="008741D8"/>
    <w:rsid w:val="00875751"/>
    <w:rsid w:val="00877CA8"/>
    <w:rsid w:val="008808E4"/>
    <w:rsid w:val="00881F66"/>
    <w:rsid w:val="00884152"/>
    <w:rsid w:val="00884D00"/>
    <w:rsid w:val="00887563"/>
    <w:rsid w:val="008904B1"/>
    <w:rsid w:val="00890A25"/>
    <w:rsid w:val="0089560E"/>
    <w:rsid w:val="00895796"/>
    <w:rsid w:val="00896B04"/>
    <w:rsid w:val="008A0843"/>
    <w:rsid w:val="008A2F84"/>
    <w:rsid w:val="008A35D4"/>
    <w:rsid w:val="008A45E7"/>
    <w:rsid w:val="008B0873"/>
    <w:rsid w:val="008B2468"/>
    <w:rsid w:val="008B2FB1"/>
    <w:rsid w:val="008B31AA"/>
    <w:rsid w:val="008C079C"/>
    <w:rsid w:val="008C2F44"/>
    <w:rsid w:val="008C492F"/>
    <w:rsid w:val="008C64A5"/>
    <w:rsid w:val="008D04F7"/>
    <w:rsid w:val="008D2898"/>
    <w:rsid w:val="008D3B2F"/>
    <w:rsid w:val="008D3FFD"/>
    <w:rsid w:val="008D7B94"/>
    <w:rsid w:val="008E0A2E"/>
    <w:rsid w:val="008E0B0D"/>
    <w:rsid w:val="008E2933"/>
    <w:rsid w:val="008E2D61"/>
    <w:rsid w:val="008E4384"/>
    <w:rsid w:val="008E5669"/>
    <w:rsid w:val="008F19CC"/>
    <w:rsid w:val="008F3B29"/>
    <w:rsid w:val="008F73EE"/>
    <w:rsid w:val="00901955"/>
    <w:rsid w:val="00903690"/>
    <w:rsid w:val="009037D1"/>
    <w:rsid w:val="00905DB5"/>
    <w:rsid w:val="00912C55"/>
    <w:rsid w:val="0091362B"/>
    <w:rsid w:val="009157C4"/>
    <w:rsid w:val="0092233B"/>
    <w:rsid w:val="00922681"/>
    <w:rsid w:val="0092436D"/>
    <w:rsid w:val="00924D51"/>
    <w:rsid w:val="00926A92"/>
    <w:rsid w:val="00926B55"/>
    <w:rsid w:val="009274EB"/>
    <w:rsid w:val="00927DFB"/>
    <w:rsid w:val="0093173B"/>
    <w:rsid w:val="0093305B"/>
    <w:rsid w:val="0093736F"/>
    <w:rsid w:val="009434FD"/>
    <w:rsid w:val="00954C6C"/>
    <w:rsid w:val="009555F5"/>
    <w:rsid w:val="00956AA6"/>
    <w:rsid w:val="00965D89"/>
    <w:rsid w:val="00966A21"/>
    <w:rsid w:val="009672C2"/>
    <w:rsid w:val="009674D0"/>
    <w:rsid w:val="00970624"/>
    <w:rsid w:val="00970FE8"/>
    <w:rsid w:val="0097157A"/>
    <w:rsid w:val="00971D33"/>
    <w:rsid w:val="00971D4F"/>
    <w:rsid w:val="00972E99"/>
    <w:rsid w:val="00974C03"/>
    <w:rsid w:val="00975EC7"/>
    <w:rsid w:val="00980B43"/>
    <w:rsid w:val="00981288"/>
    <w:rsid w:val="009827A9"/>
    <w:rsid w:val="009918EE"/>
    <w:rsid w:val="00992CD8"/>
    <w:rsid w:val="009948EC"/>
    <w:rsid w:val="00994A5C"/>
    <w:rsid w:val="00996B0A"/>
    <w:rsid w:val="0099780A"/>
    <w:rsid w:val="009A0B06"/>
    <w:rsid w:val="009A3FBC"/>
    <w:rsid w:val="009A73AD"/>
    <w:rsid w:val="009B0331"/>
    <w:rsid w:val="009B559D"/>
    <w:rsid w:val="009B5C94"/>
    <w:rsid w:val="009C0297"/>
    <w:rsid w:val="009C1548"/>
    <w:rsid w:val="009C3A3B"/>
    <w:rsid w:val="009C57FF"/>
    <w:rsid w:val="009C58C5"/>
    <w:rsid w:val="009C5989"/>
    <w:rsid w:val="009C67DD"/>
    <w:rsid w:val="009C71DA"/>
    <w:rsid w:val="009D111C"/>
    <w:rsid w:val="009D210C"/>
    <w:rsid w:val="009D43DD"/>
    <w:rsid w:val="009D4EFD"/>
    <w:rsid w:val="009D593F"/>
    <w:rsid w:val="009E2132"/>
    <w:rsid w:val="009E606B"/>
    <w:rsid w:val="009E6512"/>
    <w:rsid w:val="009F0E2B"/>
    <w:rsid w:val="009F162F"/>
    <w:rsid w:val="009F32DA"/>
    <w:rsid w:val="009F4670"/>
    <w:rsid w:val="009F49A5"/>
    <w:rsid w:val="00A00B41"/>
    <w:rsid w:val="00A03C0E"/>
    <w:rsid w:val="00A0527B"/>
    <w:rsid w:val="00A06330"/>
    <w:rsid w:val="00A10688"/>
    <w:rsid w:val="00A11561"/>
    <w:rsid w:val="00A1216C"/>
    <w:rsid w:val="00A12359"/>
    <w:rsid w:val="00A1373E"/>
    <w:rsid w:val="00A14074"/>
    <w:rsid w:val="00A159DB"/>
    <w:rsid w:val="00A15BCB"/>
    <w:rsid w:val="00A16362"/>
    <w:rsid w:val="00A16841"/>
    <w:rsid w:val="00A21CD4"/>
    <w:rsid w:val="00A255D8"/>
    <w:rsid w:val="00A30BBA"/>
    <w:rsid w:val="00A30F8F"/>
    <w:rsid w:val="00A315D8"/>
    <w:rsid w:val="00A31B37"/>
    <w:rsid w:val="00A31D54"/>
    <w:rsid w:val="00A341D8"/>
    <w:rsid w:val="00A353D3"/>
    <w:rsid w:val="00A35CDB"/>
    <w:rsid w:val="00A37882"/>
    <w:rsid w:val="00A37C41"/>
    <w:rsid w:val="00A401AD"/>
    <w:rsid w:val="00A40CA1"/>
    <w:rsid w:val="00A43B71"/>
    <w:rsid w:val="00A43C7E"/>
    <w:rsid w:val="00A462D3"/>
    <w:rsid w:val="00A5038C"/>
    <w:rsid w:val="00A52143"/>
    <w:rsid w:val="00A5705A"/>
    <w:rsid w:val="00A6266A"/>
    <w:rsid w:val="00A63998"/>
    <w:rsid w:val="00A711A9"/>
    <w:rsid w:val="00A728D0"/>
    <w:rsid w:val="00A72D3E"/>
    <w:rsid w:val="00A73F2B"/>
    <w:rsid w:val="00A75FE3"/>
    <w:rsid w:val="00A7728C"/>
    <w:rsid w:val="00A84697"/>
    <w:rsid w:val="00A86068"/>
    <w:rsid w:val="00A86400"/>
    <w:rsid w:val="00A90B57"/>
    <w:rsid w:val="00A93844"/>
    <w:rsid w:val="00A94BE3"/>
    <w:rsid w:val="00A979E3"/>
    <w:rsid w:val="00AA0A58"/>
    <w:rsid w:val="00AA11BE"/>
    <w:rsid w:val="00AA1C0C"/>
    <w:rsid w:val="00AA209A"/>
    <w:rsid w:val="00AA2457"/>
    <w:rsid w:val="00AA39FA"/>
    <w:rsid w:val="00AA6D68"/>
    <w:rsid w:val="00AB1094"/>
    <w:rsid w:val="00AB10C4"/>
    <w:rsid w:val="00AB1A16"/>
    <w:rsid w:val="00AB1B0B"/>
    <w:rsid w:val="00AB3666"/>
    <w:rsid w:val="00AB525E"/>
    <w:rsid w:val="00AB7A4D"/>
    <w:rsid w:val="00AC1126"/>
    <w:rsid w:val="00AC1967"/>
    <w:rsid w:val="00AC6435"/>
    <w:rsid w:val="00AD0AC3"/>
    <w:rsid w:val="00AD3A54"/>
    <w:rsid w:val="00AD4984"/>
    <w:rsid w:val="00AD4E0E"/>
    <w:rsid w:val="00AD683A"/>
    <w:rsid w:val="00AD784F"/>
    <w:rsid w:val="00AE29CB"/>
    <w:rsid w:val="00AE5FF9"/>
    <w:rsid w:val="00AE7619"/>
    <w:rsid w:val="00AF36B6"/>
    <w:rsid w:val="00AF74E8"/>
    <w:rsid w:val="00B00C31"/>
    <w:rsid w:val="00B01C5D"/>
    <w:rsid w:val="00B07BD0"/>
    <w:rsid w:val="00B101D3"/>
    <w:rsid w:val="00B10502"/>
    <w:rsid w:val="00B10954"/>
    <w:rsid w:val="00B138EA"/>
    <w:rsid w:val="00B16AB3"/>
    <w:rsid w:val="00B16C0D"/>
    <w:rsid w:val="00B2076F"/>
    <w:rsid w:val="00B22379"/>
    <w:rsid w:val="00B26725"/>
    <w:rsid w:val="00B31AEE"/>
    <w:rsid w:val="00B33BDB"/>
    <w:rsid w:val="00B35519"/>
    <w:rsid w:val="00B443AC"/>
    <w:rsid w:val="00B47F00"/>
    <w:rsid w:val="00B5115A"/>
    <w:rsid w:val="00B57F5E"/>
    <w:rsid w:val="00B60E82"/>
    <w:rsid w:val="00B615CE"/>
    <w:rsid w:val="00B63C42"/>
    <w:rsid w:val="00B662CF"/>
    <w:rsid w:val="00B70F2F"/>
    <w:rsid w:val="00B721C2"/>
    <w:rsid w:val="00B7432D"/>
    <w:rsid w:val="00B75EDD"/>
    <w:rsid w:val="00B803E4"/>
    <w:rsid w:val="00B80A60"/>
    <w:rsid w:val="00B811F6"/>
    <w:rsid w:val="00B81562"/>
    <w:rsid w:val="00B8170D"/>
    <w:rsid w:val="00B93D13"/>
    <w:rsid w:val="00B95A7B"/>
    <w:rsid w:val="00BA0E95"/>
    <w:rsid w:val="00BA142D"/>
    <w:rsid w:val="00BA25E2"/>
    <w:rsid w:val="00BA39D8"/>
    <w:rsid w:val="00BA5213"/>
    <w:rsid w:val="00BA58E7"/>
    <w:rsid w:val="00BA7479"/>
    <w:rsid w:val="00BB134E"/>
    <w:rsid w:val="00BB4362"/>
    <w:rsid w:val="00BB47FF"/>
    <w:rsid w:val="00BB6901"/>
    <w:rsid w:val="00BB6A50"/>
    <w:rsid w:val="00BB76BC"/>
    <w:rsid w:val="00BC0DEA"/>
    <w:rsid w:val="00BC2577"/>
    <w:rsid w:val="00BC4752"/>
    <w:rsid w:val="00BC53BD"/>
    <w:rsid w:val="00BC56EA"/>
    <w:rsid w:val="00BC7E65"/>
    <w:rsid w:val="00BD00AB"/>
    <w:rsid w:val="00BD0497"/>
    <w:rsid w:val="00BD124F"/>
    <w:rsid w:val="00BD1386"/>
    <w:rsid w:val="00BD2EEA"/>
    <w:rsid w:val="00BD3DD3"/>
    <w:rsid w:val="00BD7BFE"/>
    <w:rsid w:val="00BE08BC"/>
    <w:rsid w:val="00BE377D"/>
    <w:rsid w:val="00BE3A43"/>
    <w:rsid w:val="00BE43DE"/>
    <w:rsid w:val="00BE45BB"/>
    <w:rsid w:val="00BF04B1"/>
    <w:rsid w:val="00BF36F2"/>
    <w:rsid w:val="00BF409D"/>
    <w:rsid w:val="00C05B88"/>
    <w:rsid w:val="00C100B7"/>
    <w:rsid w:val="00C124FB"/>
    <w:rsid w:val="00C14B96"/>
    <w:rsid w:val="00C21335"/>
    <w:rsid w:val="00C234A3"/>
    <w:rsid w:val="00C24607"/>
    <w:rsid w:val="00C25138"/>
    <w:rsid w:val="00C26B39"/>
    <w:rsid w:val="00C275C4"/>
    <w:rsid w:val="00C27D34"/>
    <w:rsid w:val="00C27EAA"/>
    <w:rsid w:val="00C3564D"/>
    <w:rsid w:val="00C375B2"/>
    <w:rsid w:val="00C53C79"/>
    <w:rsid w:val="00C550E2"/>
    <w:rsid w:val="00C5794B"/>
    <w:rsid w:val="00C61D83"/>
    <w:rsid w:val="00C62BDF"/>
    <w:rsid w:val="00C63887"/>
    <w:rsid w:val="00C63E38"/>
    <w:rsid w:val="00C6465F"/>
    <w:rsid w:val="00C64ED9"/>
    <w:rsid w:val="00C65D07"/>
    <w:rsid w:val="00C70EF4"/>
    <w:rsid w:val="00C71D24"/>
    <w:rsid w:val="00C7552A"/>
    <w:rsid w:val="00C766E9"/>
    <w:rsid w:val="00C7734E"/>
    <w:rsid w:val="00C815E0"/>
    <w:rsid w:val="00C86549"/>
    <w:rsid w:val="00C928C8"/>
    <w:rsid w:val="00C9331A"/>
    <w:rsid w:val="00C9545D"/>
    <w:rsid w:val="00C96F87"/>
    <w:rsid w:val="00CA1CAB"/>
    <w:rsid w:val="00CA2AC6"/>
    <w:rsid w:val="00CA36DE"/>
    <w:rsid w:val="00CA723C"/>
    <w:rsid w:val="00CB433F"/>
    <w:rsid w:val="00CB44CD"/>
    <w:rsid w:val="00CB5092"/>
    <w:rsid w:val="00CC2C9C"/>
    <w:rsid w:val="00CC32FB"/>
    <w:rsid w:val="00CC3DDD"/>
    <w:rsid w:val="00CC53D8"/>
    <w:rsid w:val="00CC5864"/>
    <w:rsid w:val="00CC5A64"/>
    <w:rsid w:val="00CC5D5C"/>
    <w:rsid w:val="00CC6056"/>
    <w:rsid w:val="00CD0E1A"/>
    <w:rsid w:val="00CD184B"/>
    <w:rsid w:val="00CD31F9"/>
    <w:rsid w:val="00CD35B6"/>
    <w:rsid w:val="00CD3702"/>
    <w:rsid w:val="00CD70FA"/>
    <w:rsid w:val="00CE160D"/>
    <w:rsid w:val="00CE2C8C"/>
    <w:rsid w:val="00CE3C91"/>
    <w:rsid w:val="00CE4563"/>
    <w:rsid w:val="00CF0F8A"/>
    <w:rsid w:val="00CF2375"/>
    <w:rsid w:val="00CF2EB8"/>
    <w:rsid w:val="00CF5088"/>
    <w:rsid w:val="00D0071B"/>
    <w:rsid w:val="00D007C7"/>
    <w:rsid w:val="00D01530"/>
    <w:rsid w:val="00D01701"/>
    <w:rsid w:val="00D01A27"/>
    <w:rsid w:val="00D02B50"/>
    <w:rsid w:val="00D02E29"/>
    <w:rsid w:val="00D06EE1"/>
    <w:rsid w:val="00D10275"/>
    <w:rsid w:val="00D112F5"/>
    <w:rsid w:val="00D11A97"/>
    <w:rsid w:val="00D152AD"/>
    <w:rsid w:val="00D158EB"/>
    <w:rsid w:val="00D16214"/>
    <w:rsid w:val="00D20116"/>
    <w:rsid w:val="00D22651"/>
    <w:rsid w:val="00D24500"/>
    <w:rsid w:val="00D25186"/>
    <w:rsid w:val="00D27086"/>
    <w:rsid w:val="00D27435"/>
    <w:rsid w:val="00D351D6"/>
    <w:rsid w:val="00D50000"/>
    <w:rsid w:val="00D512D1"/>
    <w:rsid w:val="00D528B6"/>
    <w:rsid w:val="00D54D9C"/>
    <w:rsid w:val="00D54EBA"/>
    <w:rsid w:val="00D56B6F"/>
    <w:rsid w:val="00D5738E"/>
    <w:rsid w:val="00D5770E"/>
    <w:rsid w:val="00D60043"/>
    <w:rsid w:val="00D60FC8"/>
    <w:rsid w:val="00D62EB5"/>
    <w:rsid w:val="00D6348C"/>
    <w:rsid w:val="00D649A8"/>
    <w:rsid w:val="00D7164E"/>
    <w:rsid w:val="00D73183"/>
    <w:rsid w:val="00D73760"/>
    <w:rsid w:val="00D74478"/>
    <w:rsid w:val="00D7459B"/>
    <w:rsid w:val="00D7723F"/>
    <w:rsid w:val="00D80C88"/>
    <w:rsid w:val="00D81527"/>
    <w:rsid w:val="00D82BBA"/>
    <w:rsid w:val="00D90680"/>
    <w:rsid w:val="00D90A33"/>
    <w:rsid w:val="00D91F37"/>
    <w:rsid w:val="00D921E2"/>
    <w:rsid w:val="00D921FE"/>
    <w:rsid w:val="00DA16C7"/>
    <w:rsid w:val="00DA6187"/>
    <w:rsid w:val="00DB0A94"/>
    <w:rsid w:val="00DB192C"/>
    <w:rsid w:val="00DB31CA"/>
    <w:rsid w:val="00DB4E3E"/>
    <w:rsid w:val="00DB4ECF"/>
    <w:rsid w:val="00DB62FD"/>
    <w:rsid w:val="00DC1EC2"/>
    <w:rsid w:val="00DC28A5"/>
    <w:rsid w:val="00DC52BC"/>
    <w:rsid w:val="00DC57C5"/>
    <w:rsid w:val="00DD091E"/>
    <w:rsid w:val="00DD0D5C"/>
    <w:rsid w:val="00DD3173"/>
    <w:rsid w:val="00DD70F9"/>
    <w:rsid w:val="00DD7B2F"/>
    <w:rsid w:val="00DE11AB"/>
    <w:rsid w:val="00DE7064"/>
    <w:rsid w:val="00DF1C93"/>
    <w:rsid w:val="00DF1E00"/>
    <w:rsid w:val="00DF42ED"/>
    <w:rsid w:val="00DF54D5"/>
    <w:rsid w:val="00DF6ACD"/>
    <w:rsid w:val="00DF6BEC"/>
    <w:rsid w:val="00E01349"/>
    <w:rsid w:val="00E04480"/>
    <w:rsid w:val="00E16094"/>
    <w:rsid w:val="00E20085"/>
    <w:rsid w:val="00E20CB8"/>
    <w:rsid w:val="00E22ADA"/>
    <w:rsid w:val="00E24EBE"/>
    <w:rsid w:val="00E25490"/>
    <w:rsid w:val="00E26E9A"/>
    <w:rsid w:val="00E32E28"/>
    <w:rsid w:val="00E33329"/>
    <w:rsid w:val="00E33849"/>
    <w:rsid w:val="00E353B5"/>
    <w:rsid w:val="00E366AB"/>
    <w:rsid w:val="00E37A49"/>
    <w:rsid w:val="00E37D51"/>
    <w:rsid w:val="00E409F5"/>
    <w:rsid w:val="00E41E27"/>
    <w:rsid w:val="00E442D8"/>
    <w:rsid w:val="00E47A8F"/>
    <w:rsid w:val="00E51A05"/>
    <w:rsid w:val="00E54A88"/>
    <w:rsid w:val="00E5585E"/>
    <w:rsid w:val="00E5690C"/>
    <w:rsid w:val="00E56BB0"/>
    <w:rsid w:val="00E60B98"/>
    <w:rsid w:val="00E63E3D"/>
    <w:rsid w:val="00E65C56"/>
    <w:rsid w:val="00E66777"/>
    <w:rsid w:val="00E70302"/>
    <w:rsid w:val="00E72AF7"/>
    <w:rsid w:val="00E7404E"/>
    <w:rsid w:val="00E744B8"/>
    <w:rsid w:val="00E771E8"/>
    <w:rsid w:val="00E8176B"/>
    <w:rsid w:val="00E82842"/>
    <w:rsid w:val="00E83B9C"/>
    <w:rsid w:val="00E84681"/>
    <w:rsid w:val="00E85923"/>
    <w:rsid w:val="00E872AF"/>
    <w:rsid w:val="00E91287"/>
    <w:rsid w:val="00E918F1"/>
    <w:rsid w:val="00E92DBB"/>
    <w:rsid w:val="00E951A5"/>
    <w:rsid w:val="00E96DFB"/>
    <w:rsid w:val="00E96E60"/>
    <w:rsid w:val="00E97728"/>
    <w:rsid w:val="00EA6107"/>
    <w:rsid w:val="00EA62E4"/>
    <w:rsid w:val="00EA64BF"/>
    <w:rsid w:val="00EA6C6A"/>
    <w:rsid w:val="00EA6F9B"/>
    <w:rsid w:val="00EB19F2"/>
    <w:rsid w:val="00EB1C3A"/>
    <w:rsid w:val="00EB340D"/>
    <w:rsid w:val="00EB406E"/>
    <w:rsid w:val="00EB4CC2"/>
    <w:rsid w:val="00EB4EED"/>
    <w:rsid w:val="00EB712C"/>
    <w:rsid w:val="00EC0AB3"/>
    <w:rsid w:val="00EC5CF2"/>
    <w:rsid w:val="00EC7117"/>
    <w:rsid w:val="00EC7182"/>
    <w:rsid w:val="00ED17C4"/>
    <w:rsid w:val="00ED38CD"/>
    <w:rsid w:val="00ED66CD"/>
    <w:rsid w:val="00ED6F00"/>
    <w:rsid w:val="00ED7BEA"/>
    <w:rsid w:val="00EE29D6"/>
    <w:rsid w:val="00EE2FC1"/>
    <w:rsid w:val="00EE4655"/>
    <w:rsid w:val="00EE498E"/>
    <w:rsid w:val="00EE5239"/>
    <w:rsid w:val="00EE5E58"/>
    <w:rsid w:val="00EE7BB8"/>
    <w:rsid w:val="00EF0584"/>
    <w:rsid w:val="00EF0953"/>
    <w:rsid w:val="00EF1C99"/>
    <w:rsid w:val="00EF2422"/>
    <w:rsid w:val="00EF33FF"/>
    <w:rsid w:val="00EF5413"/>
    <w:rsid w:val="00F011E3"/>
    <w:rsid w:val="00F0171E"/>
    <w:rsid w:val="00F03987"/>
    <w:rsid w:val="00F049EE"/>
    <w:rsid w:val="00F06440"/>
    <w:rsid w:val="00F06C40"/>
    <w:rsid w:val="00F07580"/>
    <w:rsid w:val="00F1202C"/>
    <w:rsid w:val="00F12F27"/>
    <w:rsid w:val="00F12FC0"/>
    <w:rsid w:val="00F133AE"/>
    <w:rsid w:val="00F1441B"/>
    <w:rsid w:val="00F14CF9"/>
    <w:rsid w:val="00F20356"/>
    <w:rsid w:val="00F20E7E"/>
    <w:rsid w:val="00F2611E"/>
    <w:rsid w:val="00F27FE4"/>
    <w:rsid w:val="00F31F96"/>
    <w:rsid w:val="00F324F2"/>
    <w:rsid w:val="00F33885"/>
    <w:rsid w:val="00F34EBF"/>
    <w:rsid w:val="00F352FB"/>
    <w:rsid w:val="00F365B9"/>
    <w:rsid w:val="00F372BB"/>
    <w:rsid w:val="00F3762B"/>
    <w:rsid w:val="00F37CC1"/>
    <w:rsid w:val="00F418DC"/>
    <w:rsid w:val="00F46444"/>
    <w:rsid w:val="00F46FA6"/>
    <w:rsid w:val="00F477AD"/>
    <w:rsid w:val="00F51234"/>
    <w:rsid w:val="00F55000"/>
    <w:rsid w:val="00F56ADB"/>
    <w:rsid w:val="00F57BCD"/>
    <w:rsid w:val="00F60C08"/>
    <w:rsid w:val="00F60D41"/>
    <w:rsid w:val="00F60DC0"/>
    <w:rsid w:val="00F64E55"/>
    <w:rsid w:val="00F66D5E"/>
    <w:rsid w:val="00F74E7B"/>
    <w:rsid w:val="00F772BA"/>
    <w:rsid w:val="00F81A76"/>
    <w:rsid w:val="00F8266B"/>
    <w:rsid w:val="00F85440"/>
    <w:rsid w:val="00F91117"/>
    <w:rsid w:val="00F911D6"/>
    <w:rsid w:val="00F9297F"/>
    <w:rsid w:val="00F949D3"/>
    <w:rsid w:val="00F95446"/>
    <w:rsid w:val="00F96039"/>
    <w:rsid w:val="00F96F09"/>
    <w:rsid w:val="00F9758E"/>
    <w:rsid w:val="00FA0570"/>
    <w:rsid w:val="00FA5A23"/>
    <w:rsid w:val="00FA63C0"/>
    <w:rsid w:val="00FB2B36"/>
    <w:rsid w:val="00FB4581"/>
    <w:rsid w:val="00FB6C7E"/>
    <w:rsid w:val="00FC0D08"/>
    <w:rsid w:val="00FC265D"/>
    <w:rsid w:val="00FC2AAD"/>
    <w:rsid w:val="00FC41D0"/>
    <w:rsid w:val="00FC6FCD"/>
    <w:rsid w:val="00FD558F"/>
    <w:rsid w:val="00FD5D45"/>
    <w:rsid w:val="00FD7445"/>
    <w:rsid w:val="00FE0E2B"/>
    <w:rsid w:val="00FE203F"/>
    <w:rsid w:val="00FE3DA8"/>
    <w:rsid w:val="00FF2B6F"/>
    <w:rsid w:val="00FF2D5A"/>
    <w:rsid w:val="00FF5308"/>
  </w:rsids>
  <m:mathPr>
    <m:mathFont m:val="Cambria Math"/>
    <m:brkBin m:val="before"/>
    <m:brkBinSub m:val="--"/>
    <m:smallFrac m:val="off"/>
    <m:dispDef/>
    <m:lMargin m:val="0"/>
    <m:rMargin m:val="0"/>
    <m:defJc m:val="centerGroup"/>
    <m:wrapIndent m:val="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colormenu v:ext="edit" strokecolor="none"/>
    </o:shapedefaults>
    <o:shapelayout v:ext="edit">
      <o:idmap v:ext="edit" data="1"/>
      <o:rules v:ext="edit">
        <o:r id="V:Rule3" type="connector" idref="#AutoShape 9"/>
        <o:r id="V:Rule4"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Professional"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1C9"/>
  </w:style>
  <w:style w:type="paragraph" w:styleId="Heading1">
    <w:name w:val="heading 1"/>
    <w:next w:val="BodyParagraph"/>
    <w:link w:val="Heading1Char"/>
    <w:uiPriority w:val="9"/>
    <w:qFormat/>
    <w:rsid w:val="008F19CC"/>
    <w:pPr>
      <w:keepNext/>
      <w:numPr>
        <w:numId w:val="2"/>
      </w:numPr>
      <w:spacing w:after="120" w:line="240" w:lineRule="auto"/>
      <w:outlineLvl w:val="0"/>
    </w:pPr>
    <w:rPr>
      <w:rFonts w:ascii="TitilliumText22L Xb" w:eastAsia="Times New Roman" w:hAnsi="TitilliumText22L Xb" w:cs="Times New Roman"/>
      <w:b/>
      <w:color w:val="433B67"/>
      <w:sz w:val="28"/>
      <w:szCs w:val="28"/>
    </w:rPr>
  </w:style>
  <w:style w:type="paragraph" w:styleId="Heading2">
    <w:name w:val="heading 2"/>
    <w:basedOn w:val="Heading1"/>
    <w:next w:val="BodyParagraph"/>
    <w:link w:val="Heading2Char"/>
    <w:unhideWhenUsed/>
    <w:qFormat/>
    <w:rsid w:val="008F19CC"/>
    <w:pPr>
      <w:numPr>
        <w:ilvl w:val="1"/>
      </w:numPr>
      <w:ind w:left="540" w:hanging="540"/>
      <w:outlineLvl w:val="1"/>
    </w:pPr>
    <w:rPr>
      <w:rFonts w:ascii="TitilliumText22L Rg" w:eastAsiaTheme="majorEastAsia" w:hAnsi="TitilliumText22L Rg" w:cstheme="majorBidi"/>
      <w:bCs/>
      <w:color w:val="5F497A" w:themeColor="accent4" w:themeShade="BF"/>
      <w:sz w:val="26"/>
      <w:szCs w:val="26"/>
    </w:rPr>
  </w:style>
  <w:style w:type="paragraph" w:styleId="Heading3">
    <w:name w:val="heading 3"/>
    <w:basedOn w:val="Heading2"/>
    <w:next w:val="BodyParagraph"/>
    <w:link w:val="Heading3Char"/>
    <w:unhideWhenUsed/>
    <w:qFormat/>
    <w:rsid w:val="008F19CC"/>
    <w:pPr>
      <w:keepLines/>
      <w:numPr>
        <w:ilvl w:val="2"/>
      </w:numPr>
      <w:ind w:left="1080"/>
      <w:outlineLvl w:val="2"/>
    </w:pPr>
    <w:rPr>
      <w:b w:val="0"/>
      <w:bCs w:val="0"/>
    </w:rPr>
  </w:style>
  <w:style w:type="paragraph" w:styleId="Heading4">
    <w:name w:val="heading 4"/>
    <w:basedOn w:val="Normal"/>
    <w:next w:val="BodyParagraph"/>
    <w:link w:val="Heading4Char"/>
    <w:uiPriority w:val="9"/>
    <w:unhideWhenUsed/>
    <w:qFormat/>
    <w:rsid w:val="00A84697"/>
    <w:pPr>
      <w:keepNext/>
      <w:keepLines/>
      <w:spacing w:before="200" w:after="0"/>
      <w:ind w:left="360"/>
      <w:outlineLvl w:val="3"/>
    </w:pPr>
    <w:rPr>
      <w:rFonts w:ascii="Arial" w:eastAsia="Times New Roman" w:hAnsi="Arial" w:cs="Arial"/>
      <w:b/>
      <w:bCs/>
      <w:i/>
      <w:iCs/>
      <w:color w:val="5F497A"/>
      <w:sz w:val="24"/>
    </w:rPr>
  </w:style>
  <w:style w:type="paragraph" w:styleId="Heading5">
    <w:name w:val="heading 5"/>
    <w:basedOn w:val="Normal"/>
    <w:next w:val="Normal"/>
    <w:link w:val="Heading5Char"/>
    <w:uiPriority w:val="9"/>
    <w:unhideWhenUsed/>
    <w:qFormat/>
    <w:rsid w:val="008F19CC"/>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F19CC"/>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8F19CC"/>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F19CC"/>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F19CC"/>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3D3E"/>
    <w:rPr>
      <w:rFonts w:ascii="TitilliumText22L Xb" w:eastAsia="Times New Roman" w:hAnsi="TitilliumText22L Xb" w:cs="Times New Roman"/>
      <w:b/>
      <w:color w:val="433B67"/>
      <w:sz w:val="28"/>
      <w:szCs w:val="28"/>
    </w:rPr>
  </w:style>
  <w:style w:type="character" w:customStyle="1" w:styleId="Heading2Char">
    <w:name w:val="Heading 2 Char"/>
    <w:basedOn w:val="DefaultParagraphFont"/>
    <w:link w:val="Heading2"/>
    <w:uiPriority w:val="9"/>
    <w:rsid w:val="00BA25E2"/>
    <w:rPr>
      <w:rFonts w:ascii="TitilliumText22L Rg" w:eastAsiaTheme="majorEastAsia" w:hAnsi="TitilliumText22L Rg" w:cstheme="majorBidi"/>
      <w:b/>
      <w:bCs/>
      <w:color w:val="5F497A" w:themeColor="accent4" w:themeShade="BF"/>
      <w:sz w:val="26"/>
      <w:szCs w:val="26"/>
    </w:rPr>
  </w:style>
  <w:style w:type="character" w:customStyle="1" w:styleId="Heading3Char">
    <w:name w:val="Heading 3 Char"/>
    <w:basedOn w:val="DefaultParagraphFont"/>
    <w:link w:val="Heading3"/>
    <w:uiPriority w:val="9"/>
    <w:rsid w:val="00BA25E2"/>
    <w:rPr>
      <w:rFonts w:ascii="TitilliumText22L Rg" w:eastAsiaTheme="majorEastAsia" w:hAnsi="TitilliumText22L Rg" w:cstheme="majorBidi"/>
      <w:color w:val="5F497A" w:themeColor="accent4" w:themeShade="BF"/>
      <w:sz w:val="26"/>
      <w:szCs w:val="26"/>
    </w:rPr>
  </w:style>
  <w:style w:type="character" w:customStyle="1" w:styleId="Heading5Char">
    <w:name w:val="Heading 5 Char"/>
    <w:basedOn w:val="DefaultParagraphFont"/>
    <w:link w:val="Heading5"/>
    <w:uiPriority w:val="9"/>
    <w:rsid w:val="005343A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343A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343A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343A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343AA"/>
    <w:rPr>
      <w:rFonts w:asciiTheme="majorHAnsi" w:eastAsiaTheme="majorEastAsia" w:hAnsiTheme="majorHAnsi" w:cstheme="majorBidi"/>
      <w:i/>
      <w:iCs/>
      <w:color w:val="404040" w:themeColor="text1" w:themeTint="BF"/>
      <w:sz w:val="20"/>
      <w:szCs w:val="20"/>
    </w:rPr>
  </w:style>
  <w:style w:type="paragraph" w:customStyle="1" w:styleId="TitleProposal">
    <w:name w:val="Title Proposal"/>
    <w:uiPriority w:val="99"/>
    <w:qFormat/>
    <w:rsid w:val="005343AA"/>
    <w:pPr>
      <w:spacing w:after="400" w:line="240" w:lineRule="auto"/>
    </w:pPr>
    <w:rPr>
      <w:rFonts w:ascii="Arial" w:eastAsia="Times New Roman" w:hAnsi="Arial" w:cs="Arial"/>
      <w:b/>
      <w:color w:val="FFFFFF"/>
      <w:sz w:val="28"/>
      <w:szCs w:val="28"/>
    </w:rPr>
  </w:style>
  <w:style w:type="paragraph" w:customStyle="1" w:styleId="TitleAddress">
    <w:name w:val="Title Address"/>
    <w:qFormat/>
    <w:rsid w:val="005343AA"/>
    <w:pPr>
      <w:tabs>
        <w:tab w:val="left" w:pos="3960"/>
      </w:tabs>
      <w:spacing w:after="400" w:line="240" w:lineRule="auto"/>
    </w:pPr>
    <w:rPr>
      <w:rFonts w:ascii="Arial" w:eastAsia="Times New Roman" w:hAnsi="Arial" w:cs="Arial"/>
      <w:b/>
      <w:color w:val="FFFFFF"/>
    </w:rPr>
  </w:style>
  <w:style w:type="paragraph" w:styleId="Footer">
    <w:name w:val="footer"/>
    <w:basedOn w:val="Normal"/>
    <w:link w:val="FooterChar"/>
    <w:uiPriority w:val="99"/>
    <w:rsid w:val="005343AA"/>
    <w:pPr>
      <w:tabs>
        <w:tab w:val="center" w:pos="4320"/>
        <w:tab w:val="right" w:pos="8640"/>
      </w:tabs>
      <w:spacing w:after="0" w:line="240" w:lineRule="auto"/>
    </w:pPr>
    <w:rPr>
      <w:rFonts w:ascii="Arial" w:eastAsia="Times New Roman" w:hAnsi="Arial" w:cs="Times New Roman"/>
      <w:szCs w:val="24"/>
    </w:rPr>
  </w:style>
  <w:style w:type="character" w:customStyle="1" w:styleId="FooterChar">
    <w:name w:val="Footer Char"/>
    <w:basedOn w:val="DefaultParagraphFont"/>
    <w:link w:val="Footer"/>
    <w:uiPriority w:val="99"/>
    <w:rsid w:val="005343AA"/>
    <w:rPr>
      <w:rFonts w:ascii="Arial" w:eastAsia="Times New Roman" w:hAnsi="Arial" w:cs="Times New Roman"/>
      <w:szCs w:val="24"/>
    </w:rPr>
  </w:style>
  <w:style w:type="character" w:styleId="PageNumber">
    <w:name w:val="page number"/>
    <w:basedOn w:val="DefaultParagraphFont"/>
    <w:rsid w:val="005343AA"/>
  </w:style>
  <w:style w:type="paragraph" w:styleId="Header">
    <w:name w:val="header"/>
    <w:basedOn w:val="Normal"/>
    <w:link w:val="HeaderChar"/>
    <w:rsid w:val="005343AA"/>
    <w:pPr>
      <w:tabs>
        <w:tab w:val="center" w:pos="4320"/>
        <w:tab w:val="right" w:pos="8640"/>
      </w:tabs>
      <w:spacing w:after="0" w:line="240" w:lineRule="auto"/>
    </w:pPr>
    <w:rPr>
      <w:rFonts w:ascii="Arial" w:eastAsia="Times New Roman" w:hAnsi="Arial" w:cs="Times New Roman"/>
      <w:szCs w:val="24"/>
    </w:rPr>
  </w:style>
  <w:style w:type="character" w:customStyle="1" w:styleId="HeaderChar">
    <w:name w:val="Header Char"/>
    <w:basedOn w:val="DefaultParagraphFont"/>
    <w:link w:val="Header"/>
    <w:rsid w:val="005343AA"/>
    <w:rPr>
      <w:rFonts w:ascii="Arial" w:eastAsia="Times New Roman" w:hAnsi="Arial" w:cs="Times New Roman"/>
      <w:szCs w:val="24"/>
    </w:rPr>
  </w:style>
  <w:style w:type="paragraph" w:customStyle="1" w:styleId="PreparedFor">
    <w:name w:val="Prepared For"/>
    <w:rsid w:val="005343AA"/>
    <w:pPr>
      <w:spacing w:before="400" w:after="120" w:line="240" w:lineRule="auto"/>
      <w:jc w:val="right"/>
    </w:pPr>
    <w:rPr>
      <w:rFonts w:ascii="Arial" w:eastAsia="Times New Roman" w:hAnsi="Arial" w:cs="Times New Roman"/>
      <w:i/>
      <w:szCs w:val="20"/>
    </w:rPr>
  </w:style>
  <w:style w:type="paragraph" w:customStyle="1" w:styleId="PreparedForCompany">
    <w:name w:val="Prepared For Company"/>
    <w:basedOn w:val="Normal"/>
    <w:qFormat/>
    <w:rsid w:val="005343AA"/>
    <w:pPr>
      <w:spacing w:after="0" w:line="240" w:lineRule="auto"/>
      <w:jc w:val="right"/>
    </w:pPr>
    <w:rPr>
      <w:rFonts w:ascii="Arial" w:eastAsia="Times New Roman" w:hAnsi="Arial" w:cs="Times New Roman"/>
      <w:szCs w:val="24"/>
    </w:rPr>
  </w:style>
  <w:style w:type="paragraph" w:styleId="TOC1">
    <w:name w:val="toc 1"/>
    <w:basedOn w:val="Normal"/>
    <w:next w:val="Normal"/>
    <w:autoRedefine/>
    <w:uiPriority w:val="39"/>
    <w:unhideWhenUsed/>
    <w:rsid w:val="001348A1"/>
    <w:pPr>
      <w:tabs>
        <w:tab w:val="left" w:pos="270"/>
        <w:tab w:val="right" w:leader="dot" w:pos="8460"/>
      </w:tabs>
      <w:spacing w:after="100"/>
    </w:pPr>
    <w:rPr>
      <w:rFonts w:ascii="Arial" w:hAnsi="Arial" w:cs="Arial"/>
      <w:noProof/>
      <w:sz w:val="24"/>
      <w:szCs w:val="24"/>
    </w:rPr>
  </w:style>
  <w:style w:type="character" w:styleId="Hyperlink">
    <w:name w:val="Hyperlink"/>
    <w:basedOn w:val="DefaultParagraphFont"/>
    <w:uiPriority w:val="99"/>
    <w:unhideWhenUsed/>
    <w:rsid w:val="00543D3E"/>
    <w:rPr>
      <w:rFonts w:ascii="Verdana" w:hAnsi="Verdana"/>
      <w:color w:val="0000FF" w:themeColor="hyperlink"/>
      <w:sz w:val="18"/>
    </w:rPr>
  </w:style>
  <w:style w:type="paragraph" w:customStyle="1" w:styleId="TableofContents">
    <w:name w:val="Table of Contents"/>
    <w:qFormat/>
    <w:rsid w:val="008F19CC"/>
    <w:pPr>
      <w:ind w:left="720"/>
    </w:pPr>
    <w:rPr>
      <w:rFonts w:ascii="TitilliumText22L Rg" w:eastAsia="Times New Roman" w:hAnsi="TitilliumText22L Rg" w:cs="Times New Roman"/>
      <w:b/>
      <w:color w:val="5F497A" w:themeColor="accent4" w:themeShade="BF"/>
      <w:sz w:val="28"/>
      <w:szCs w:val="24"/>
    </w:rPr>
  </w:style>
  <w:style w:type="paragraph" w:styleId="TOC2">
    <w:name w:val="toc 2"/>
    <w:basedOn w:val="Normal"/>
    <w:next w:val="Normal"/>
    <w:autoRedefine/>
    <w:uiPriority w:val="39"/>
    <w:unhideWhenUsed/>
    <w:rsid w:val="005343AA"/>
    <w:pPr>
      <w:tabs>
        <w:tab w:val="left" w:pos="720"/>
        <w:tab w:val="right" w:leader="dot" w:pos="8460"/>
      </w:tabs>
      <w:spacing w:after="100"/>
      <w:ind w:left="220"/>
    </w:pPr>
    <w:rPr>
      <w:rFonts w:ascii="Arial" w:hAnsi="Arial" w:cs="Arial"/>
      <w:noProof/>
      <w:sz w:val="24"/>
      <w:szCs w:val="24"/>
    </w:rPr>
  </w:style>
  <w:style w:type="paragraph" w:styleId="TOC3">
    <w:name w:val="toc 3"/>
    <w:basedOn w:val="Normal"/>
    <w:next w:val="Normal"/>
    <w:autoRedefine/>
    <w:uiPriority w:val="39"/>
    <w:unhideWhenUsed/>
    <w:rsid w:val="00974C03"/>
    <w:pPr>
      <w:tabs>
        <w:tab w:val="left" w:pos="1260"/>
        <w:tab w:val="right" w:leader="dot" w:pos="8460"/>
      </w:tabs>
      <w:spacing w:after="100"/>
      <w:ind w:left="440"/>
    </w:pPr>
    <w:rPr>
      <w:rFonts w:ascii="Arial" w:hAnsi="Arial" w:cs="Arial"/>
      <w:noProof/>
      <w:sz w:val="24"/>
      <w:szCs w:val="24"/>
    </w:rPr>
  </w:style>
  <w:style w:type="paragraph" w:customStyle="1" w:styleId="BodyParagraph">
    <w:name w:val="Body Paragraph"/>
    <w:link w:val="BodyParagraphChar"/>
    <w:uiPriority w:val="99"/>
    <w:qFormat/>
    <w:rsid w:val="008F19CC"/>
    <w:pPr>
      <w:spacing w:after="240" w:line="312" w:lineRule="auto"/>
    </w:pPr>
    <w:rPr>
      <w:rFonts w:ascii="Verdana" w:hAnsi="Verdana"/>
      <w:sz w:val="18"/>
    </w:rPr>
  </w:style>
  <w:style w:type="paragraph" w:customStyle="1" w:styleId="BodyBeforeBullet">
    <w:name w:val="Body Before Bullet"/>
    <w:basedOn w:val="BodyParagraph"/>
    <w:next w:val="Bullets"/>
    <w:qFormat/>
    <w:rsid w:val="008F19CC"/>
    <w:pPr>
      <w:keepNext/>
      <w:spacing w:after="120"/>
    </w:pPr>
  </w:style>
  <w:style w:type="paragraph" w:customStyle="1" w:styleId="Bullets">
    <w:name w:val="Bullets"/>
    <w:basedOn w:val="Normal"/>
    <w:qFormat/>
    <w:rsid w:val="008F19CC"/>
    <w:pPr>
      <w:numPr>
        <w:numId w:val="1"/>
      </w:numPr>
      <w:spacing w:after="120" w:line="240" w:lineRule="auto"/>
    </w:pPr>
    <w:rPr>
      <w:rFonts w:ascii="Verdana" w:eastAsia="Times New Roman" w:hAnsi="Verdana" w:cs="Arial"/>
      <w:sz w:val="18"/>
      <w:szCs w:val="21"/>
    </w:rPr>
  </w:style>
  <w:style w:type="paragraph" w:customStyle="1" w:styleId="BulletLast">
    <w:name w:val="Bullet Last"/>
    <w:basedOn w:val="Bullets"/>
    <w:next w:val="BodyParagraph"/>
    <w:qFormat/>
    <w:rsid w:val="008F19CC"/>
    <w:pPr>
      <w:spacing w:after="360"/>
    </w:pPr>
  </w:style>
  <w:style w:type="paragraph" w:customStyle="1" w:styleId="TableFigureCaption">
    <w:name w:val="Table Figure Caption"/>
    <w:basedOn w:val="Normal"/>
    <w:next w:val="BodyParaAfterTableFigure"/>
    <w:qFormat/>
    <w:rsid w:val="008F19CC"/>
    <w:pPr>
      <w:keepNext/>
      <w:spacing w:after="40" w:line="240" w:lineRule="auto"/>
      <w:jc w:val="center"/>
    </w:pPr>
    <w:rPr>
      <w:rFonts w:ascii="TitilliumText22L Rg" w:hAnsi="TitilliumText22L Rg"/>
      <w:b/>
      <w:sz w:val="20"/>
    </w:rPr>
  </w:style>
  <w:style w:type="paragraph" w:customStyle="1" w:styleId="TableHeader">
    <w:name w:val="Table Header"/>
    <w:qFormat/>
    <w:rsid w:val="008F19CC"/>
    <w:pPr>
      <w:spacing w:before="100" w:after="100" w:line="240" w:lineRule="auto"/>
      <w:jc w:val="center"/>
    </w:pPr>
    <w:rPr>
      <w:rFonts w:ascii="Arial" w:hAnsi="Arial"/>
      <w:b/>
      <w:color w:val="FFFFFF" w:themeColor="background1"/>
      <w:sz w:val="20"/>
    </w:rPr>
  </w:style>
  <w:style w:type="paragraph" w:customStyle="1" w:styleId="TableText">
    <w:name w:val="Table Text"/>
    <w:qFormat/>
    <w:rsid w:val="009F49A5"/>
    <w:pPr>
      <w:spacing w:before="60" w:after="60" w:line="240" w:lineRule="auto"/>
      <w:jc w:val="center"/>
    </w:pPr>
    <w:rPr>
      <w:rFonts w:ascii="Arial" w:hAnsi="Arial"/>
      <w:sz w:val="18"/>
    </w:rPr>
  </w:style>
  <w:style w:type="paragraph" w:customStyle="1" w:styleId="BodyParaAfterTableFigure">
    <w:name w:val="Body Para After Table Figure"/>
    <w:basedOn w:val="BodyParagraph"/>
    <w:next w:val="BodyParagraph"/>
    <w:uiPriority w:val="99"/>
    <w:qFormat/>
    <w:rsid w:val="008F19CC"/>
    <w:pPr>
      <w:spacing w:before="360"/>
    </w:pPr>
  </w:style>
  <w:style w:type="paragraph" w:styleId="BalloonText">
    <w:name w:val="Balloon Text"/>
    <w:basedOn w:val="Normal"/>
    <w:link w:val="BalloonTextChar"/>
    <w:uiPriority w:val="99"/>
    <w:unhideWhenUsed/>
    <w:rsid w:val="005343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343AA"/>
    <w:rPr>
      <w:rFonts w:ascii="Tahoma" w:hAnsi="Tahoma" w:cs="Tahoma"/>
      <w:sz w:val="16"/>
      <w:szCs w:val="16"/>
    </w:rPr>
  </w:style>
  <w:style w:type="character" w:styleId="FootnoteReference">
    <w:name w:val="footnote reference"/>
    <w:basedOn w:val="DefaultParagraphFont"/>
    <w:uiPriority w:val="99"/>
    <w:unhideWhenUsed/>
    <w:rsid w:val="00695783"/>
    <w:rPr>
      <w:vertAlign w:val="superscript"/>
    </w:rPr>
  </w:style>
  <w:style w:type="paragraph" w:customStyle="1" w:styleId="Footnote">
    <w:name w:val="Footnote"/>
    <w:basedOn w:val="FootnoteText"/>
    <w:qFormat/>
    <w:rsid w:val="00695783"/>
    <w:pPr>
      <w:spacing w:after="120"/>
    </w:pPr>
    <w:rPr>
      <w:rFonts w:ascii="Franklin Gothic Book" w:hAnsi="Franklin Gothic Book"/>
      <w:sz w:val="18"/>
    </w:rPr>
  </w:style>
  <w:style w:type="paragraph" w:customStyle="1" w:styleId="AppendixHeading">
    <w:name w:val="Appendix Heading"/>
    <w:basedOn w:val="Heading1"/>
    <w:next w:val="BodyParagraph"/>
    <w:qFormat/>
    <w:rsid w:val="008F19CC"/>
    <w:pPr>
      <w:numPr>
        <w:numId w:val="4"/>
      </w:numPr>
    </w:pPr>
  </w:style>
  <w:style w:type="paragraph" w:customStyle="1" w:styleId="AppendixHeading2">
    <w:name w:val="Appendix Heading 2"/>
    <w:basedOn w:val="Normal"/>
    <w:next w:val="BodyParagraph"/>
    <w:qFormat/>
    <w:rsid w:val="008F19CC"/>
    <w:pPr>
      <w:numPr>
        <w:ilvl w:val="1"/>
        <w:numId w:val="4"/>
      </w:numPr>
      <w:spacing w:after="60" w:line="240" w:lineRule="auto"/>
      <w:ind w:left="720" w:hanging="720"/>
    </w:pPr>
    <w:rPr>
      <w:rFonts w:ascii="Arial Bold" w:hAnsi="Arial Bold"/>
      <w:b/>
      <w:color w:val="5F497A" w:themeColor="accent4" w:themeShade="BF"/>
      <w:sz w:val="26"/>
    </w:rPr>
  </w:style>
  <w:style w:type="paragraph" w:customStyle="1" w:styleId="AppendixHeading3">
    <w:name w:val="Appendix Heading 3"/>
    <w:basedOn w:val="Normal"/>
    <w:next w:val="BodyParagraph"/>
    <w:qFormat/>
    <w:rsid w:val="008F19CC"/>
    <w:pPr>
      <w:numPr>
        <w:ilvl w:val="2"/>
        <w:numId w:val="4"/>
      </w:numPr>
      <w:spacing w:after="60" w:line="240" w:lineRule="auto"/>
      <w:ind w:left="1260" w:hanging="900"/>
    </w:pPr>
    <w:rPr>
      <w:rFonts w:ascii="Arial Bold" w:hAnsi="Arial Bold"/>
      <w:b/>
      <w:color w:val="5F497A" w:themeColor="accent4" w:themeShade="BF"/>
      <w:sz w:val="24"/>
    </w:rPr>
  </w:style>
  <w:style w:type="paragraph" w:styleId="FootnoteText">
    <w:name w:val="footnote text"/>
    <w:aliases w:val="Footnote Text1 Char,Footnote Text Char Ch"/>
    <w:basedOn w:val="Normal"/>
    <w:link w:val="FootnoteTextChar"/>
    <w:uiPriority w:val="99"/>
    <w:unhideWhenUsed/>
    <w:rsid w:val="008F19CC"/>
    <w:pPr>
      <w:spacing w:after="0" w:line="240" w:lineRule="auto"/>
    </w:pPr>
    <w:rPr>
      <w:sz w:val="20"/>
      <w:szCs w:val="20"/>
    </w:rPr>
  </w:style>
  <w:style w:type="character" w:customStyle="1" w:styleId="FootnoteTextChar">
    <w:name w:val="Footnote Text Char"/>
    <w:aliases w:val="Footnote Text1 Char Char,Footnote Text Char Ch Char"/>
    <w:basedOn w:val="DefaultParagraphFont"/>
    <w:link w:val="FootnoteText"/>
    <w:uiPriority w:val="99"/>
    <w:rsid w:val="00695783"/>
    <w:rPr>
      <w:sz w:val="20"/>
      <w:szCs w:val="20"/>
    </w:rPr>
  </w:style>
  <w:style w:type="numbering" w:customStyle="1" w:styleId="Numbered">
    <w:name w:val="Numbered"/>
    <w:basedOn w:val="NoList"/>
    <w:uiPriority w:val="99"/>
    <w:rsid w:val="00BB4362"/>
    <w:pPr>
      <w:numPr>
        <w:numId w:val="5"/>
      </w:numPr>
    </w:pPr>
  </w:style>
  <w:style w:type="table" w:styleId="TableGrid">
    <w:name w:val="Table Grid"/>
    <w:basedOn w:val="TableNormal"/>
    <w:uiPriority w:val="59"/>
    <w:rsid w:val="001977C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NumberedSteps">
    <w:name w:val="Numbered Steps"/>
    <w:basedOn w:val="NoList"/>
    <w:uiPriority w:val="99"/>
    <w:rsid w:val="001977C1"/>
    <w:pPr>
      <w:numPr>
        <w:numId w:val="6"/>
      </w:numPr>
    </w:pPr>
  </w:style>
  <w:style w:type="character" w:styleId="CommentReference">
    <w:name w:val="annotation reference"/>
    <w:basedOn w:val="DefaultParagraphFont"/>
    <w:semiHidden/>
    <w:unhideWhenUsed/>
    <w:rsid w:val="005D0FE4"/>
    <w:rPr>
      <w:sz w:val="16"/>
      <w:szCs w:val="16"/>
    </w:rPr>
  </w:style>
  <w:style w:type="paragraph" w:styleId="CommentText">
    <w:name w:val="annotation text"/>
    <w:basedOn w:val="Normal"/>
    <w:link w:val="CommentTextChar"/>
    <w:semiHidden/>
    <w:unhideWhenUsed/>
    <w:rsid w:val="008F19CC"/>
    <w:pPr>
      <w:spacing w:line="240" w:lineRule="auto"/>
    </w:pPr>
    <w:rPr>
      <w:sz w:val="20"/>
      <w:szCs w:val="20"/>
    </w:rPr>
  </w:style>
  <w:style w:type="character" w:customStyle="1" w:styleId="CommentTextChar">
    <w:name w:val="Comment Text Char"/>
    <w:basedOn w:val="DefaultParagraphFont"/>
    <w:link w:val="CommentText"/>
    <w:semiHidden/>
    <w:rsid w:val="005D0FE4"/>
    <w:rPr>
      <w:sz w:val="20"/>
      <w:szCs w:val="20"/>
    </w:rPr>
  </w:style>
  <w:style w:type="paragraph" w:styleId="CommentSubject">
    <w:name w:val="annotation subject"/>
    <w:basedOn w:val="CommentText"/>
    <w:next w:val="CommentText"/>
    <w:link w:val="CommentSubjectChar"/>
    <w:semiHidden/>
    <w:unhideWhenUsed/>
    <w:rsid w:val="008F19CC"/>
    <w:rPr>
      <w:b/>
      <w:bCs/>
    </w:rPr>
  </w:style>
  <w:style w:type="character" w:customStyle="1" w:styleId="CommentSubjectChar">
    <w:name w:val="Comment Subject Char"/>
    <w:basedOn w:val="CommentTextChar"/>
    <w:link w:val="CommentSubject"/>
    <w:semiHidden/>
    <w:rsid w:val="005D0FE4"/>
    <w:rPr>
      <w:b/>
      <w:bCs/>
      <w:sz w:val="20"/>
      <w:szCs w:val="20"/>
    </w:rPr>
  </w:style>
  <w:style w:type="character" w:styleId="PlaceholderText">
    <w:name w:val="Placeholder Text"/>
    <w:basedOn w:val="DefaultParagraphFont"/>
    <w:semiHidden/>
    <w:rsid w:val="00837269"/>
    <w:rPr>
      <w:color w:val="808080"/>
    </w:rPr>
  </w:style>
  <w:style w:type="character" w:customStyle="1" w:styleId="BodyParagraphChar">
    <w:name w:val="Body Paragraph Char"/>
    <w:basedOn w:val="DefaultParagraphFont"/>
    <w:link w:val="BodyParagraph"/>
    <w:uiPriority w:val="99"/>
    <w:rsid w:val="00543D3E"/>
    <w:rPr>
      <w:rFonts w:ascii="Verdana" w:hAnsi="Verdana"/>
      <w:sz w:val="18"/>
    </w:rPr>
  </w:style>
  <w:style w:type="numbering" w:customStyle="1" w:styleId="Numbered1">
    <w:name w:val="Numbered1"/>
    <w:basedOn w:val="NoList"/>
    <w:uiPriority w:val="99"/>
    <w:rsid w:val="000A4BAA"/>
  </w:style>
  <w:style w:type="paragraph" w:customStyle="1" w:styleId="Default">
    <w:name w:val="Default"/>
    <w:rsid w:val="00B00C31"/>
    <w:pPr>
      <w:autoSpaceDE w:val="0"/>
      <w:autoSpaceDN w:val="0"/>
      <w:adjustRightInd w:val="0"/>
      <w:spacing w:after="0" w:line="240" w:lineRule="auto"/>
    </w:pPr>
    <w:rPr>
      <w:rFonts w:ascii="Book Antiqua" w:hAnsi="Book Antiqua" w:cs="Book Antiqua"/>
      <w:color w:val="000000"/>
      <w:sz w:val="24"/>
      <w:szCs w:val="24"/>
    </w:rPr>
  </w:style>
  <w:style w:type="character" w:customStyle="1" w:styleId="Heading4Char">
    <w:name w:val="Heading 4 Char"/>
    <w:basedOn w:val="DefaultParagraphFont"/>
    <w:link w:val="Heading4"/>
    <w:uiPriority w:val="9"/>
    <w:rsid w:val="00A84697"/>
    <w:rPr>
      <w:rFonts w:ascii="Arial" w:eastAsia="Times New Roman" w:hAnsi="Arial" w:cs="Arial"/>
      <w:b/>
      <w:bCs/>
      <w:i/>
      <w:iCs/>
      <w:color w:val="5F497A"/>
      <w:sz w:val="24"/>
    </w:rPr>
  </w:style>
  <w:style w:type="paragraph" w:customStyle="1" w:styleId="TitleHeader">
    <w:name w:val="Title Header"/>
    <w:qFormat/>
    <w:rsid w:val="00A84697"/>
    <w:pPr>
      <w:spacing w:after="120" w:line="240" w:lineRule="auto"/>
    </w:pPr>
    <w:rPr>
      <w:rFonts w:ascii="Arial" w:eastAsia="Times New Roman" w:hAnsi="Arial" w:cs="Arial"/>
      <w:b/>
      <w:i/>
      <w:color w:val="FFFFFF"/>
      <w:sz w:val="24"/>
      <w:szCs w:val="24"/>
    </w:rPr>
  </w:style>
  <w:style w:type="paragraph" w:styleId="TOCHeading">
    <w:name w:val="TOC Heading"/>
    <w:basedOn w:val="Heading1"/>
    <w:next w:val="Normal"/>
    <w:uiPriority w:val="39"/>
    <w:unhideWhenUsed/>
    <w:qFormat/>
    <w:rsid w:val="00A84697"/>
    <w:pPr>
      <w:numPr>
        <w:numId w:val="3"/>
      </w:numPr>
      <w:spacing w:before="480" w:after="0" w:line="276" w:lineRule="auto"/>
      <w:outlineLvl w:val="9"/>
    </w:pPr>
    <w:rPr>
      <w:rFonts w:ascii="Cambria" w:hAnsi="Cambria"/>
      <w:color w:val="365F91"/>
    </w:rPr>
  </w:style>
  <w:style w:type="paragraph" w:customStyle="1" w:styleId="AppendixHeading4">
    <w:name w:val="Appendix Heading 4"/>
    <w:basedOn w:val="BodyParagraph"/>
    <w:next w:val="BodyParagraph"/>
    <w:qFormat/>
    <w:rsid w:val="00A84697"/>
    <w:pPr>
      <w:spacing w:after="60" w:line="240" w:lineRule="auto"/>
      <w:ind w:firstLine="360"/>
    </w:pPr>
    <w:rPr>
      <w:rFonts w:ascii="Arial Bold" w:eastAsia="Calibri" w:hAnsi="Arial Bold" w:cs="Times New Roman"/>
      <w:b/>
      <w:i/>
      <w:color w:val="5F497A"/>
      <w:sz w:val="24"/>
    </w:rPr>
  </w:style>
  <w:style w:type="paragraph" w:styleId="TOC4">
    <w:name w:val="toc 4"/>
    <w:basedOn w:val="Normal"/>
    <w:next w:val="Normal"/>
    <w:autoRedefine/>
    <w:uiPriority w:val="39"/>
    <w:unhideWhenUsed/>
    <w:rsid w:val="00A84697"/>
    <w:pPr>
      <w:tabs>
        <w:tab w:val="left" w:pos="1530"/>
        <w:tab w:val="right" w:leader="dot" w:pos="8460"/>
      </w:tabs>
      <w:spacing w:after="100"/>
      <w:ind w:left="660"/>
    </w:pPr>
    <w:rPr>
      <w:rFonts w:ascii="Arial" w:eastAsia="Calibri" w:hAnsi="Arial" w:cs="Arial"/>
      <w:noProof/>
      <w:sz w:val="24"/>
      <w:szCs w:val="24"/>
    </w:rPr>
  </w:style>
  <w:style w:type="paragraph" w:styleId="ListParagraph">
    <w:name w:val="List Paragraph"/>
    <w:basedOn w:val="Normal"/>
    <w:qFormat/>
    <w:rsid w:val="00A84697"/>
    <w:pPr>
      <w:spacing w:after="120" w:line="240" w:lineRule="auto"/>
      <w:ind w:left="720" w:hanging="360"/>
      <w:contextualSpacing/>
    </w:pPr>
    <w:rPr>
      <w:rFonts w:ascii="Calibri" w:eastAsia="Calibri" w:hAnsi="Calibri" w:cs="Times New Roman"/>
    </w:rPr>
  </w:style>
  <w:style w:type="paragraph" w:customStyle="1" w:styleId="Bullet">
    <w:name w:val="Bullet"/>
    <w:basedOn w:val="Normal"/>
    <w:rsid w:val="00A84697"/>
    <w:pPr>
      <w:numPr>
        <w:numId w:val="7"/>
      </w:numPr>
      <w:spacing w:after="240" w:line="240" w:lineRule="auto"/>
    </w:pPr>
    <w:rPr>
      <w:rFonts w:ascii="Arial" w:eastAsia="Times New Roman" w:hAnsi="Arial" w:cs="Times New Roman"/>
    </w:rPr>
  </w:style>
  <w:style w:type="paragraph" w:styleId="Revision">
    <w:name w:val="Revision"/>
    <w:hidden/>
    <w:semiHidden/>
    <w:rsid w:val="00A84697"/>
    <w:pPr>
      <w:spacing w:after="0" w:line="240" w:lineRule="auto"/>
    </w:pPr>
    <w:rPr>
      <w:rFonts w:ascii="Calibri" w:eastAsia="Calibri" w:hAnsi="Calibri" w:cs="Times New Roman"/>
    </w:rPr>
  </w:style>
  <w:style w:type="paragraph" w:styleId="Caption">
    <w:name w:val="caption"/>
    <w:basedOn w:val="TableFigureCaption"/>
    <w:next w:val="Normal"/>
    <w:link w:val="CaptionChar"/>
    <w:uiPriority w:val="35"/>
    <w:qFormat/>
    <w:rsid w:val="008F19CC"/>
    <w:pPr>
      <w:spacing w:after="0"/>
    </w:pPr>
    <w:rPr>
      <w:rFonts w:eastAsia="Times New Roman" w:cs="Times New Roman"/>
    </w:rPr>
  </w:style>
  <w:style w:type="character" w:customStyle="1" w:styleId="CaptionChar">
    <w:name w:val="Caption Char"/>
    <w:basedOn w:val="DefaultParagraphFont"/>
    <w:link w:val="Caption"/>
    <w:locked/>
    <w:rsid w:val="00A84697"/>
    <w:rPr>
      <w:rFonts w:ascii="TitilliumText22L Rg" w:eastAsia="Times New Roman" w:hAnsi="TitilliumText22L Rg" w:cs="Times New Roman"/>
      <w:b/>
      <w:sz w:val="20"/>
    </w:rPr>
  </w:style>
  <w:style w:type="paragraph" w:customStyle="1" w:styleId="Numbers">
    <w:name w:val="Numbers"/>
    <w:qFormat/>
    <w:rsid w:val="00A84697"/>
    <w:pPr>
      <w:numPr>
        <w:numId w:val="9"/>
      </w:numPr>
      <w:spacing w:after="120" w:line="240" w:lineRule="auto"/>
    </w:pPr>
    <w:rPr>
      <w:rFonts w:ascii="Arial" w:eastAsia="Times New Roman" w:hAnsi="Arial" w:cs="Times New Roman"/>
      <w:sz w:val="20"/>
      <w:szCs w:val="28"/>
    </w:rPr>
  </w:style>
  <w:style w:type="paragraph" w:customStyle="1" w:styleId="NumbersLast">
    <w:name w:val="Numbers Last"/>
    <w:basedOn w:val="Numbers"/>
    <w:next w:val="BodyParagraph"/>
    <w:rsid w:val="00A84697"/>
    <w:pPr>
      <w:numPr>
        <w:numId w:val="10"/>
      </w:numPr>
      <w:spacing w:after="360"/>
    </w:pPr>
  </w:style>
  <w:style w:type="paragraph" w:customStyle="1" w:styleId="LetterDate">
    <w:name w:val="Letter Date"/>
    <w:next w:val="LetterAddressee"/>
    <w:qFormat/>
    <w:rsid w:val="00A84697"/>
    <w:pPr>
      <w:spacing w:before="2000" w:line="240" w:lineRule="auto"/>
    </w:pPr>
    <w:rPr>
      <w:rFonts w:ascii="Arial" w:eastAsia="Calibri" w:hAnsi="Arial" w:cs="Times New Roman"/>
    </w:rPr>
  </w:style>
  <w:style w:type="paragraph" w:customStyle="1" w:styleId="LetterAddressee">
    <w:name w:val="Letter Addressee"/>
    <w:next w:val="LetterSalutation"/>
    <w:qFormat/>
    <w:rsid w:val="00A84697"/>
    <w:pPr>
      <w:spacing w:after="0" w:line="240" w:lineRule="auto"/>
    </w:pPr>
    <w:rPr>
      <w:rFonts w:ascii="Arial" w:eastAsia="Calibri" w:hAnsi="Arial" w:cs="Times New Roman"/>
    </w:rPr>
  </w:style>
  <w:style w:type="paragraph" w:customStyle="1" w:styleId="LetterSalutation">
    <w:name w:val="Letter Salutation"/>
    <w:next w:val="BodyParagraph"/>
    <w:qFormat/>
    <w:rsid w:val="00A84697"/>
    <w:pPr>
      <w:spacing w:before="400" w:line="240" w:lineRule="auto"/>
    </w:pPr>
    <w:rPr>
      <w:rFonts w:ascii="Arial" w:eastAsia="Calibri" w:hAnsi="Arial" w:cs="Times New Roman"/>
    </w:rPr>
  </w:style>
  <w:style w:type="paragraph" w:customStyle="1" w:styleId="LetterClosing">
    <w:name w:val="Letter Closing"/>
    <w:qFormat/>
    <w:rsid w:val="00A84697"/>
    <w:pPr>
      <w:spacing w:after="1000" w:line="240" w:lineRule="auto"/>
    </w:pPr>
    <w:rPr>
      <w:rFonts w:ascii="Arial" w:eastAsia="Calibri" w:hAnsi="Arial" w:cs="Times New Roman"/>
    </w:rPr>
  </w:style>
  <w:style w:type="table" w:styleId="TableProfessional">
    <w:name w:val="Table Professional"/>
    <w:basedOn w:val="TableNormal"/>
    <w:rsid w:val="00A84697"/>
    <w:pPr>
      <w:spacing w:after="0" w:line="240" w:lineRule="auto"/>
    </w:pPr>
    <w:rPr>
      <w:rFonts w:ascii="Arial Narrow" w:eastAsia="Times New Roman" w:hAnsi="Arial Narrow"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NormalBold">
    <w:name w:val="Normal + Bold"/>
    <w:aliases w:val="Centered"/>
    <w:basedOn w:val="BodyParagraph"/>
    <w:rsid w:val="008F19CC"/>
    <w:rPr>
      <w:rFonts w:eastAsia="Calibri" w:cs="Times New Roman"/>
    </w:rPr>
  </w:style>
  <w:style w:type="character" w:customStyle="1" w:styleId="CharChar1">
    <w:name w:val="Char Char1"/>
    <w:basedOn w:val="DefaultParagraphFont"/>
    <w:semiHidden/>
    <w:locked/>
    <w:rsid w:val="00A84697"/>
    <w:rPr>
      <w:rFonts w:ascii="Franklin Gothic Book" w:hAnsi="Franklin Gothic Book"/>
      <w:spacing w:val="-2"/>
      <w:lang w:val="en-US" w:eastAsia="en-US" w:bidi="ar-SA"/>
    </w:rPr>
  </w:style>
  <w:style w:type="paragraph" w:customStyle="1" w:styleId="Heading1notnumbered">
    <w:name w:val="Heading 1 not numbered"/>
    <w:basedOn w:val="Heading1"/>
    <w:rsid w:val="008F19CC"/>
    <w:pPr>
      <w:numPr>
        <w:numId w:val="0"/>
      </w:numPr>
      <w:spacing w:after="240"/>
    </w:pPr>
  </w:style>
  <w:style w:type="paragraph" w:styleId="NormalWeb">
    <w:name w:val="Normal (Web)"/>
    <w:basedOn w:val="Normal"/>
    <w:rsid w:val="00A84697"/>
    <w:pPr>
      <w:spacing w:before="100" w:beforeAutospacing="1" w:after="100" w:afterAutospacing="1" w:line="240" w:lineRule="auto"/>
    </w:pPr>
    <w:rPr>
      <w:rFonts w:ascii="Times New Roman" w:eastAsia="Times New Roman" w:hAnsi="Times New Roman" w:cs="Times New Roman"/>
      <w:sz w:val="29"/>
      <w:szCs w:val="29"/>
    </w:rPr>
  </w:style>
  <w:style w:type="paragraph" w:customStyle="1" w:styleId="TableCaption">
    <w:name w:val="Table Caption"/>
    <w:basedOn w:val="Caption"/>
    <w:rsid w:val="00A84697"/>
    <w:pPr>
      <w:keepNext w:val="0"/>
    </w:pPr>
    <w:rPr>
      <w:rFonts w:ascii="Times New Roman" w:hAnsi="Times New Roman"/>
      <w:bCs/>
      <w:sz w:val="24"/>
      <w:szCs w:val="20"/>
    </w:rPr>
  </w:style>
  <w:style w:type="paragraph" w:customStyle="1" w:styleId="standard">
    <w:name w:val="standard"/>
    <w:basedOn w:val="Normal"/>
    <w:link w:val="standardChar"/>
    <w:rsid w:val="00A84697"/>
    <w:pPr>
      <w:spacing w:after="0" w:line="360" w:lineRule="auto"/>
      <w:ind w:firstLine="720"/>
    </w:pPr>
    <w:rPr>
      <w:rFonts w:ascii="Palatino" w:eastAsia="Times New Roman" w:hAnsi="Palatino" w:cs="Times New Roman"/>
      <w:sz w:val="26"/>
      <w:szCs w:val="20"/>
    </w:rPr>
  </w:style>
  <w:style w:type="character" w:customStyle="1" w:styleId="standardChar">
    <w:name w:val="standard Char"/>
    <w:basedOn w:val="DefaultParagraphFont"/>
    <w:link w:val="standard"/>
    <w:rsid w:val="00A84697"/>
    <w:rPr>
      <w:rFonts w:ascii="Palatino" w:eastAsia="Times New Roman" w:hAnsi="Palatino" w:cs="Times New Roman"/>
      <w:sz w:val="26"/>
      <w:szCs w:val="20"/>
    </w:rPr>
  </w:style>
  <w:style w:type="numbering" w:customStyle="1" w:styleId="NoList1">
    <w:name w:val="No List1"/>
    <w:next w:val="NoList"/>
    <w:semiHidden/>
    <w:rsid w:val="00A84697"/>
  </w:style>
  <w:style w:type="character" w:styleId="FollowedHyperlink">
    <w:name w:val="FollowedHyperlink"/>
    <w:basedOn w:val="DefaultParagraphFont"/>
    <w:rsid w:val="00A84697"/>
    <w:rPr>
      <w:rFonts w:cs="Times New Roman"/>
      <w:color w:val="800080"/>
      <w:u w:val="single"/>
    </w:rPr>
  </w:style>
  <w:style w:type="paragraph" w:customStyle="1" w:styleId="xl66">
    <w:name w:val="xl66"/>
    <w:basedOn w:val="Normal"/>
    <w:rsid w:val="00A84697"/>
    <w:pPr>
      <w:spacing w:before="100" w:beforeAutospacing="1" w:after="100" w:afterAutospacing="1" w:line="240" w:lineRule="auto"/>
      <w:ind w:firstLineChars="100" w:firstLine="100"/>
      <w:jc w:val="right"/>
    </w:pPr>
    <w:rPr>
      <w:rFonts w:ascii="Times New Roman" w:eastAsia="Times New Roman" w:hAnsi="Times New Roman" w:cs="Times New Roman"/>
      <w:sz w:val="24"/>
      <w:szCs w:val="24"/>
    </w:rPr>
  </w:style>
  <w:style w:type="paragraph" w:customStyle="1" w:styleId="xl69">
    <w:name w:val="xl69"/>
    <w:basedOn w:val="Normal"/>
    <w:rsid w:val="00A84697"/>
    <w:pPr>
      <w:pBdr>
        <w:top w:val="single" w:sz="4" w:space="0" w:color="95B3D7"/>
        <w:left w:val="single" w:sz="4" w:space="0" w:color="95B3D7"/>
        <w:bottom w:val="single" w:sz="4" w:space="0" w:color="95B3D7"/>
      </w:pBdr>
      <w:shd w:val="clear" w:color="4F81BD" w:fill="1F497D"/>
      <w:spacing w:before="100" w:beforeAutospacing="1" w:after="100" w:afterAutospacing="1" w:line="240" w:lineRule="auto"/>
    </w:pPr>
    <w:rPr>
      <w:rFonts w:ascii="Arial" w:eastAsia="Times New Roman" w:hAnsi="Arial" w:cs="Arial"/>
      <w:b/>
      <w:bCs/>
      <w:color w:val="FFFFFF"/>
      <w:sz w:val="18"/>
      <w:szCs w:val="18"/>
    </w:rPr>
  </w:style>
  <w:style w:type="paragraph" w:customStyle="1" w:styleId="xl70">
    <w:name w:val="xl70"/>
    <w:basedOn w:val="Normal"/>
    <w:rsid w:val="00A84697"/>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1">
    <w:name w:val="xl71"/>
    <w:basedOn w:val="Normal"/>
    <w:rsid w:val="00A84697"/>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2">
    <w:name w:val="xl72"/>
    <w:basedOn w:val="Normal"/>
    <w:rsid w:val="00A84697"/>
    <w:pPr>
      <w:pBdr>
        <w:top w:val="single" w:sz="4" w:space="0" w:color="95B3D7"/>
        <w:bottom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3">
    <w:name w:val="xl73"/>
    <w:basedOn w:val="Normal"/>
    <w:rsid w:val="00A84697"/>
    <w:pPr>
      <w:pBdr>
        <w:top w:val="single" w:sz="4" w:space="0" w:color="95B3D7"/>
        <w:bottom w:val="single" w:sz="4" w:space="0" w:color="95B3D7"/>
        <w:right w:val="single" w:sz="4" w:space="0" w:color="95B3D7"/>
      </w:pBdr>
      <w:shd w:val="clear" w:color="4F81BD" w:fill="1F497D"/>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74">
    <w:name w:val="xl74"/>
    <w:basedOn w:val="Normal"/>
    <w:rsid w:val="00A84697"/>
    <w:pPr>
      <w:pBdr>
        <w:left w:val="single" w:sz="4" w:space="0" w:color="95B3D7"/>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5">
    <w:name w:val="xl75"/>
    <w:basedOn w:val="Normal"/>
    <w:rsid w:val="00A84697"/>
    <w:pPr>
      <w:pBdr>
        <w:bottom w:val="single" w:sz="4" w:space="0" w:color="95B3D7"/>
      </w:pBdr>
      <w:shd w:val="clear" w:color="DBE5F1" w:fill="DBE5F1"/>
      <w:spacing w:before="100" w:beforeAutospacing="1" w:after="100" w:afterAutospacing="1" w:line="240" w:lineRule="auto"/>
      <w:ind w:firstLineChars="100" w:firstLine="100"/>
      <w:jc w:val="right"/>
    </w:pPr>
    <w:rPr>
      <w:rFonts w:ascii="Arial" w:eastAsia="Times New Roman" w:hAnsi="Arial" w:cs="Arial"/>
      <w:sz w:val="18"/>
      <w:szCs w:val="18"/>
    </w:rPr>
  </w:style>
  <w:style w:type="paragraph" w:customStyle="1" w:styleId="xl76">
    <w:name w:val="xl76"/>
    <w:basedOn w:val="Normal"/>
    <w:rsid w:val="00A84697"/>
    <w:pPr>
      <w:pBdr>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7">
    <w:name w:val="xl77"/>
    <w:basedOn w:val="Normal"/>
    <w:rsid w:val="00A84697"/>
    <w:pPr>
      <w:pBdr>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8">
    <w:name w:val="xl78"/>
    <w:basedOn w:val="Normal"/>
    <w:rsid w:val="00A84697"/>
    <w:pPr>
      <w:pBdr>
        <w:bottom w:val="single" w:sz="4" w:space="0" w:color="95B3D7"/>
        <w:right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79">
    <w:name w:val="xl79"/>
    <w:basedOn w:val="Normal"/>
    <w:rsid w:val="00A84697"/>
    <w:pPr>
      <w:pBdr>
        <w:left w:val="single" w:sz="4" w:space="0" w:color="95B3D7"/>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0">
    <w:name w:val="xl80"/>
    <w:basedOn w:val="Normal"/>
    <w:rsid w:val="00A84697"/>
    <w:pPr>
      <w:pBdr>
        <w:bottom w:val="single" w:sz="4" w:space="0" w:color="95B3D7"/>
      </w:pBdr>
      <w:spacing w:before="100" w:beforeAutospacing="1" w:after="100" w:afterAutospacing="1" w:line="240" w:lineRule="auto"/>
      <w:ind w:firstLineChars="100" w:firstLine="100"/>
      <w:jc w:val="right"/>
    </w:pPr>
    <w:rPr>
      <w:rFonts w:ascii="Arial" w:eastAsia="Times New Roman" w:hAnsi="Arial" w:cs="Arial"/>
      <w:sz w:val="18"/>
      <w:szCs w:val="18"/>
    </w:rPr>
  </w:style>
  <w:style w:type="paragraph" w:customStyle="1" w:styleId="xl81">
    <w:name w:val="xl81"/>
    <w:basedOn w:val="Normal"/>
    <w:rsid w:val="00A84697"/>
    <w:pPr>
      <w:pBdr>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2">
    <w:name w:val="xl82"/>
    <w:basedOn w:val="Normal"/>
    <w:rsid w:val="00A84697"/>
    <w:pPr>
      <w:pBdr>
        <w:bottom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3">
    <w:name w:val="xl83"/>
    <w:basedOn w:val="Normal"/>
    <w:rsid w:val="00A84697"/>
    <w:pPr>
      <w:pBdr>
        <w:bottom w:val="single" w:sz="4" w:space="0" w:color="95B3D7"/>
        <w:right w:val="single" w:sz="4" w:space="0" w:color="95B3D7"/>
      </w:pBdr>
      <w:spacing w:before="100" w:beforeAutospacing="1" w:after="100" w:afterAutospacing="1" w:line="240" w:lineRule="auto"/>
    </w:pPr>
    <w:rPr>
      <w:rFonts w:ascii="Arial" w:eastAsia="Times New Roman" w:hAnsi="Arial" w:cs="Arial"/>
      <w:sz w:val="18"/>
      <w:szCs w:val="18"/>
    </w:rPr>
  </w:style>
  <w:style w:type="paragraph" w:customStyle="1" w:styleId="xl84">
    <w:name w:val="xl84"/>
    <w:basedOn w:val="Normal"/>
    <w:rsid w:val="00A84697"/>
    <w:pPr>
      <w:pBdr>
        <w:left w:val="single" w:sz="4" w:space="7" w:color="95B3D7"/>
        <w:bottom w:val="single" w:sz="4" w:space="0" w:color="95B3D7"/>
      </w:pBdr>
      <w:spacing w:before="100" w:beforeAutospacing="1" w:after="100" w:afterAutospacing="1" w:line="240" w:lineRule="auto"/>
      <w:ind w:firstLineChars="100" w:firstLine="100"/>
    </w:pPr>
    <w:rPr>
      <w:rFonts w:ascii="Arial" w:eastAsia="Times New Roman" w:hAnsi="Arial" w:cs="Arial"/>
      <w:sz w:val="18"/>
      <w:szCs w:val="18"/>
    </w:rPr>
  </w:style>
  <w:style w:type="paragraph" w:customStyle="1" w:styleId="xl85">
    <w:name w:val="xl85"/>
    <w:basedOn w:val="Normal"/>
    <w:rsid w:val="00A84697"/>
    <w:pPr>
      <w:pBdr>
        <w:left w:val="single" w:sz="4" w:space="7" w:color="95B3D7"/>
        <w:bottom w:val="single" w:sz="4" w:space="0" w:color="95B3D7"/>
      </w:pBdr>
      <w:shd w:val="clear" w:color="DBE5F1" w:fill="DBE5F1"/>
      <w:spacing w:before="100" w:beforeAutospacing="1" w:after="100" w:afterAutospacing="1" w:line="240" w:lineRule="auto"/>
      <w:ind w:firstLineChars="100" w:firstLine="100"/>
    </w:pPr>
    <w:rPr>
      <w:rFonts w:ascii="Arial" w:eastAsia="Times New Roman" w:hAnsi="Arial" w:cs="Arial"/>
      <w:sz w:val="18"/>
      <w:szCs w:val="18"/>
    </w:rPr>
  </w:style>
  <w:style w:type="paragraph" w:customStyle="1" w:styleId="xl86">
    <w:name w:val="xl86"/>
    <w:basedOn w:val="Normal"/>
    <w:rsid w:val="00A84697"/>
    <w:pPr>
      <w:pBdr>
        <w:left w:val="single" w:sz="4" w:space="0" w:color="95B3D7"/>
        <w:bottom w:val="single" w:sz="4" w:space="0" w:color="95B3D7"/>
      </w:pBdr>
      <w:shd w:val="clear" w:color="DBE5F1" w:fill="DBE5F1"/>
      <w:spacing w:before="100" w:beforeAutospacing="1" w:after="100" w:afterAutospacing="1" w:line="240" w:lineRule="auto"/>
    </w:pPr>
    <w:rPr>
      <w:rFonts w:ascii="Arial" w:eastAsia="Times New Roman" w:hAnsi="Arial" w:cs="Arial"/>
      <w:sz w:val="18"/>
      <w:szCs w:val="18"/>
    </w:rPr>
  </w:style>
  <w:style w:type="paragraph" w:customStyle="1" w:styleId="xl87">
    <w:name w:val="xl87"/>
    <w:basedOn w:val="Normal"/>
    <w:rsid w:val="00A84697"/>
    <w:pPr>
      <w:pBdr>
        <w:left w:val="single" w:sz="4" w:space="0" w:color="95B3D7"/>
        <w:bottom w:val="single" w:sz="4" w:space="0" w:color="95B3D7"/>
      </w:pBdr>
      <w:spacing w:before="100" w:beforeAutospacing="1" w:after="100" w:afterAutospacing="1" w:line="240" w:lineRule="auto"/>
    </w:pPr>
    <w:rPr>
      <w:rFonts w:ascii="Arial" w:eastAsia="Times New Roman" w:hAnsi="Arial" w:cs="Arial"/>
      <w:sz w:val="18"/>
      <w:szCs w:val="18"/>
    </w:rPr>
  </w:style>
  <w:style w:type="table" w:customStyle="1" w:styleId="MediumShading1-Accent11">
    <w:name w:val="Medium Shading 1 - Accent 11"/>
    <w:basedOn w:val="TableNormal"/>
    <w:rsid w:val="00A84697"/>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OC5">
    <w:name w:val="toc 5"/>
    <w:basedOn w:val="Normal"/>
    <w:next w:val="Normal"/>
    <w:autoRedefine/>
    <w:unhideWhenUsed/>
    <w:rsid w:val="00A84697"/>
    <w:pPr>
      <w:spacing w:after="100"/>
      <w:ind w:left="880"/>
    </w:pPr>
    <w:rPr>
      <w:rFonts w:ascii="Calibri" w:eastAsia="Times New Roman" w:hAnsi="Calibri" w:cs="Times New Roman"/>
    </w:rPr>
  </w:style>
  <w:style w:type="paragraph" w:styleId="TOC6">
    <w:name w:val="toc 6"/>
    <w:basedOn w:val="Normal"/>
    <w:next w:val="Normal"/>
    <w:autoRedefine/>
    <w:unhideWhenUsed/>
    <w:rsid w:val="00A84697"/>
    <w:pPr>
      <w:spacing w:after="100"/>
      <w:ind w:left="1100"/>
    </w:pPr>
    <w:rPr>
      <w:rFonts w:ascii="Calibri" w:eastAsia="Times New Roman" w:hAnsi="Calibri" w:cs="Times New Roman"/>
    </w:rPr>
  </w:style>
  <w:style w:type="paragraph" w:styleId="TOC7">
    <w:name w:val="toc 7"/>
    <w:basedOn w:val="Normal"/>
    <w:next w:val="Normal"/>
    <w:autoRedefine/>
    <w:unhideWhenUsed/>
    <w:rsid w:val="00A84697"/>
    <w:pPr>
      <w:spacing w:after="100"/>
      <w:ind w:left="1320"/>
    </w:pPr>
    <w:rPr>
      <w:rFonts w:ascii="Calibri" w:eastAsia="Times New Roman" w:hAnsi="Calibri" w:cs="Times New Roman"/>
    </w:rPr>
  </w:style>
  <w:style w:type="paragraph" w:styleId="TOC8">
    <w:name w:val="toc 8"/>
    <w:basedOn w:val="Normal"/>
    <w:next w:val="Normal"/>
    <w:autoRedefine/>
    <w:unhideWhenUsed/>
    <w:rsid w:val="00A84697"/>
    <w:pPr>
      <w:spacing w:after="100"/>
      <w:ind w:left="1540"/>
    </w:pPr>
    <w:rPr>
      <w:rFonts w:ascii="Calibri" w:eastAsia="Times New Roman" w:hAnsi="Calibri" w:cs="Times New Roman"/>
    </w:rPr>
  </w:style>
  <w:style w:type="paragraph" w:styleId="TOC9">
    <w:name w:val="toc 9"/>
    <w:basedOn w:val="Normal"/>
    <w:next w:val="Normal"/>
    <w:autoRedefine/>
    <w:unhideWhenUsed/>
    <w:rsid w:val="00A84697"/>
    <w:pPr>
      <w:spacing w:after="100"/>
      <w:ind w:left="1760"/>
    </w:pPr>
    <w:rPr>
      <w:rFonts w:ascii="Calibri" w:eastAsia="Times New Roman" w:hAnsi="Calibri" w:cs="Times New Roman"/>
    </w:rPr>
  </w:style>
  <w:style w:type="character" w:styleId="Strong">
    <w:name w:val="Strong"/>
    <w:basedOn w:val="DefaultParagraphFont"/>
    <w:qFormat/>
    <w:rsid w:val="00A5705A"/>
    <w:rPr>
      <w:b/>
      <w:bCs/>
    </w:rPr>
  </w:style>
  <w:style w:type="paragraph" w:customStyle="1" w:styleId="xl65">
    <w:name w:val="xl65"/>
    <w:basedOn w:val="Normal"/>
    <w:rsid w:val="004A3D00"/>
    <w:pPr>
      <w:spacing w:before="100" w:beforeAutospacing="1" w:after="100" w:afterAutospacing="1" w:line="240" w:lineRule="auto"/>
    </w:pPr>
    <w:rPr>
      <w:rFonts w:ascii="Arial" w:eastAsia="Times New Roman" w:hAnsi="Arial" w:cs="Arial"/>
      <w:sz w:val="18"/>
      <w:szCs w:val="18"/>
    </w:rPr>
  </w:style>
  <w:style w:type="paragraph" w:customStyle="1" w:styleId="xl67">
    <w:name w:val="xl67"/>
    <w:basedOn w:val="Normal"/>
    <w:rsid w:val="004A3D00"/>
    <w:pPr>
      <w:shd w:val="clear" w:color="000000" w:fill="376091"/>
      <w:spacing w:before="100" w:beforeAutospacing="1" w:after="100" w:afterAutospacing="1" w:line="240" w:lineRule="auto"/>
      <w:jc w:val="center"/>
    </w:pPr>
    <w:rPr>
      <w:rFonts w:ascii="Arial" w:eastAsia="Times New Roman" w:hAnsi="Arial" w:cs="Arial"/>
      <w:b/>
      <w:bCs/>
      <w:color w:val="FFFFFF"/>
      <w:sz w:val="18"/>
      <w:szCs w:val="18"/>
    </w:rPr>
  </w:style>
  <w:style w:type="paragraph" w:customStyle="1" w:styleId="xl68">
    <w:name w:val="xl68"/>
    <w:basedOn w:val="Normal"/>
    <w:rsid w:val="004A3D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12" w:color="auto"/>
            <w:left w:val="none" w:sz="0" w:space="12" w:color="auto"/>
            <w:bottom w:val="none" w:sz="0" w:space="12" w:color="auto"/>
            <w:right w:val="none" w:sz="0" w:space="12" w:color="auto"/>
          </w:divBdr>
        </w:div>
      </w:divsChild>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6">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31">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34">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37">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39">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144">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52">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54">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57">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 w:id="171">
      <w:marLeft w:val="0"/>
      <w:marRight w:val="0"/>
      <w:marTop w:val="0"/>
      <w:marBottom w:val="0"/>
      <w:divBdr>
        <w:top w:val="none" w:sz="0" w:space="0" w:color="auto"/>
        <w:left w:val="none" w:sz="0" w:space="0" w:color="auto"/>
        <w:bottom w:val="none" w:sz="0" w:space="0" w:color="auto"/>
        <w:right w:val="none" w:sz="0" w:space="0" w:color="auto"/>
      </w:divBdr>
    </w:div>
    <w:div w:id="17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3">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89">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192">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19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197">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6">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23">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25">
      <w:marLeft w:val="0"/>
      <w:marRight w:val="0"/>
      <w:marTop w:val="0"/>
      <w:marBottom w:val="0"/>
      <w:divBdr>
        <w:top w:val="none" w:sz="0" w:space="0" w:color="auto"/>
        <w:left w:val="none" w:sz="0" w:space="0" w:color="auto"/>
        <w:bottom w:val="none" w:sz="0" w:space="0" w:color="auto"/>
        <w:right w:val="none" w:sz="0" w:space="0" w:color="auto"/>
      </w:divBdr>
    </w:div>
    <w:div w:id="226">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42">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46">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3">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55">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65">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74">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77">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 w:id="282">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 w:id="297">
      <w:marLeft w:val="0"/>
      <w:marRight w:val="0"/>
      <w:marTop w:val="0"/>
      <w:marBottom w:val="0"/>
      <w:divBdr>
        <w:top w:val="none" w:sz="0" w:space="0" w:color="auto"/>
        <w:left w:val="none" w:sz="0" w:space="0" w:color="auto"/>
        <w:bottom w:val="none" w:sz="0" w:space="0" w:color="auto"/>
        <w:right w:val="none" w:sz="0" w:space="0" w:color="auto"/>
      </w:divBdr>
    </w:div>
    <w:div w:id="298">
      <w:marLeft w:val="0"/>
      <w:marRight w:val="0"/>
      <w:marTop w:val="0"/>
      <w:marBottom w:val="0"/>
      <w:divBdr>
        <w:top w:val="none" w:sz="0" w:space="0" w:color="auto"/>
        <w:left w:val="none" w:sz="0" w:space="0" w:color="auto"/>
        <w:bottom w:val="none" w:sz="0" w:space="0" w:color="auto"/>
        <w:right w:val="none" w:sz="0" w:space="0" w:color="auto"/>
      </w:divBdr>
    </w:div>
    <w:div w:id="299">
      <w:marLeft w:val="0"/>
      <w:marRight w:val="0"/>
      <w:marTop w:val="0"/>
      <w:marBottom w:val="0"/>
      <w:divBdr>
        <w:top w:val="none" w:sz="0" w:space="0" w:color="auto"/>
        <w:left w:val="none" w:sz="0" w:space="0" w:color="auto"/>
        <w:bottom w:val="none" w:sz="0" w:space="0" w:color="auto"/>
        <w:right w:val="none" w:sz="0" w:space="0" w:color="auto"/>
      </w:divBdr>
    </w:div>
    <w:div w:id="300">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
    <w:div w:id="302">
      <w:marLeft w:val="0"/>
      <w:marRight w:val="0"/>
      <w:marTop w:val="0"/>
      <w:marBottom w:val="0"/>
      <w:divBdr>
        <w:top w:val="none" w:sz="0" w:space="0" w:color="auto"/>
        <w:left w:val="none" w:sz="0" w:space="0" w:color="auto"/>
        <w:bottom w:val="none" w:sz="0" w:space="0" w:color="auto"/>
        <w:right w:val="none" w:sz="0" w:space="0" w:color="auto"/>
      </w:divBdr>
    </w:div>
    <w:div w:id="303">
      <w:marLeft w:val="0"/>
      <w:marRight w:val="0"/>
      <w:marTop w:val="0"/>
      <w:marBottom w:val="0"/>
      <w:divBdr>
        <w:top w:val="none" w:sz="0" w:space="0" w:color="auto"/>
        <w:left w:val="none" w:sz="0" w:space="0" w:color="auto"/>
        <w:bottom w:val="none" w:sz="0" w:space="0" w:color="auto"/>
        <w:right w:val="none" w:sz="0" w:space="0" w:color="auto"/>
      </w:divBdr>
    </w:div>
    <w:div w:id="304">
      <w:marLeft w:val="0"/>
      <w:marRight w:val="0"/>
      <w:marTop w:val="0"/>
      <w:marBottom w:val="0"/>
      <w:divBdr>
        <w:top w:val="none" w:sz="0" w:space="0" w:color="auto"/>
        <w:left w:val="none" w:sz="0" w:space="0" w:color="auto"/>
        <w:bottom w:val="none" w:sz="0" w:space="0" w:color="auto"/>
        <w:right w:val="none" w:sz="0" w:space="0" w:color="auto"/>
      </w:divBdr>
    </w:div>
    <w:div w:id="305">
      <w:marLeft w:val="0"/>
      <w:marRight w:val="0"/>
      <w:marTop w:val="0"/>
      <w:marBottom w:val="0"/>
      <w:divBdr>
        <w:top w:val="none" w:sz="0" w:space="0" w:color="auto"/>
        <w:left w:val="none" w:sz="0" w:space="0" w:color="auto"/>
        <w:bottom w:val="none" w:sz="0" w:space="0" w:color="auto"/>
        <w:right w:val="none" w:sz="0" w:space="0" w:color="auto"/>
      </w:divBdr>
    </w:div>
    <w:div w:id="306">
      <w:marLeft w:val="0"/>
      <w:marRight w:val="0"/>
      <w:marTop w:val="0"/>
      <w:marBottom w:val="0"/>
      <w:divBdr>
        <w:top w:val="none" w:sz="0" w:space="0" w:color="auto"/>
        <w:left w:val="none" w:sz="0" w:space="0" w:color="auto"/>
        <w:bottom w:val="none" w:sz="0" w:space="0" w:color="auto"/>
        <w:right w:val="none" w:sz="0" w:space="0" w:color="auto"/>
      </w:divBdr>
    </w:div>
    <w:div w:id="307">
      <w:marLeft w:val="0"/>
      <w:marRight w:val="0"/>
      <w:marTop w:val="0"/>
      <w:marBottom w:val="0"/>
      <w:divBdr>
        <w:top w:val="none" w:sz="0" w:space="0" w:color="auto"/>
        <w:left w:val="none" w:sz="0" w:space="0" w:color="auto"/>
        <w:bottom w:val="none" w:sz="0" w:space="0" w:color="auto"/>
        <w:right w:val="none" w:sz="0" w:space="0" w:color="auto"/>
      </w:divBdr>
    </w:div>
    <w:div w:id="308">
      <w:marLeft w:val="0"/>
      <w:marRight w:val="0"/>
      <w:marTop w:val="0"/>
      <w:marBottom w:val="0"/>
      <w:divBdr>
        <w:top w:val="none" w:sz="0" w:space="0" w:color="auto"/>
        <w:left w:val="none" w:sz="0" w:space="0" w:color="auto"/>
        <w:bottom w:val="none" w:sz="0" w:space="0" w:color="auto"/>
        <w:right w:val="none" w:sz="0" w:space="0" w:color="auto"/>
      </w:divBdr>
    </w:div>
    <w:div w:id="309">
      <w:marLeft w:val="0"/>
      <w:marRight w:val="0"/>
      <w:marTop w:val="0"/>
      <w:marBottom w:val="0"/>
      <w:divBdr>
        <w:top w:val="none" w:sz="0" w:space="0" w:color="auto"/>
        <w:left w:val="none" w:sz="0" w:space="0" w:color="auto"/>
        <w:bottom w:val="none" w:sz="0" w:space="0" w:color="auto"/>
        <w:right w:val="none" w:sz="0" w:space="0" w:color="auto"/>
      </w:divBdr>
    </w:div>
    <w:div w:id="310">
      <w:marLeft w:val="0"/>
      <w:marRight w:val="0"/>
      <w:marTop w:val="0"/>
      <w:marBottom w:val="0"/>
      <w:divBdr>
        <w:top w:val="none" w:sz="0" w:space="0" w:color="auto"/>
        <w:left w:val="none" w:sz="0" w:space="0" w:color="auto"/>
        <w:bottom w:val="none" w:sz="0" w:space="0" w:color="auto"/>
        <w:right w:val="none" w:sz="0" w:space="0" w:color="auto"/>
      </w:divBdr>
    </w:div>
    <w:div w:id="311">
      <w:marLeft w:val="0"/>
      <w:marRight w:val="0"/>
      <w:marTop w:val="0"/>
      <w:marBottom w:val="0"/>
      <w:divBdr>
        <w:top w:val="none" w:sz="0" w:space="0" w:color="auto"/>
        <w:left w:val="none" w:sz="0" w:space="0" w:color="auto"/>
        <w:bottom w:val="none" w:sz="0" w:space="0" w:color="auto"/>
        <w:right w:val="none" w:sz="0" w:space="0" w:color="auto"/>
      </w:divBdr>
    </w:div>
    <w:div w:id="312">
      <w:marLeft w:val="0"/>
      <w:marRight w:val="0"/>
      <w:marTop w:val="0"/>
      <w:marBottom w:val="0"/>
      <w:divBdr>
        <w:top w:val="none" w:sz="0" w:space="0" w:color="auto"/>
        <w:left w:val="none" w:sz="0" w:space="0" w:color="auto"/>
        <w:bottom w:val="none" w:sz="0" w:space="0" w:color="auto"/>
        <w:right w:val="none" w:sz="0" w:space="0" w:color="auto"/>
      </w:divBdr>
    </w:div>
    <w:div w:id="313">
      <w:marLeft w:val="0"/>
      <w:marRight w:val="0"/>
      <w:marTop w:val="0"/>
      <w:marBottom w:val="0"/>
      <w:divBdr>
        <w:top w:val="none" w:sz="0" w:space="0" w:color="auto"/>
        <w:left w:val="none" w:sz="0" w:space="0" w:color="auto"/>
        <w:bottom w:val="none" w:sz="0" w:space="0" w:color="auto"/>
        <w:right w:val="none" w:sz="0" w:space="0" w:color="auto"/>
      </w:divBdr>
    </w:div>
    <w:div w:id="314">
      <w:marLeft w:val="0"/>
      <w:marRight w:val="0"/>
      <w:marTop w:val="0"/>
      <w:marBottom w:val="0"/>
      <w:divBdr>
        <w:top w:val="none" w:sz="0" w:space="0" w:color="auto"/>
        <w:left w:val="none" w:sz="0" w:space="0" w:color="auto"/>
        <w:bottom w:val="none" w:sz="0" w:space="0" w:color="auto"/>
        <w:right w:val="none" w:sz="0" w:space="0" w:color="auto"/>
      </w:divBdr>
    </w:div>
    <w:div w:id="315">
      <w:marLeft w:val="0"/>
      <w:marRight w:val="0"/>
      <w:marTop w:val="0"/>
      <w:marBottom w:val="0"/>
      <w:divBdr>
        <w:top w:val="none" w:sz="0" w:space="0" w:color="auto"/>
        <w:left w:val="none" w:sz="0" w:space="0" w:color="auto"/>
        <w:bottom w:val="none" w:sz="0" w:space="0" w:color="auto"/>
        <w:right w:val="none" w:sz="0" w:space="0" w:color="auto"/>
      </w:divBdr>
    </w:div>
    <w:div w:id="316">
      <w:marLeft w:val="0"/>
      <w:marRight w:val="0"/>
      <w:marTop w:val="0"/>
      <w:marBottom w:val="0"/>
      <w:divBdr>
        <w:top w:val="none" w:sz="0" w:space="0" w:color="auto"/>
        <w:left w:val="none" w:sz="0" w:space="0" w:color="auto"/>
        <w:bottom w:val="none" w:sz="0" w:space="0" w:color="auto"/>
        <w:right w:val="none" w:sz="0" w:space="0" w:color="auto"/>
      </w:divBdr>
    </w:div>
    <w:div w:id="317">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 w:id="319">
      <w:marLeft w:val="0"/>
      <w:marRight w:val="0"/>
      <w:marTop w:val="0"/>
      <w:marBottom w:val="0"/>
      <w:divBdr>
        <w:top w:val="none" w:sz="0" w:space="0" w:color="auto"/>
        <w:left w:val="none" w:sz="0" w:space="0" w:color="auto"/>
        <w:bottom w:val="none" w:sz="0" w:space="0" w:color="auto"/>
        <w:right w:val="none" w:sz="0" w:space="0" w:color="auto"/>
      </w:divBdr>
    </w:div>
    <w:div w:id="320">
      <w:marLeft w:val="0"/>
      <w:marRight w:val="0"/>
      <w:marTop w:val="0"/>
      <w:marBottom w:val="0"/>
      <w:divBdr>
        <w:top w:val="none" w:sz="0" w:space="0" w:color="auto"/>
        <w:left w:val="none" w:sz="0" w:space="0" w:color="auto"/>
        <w:bottom w:val="none" w:sz="0" w:space="0" w:color="auto"/>
        <w:right w:val="none" w:sz="0" w:space="0" w:color="auto"/>
      </w:divBdr>
    </w:div>
    <w:div w:id="321">
      <w:marLeft w:val="0"/>
      <w:marRight w:val="0"/>
      <w:marTop w:val="0"/>
      <w:marBottom w:val="0"/>
      <w:divBdr>
        <w:top w:val="none" w:sz="0" w:space="0" w:color="auto"/>
        <w:left w:val="none" w:sz="0" w:space="0" w:color="auto"/>
        <w:bottom w:val="none" w:sz="0" w:space="0" w:color="auto"/>
        <w:right w:val="none" w:sz="0" w:space="0" w:color="auto"/>
      </w:divBdr>
    </w:div>
    <w:div w:id="322">
      <w:marLeft w:val="0"/>
      <w:marRight w:val="0"/>
      <w:marTop w:val="0"/>
      <w:marBottom w:val="0"/>
      <w:divBdr>
        <w:top w:val="none" w:sz="0" w:space="0" w:color="auto"/>
        <w:left w:val="none" w:sz="0" w:space="0" w:color="auto"/>
        <w:bottom w:val="none" w:sz="0" w:space="0" w:color="auto"/>
        <w:right w:val="none" w:sz="0" w:space="0" w:color="auto"/>
      </w:divBdr>
    </w:div>
    <w:div w:id="323">
      <w:marLeft w:val="0"/>
      <w:marRight w:val="0"/>
      <w:marTop w:val="0"/>
      <w:marBottom w:val="0"/>
      <w:divBdr>
        <w:top w:val="none" w:sz="0" w:space="0" w:color="auto"/>
        <w:left w:val="none" w:sz="0" w:space="0" w:color="auto"/>
        <w:bottom w:val="none" w:sz="0" w:space="0" w:color="auto"/>
        <w:right w:val="none" w:sz="0" w:space="0" w:color="auto"/>
      </w:divBdr>
    </w:div>
    <w:div w:id="324">
      <w:marLeft w:val="0"/>
      <w:marRight w:val="0"/>
      <w:marTop w:val="0"/>
      <w:marBottom w:val="0"/>
      <w:divBdr>
        <w:top w:val="none" w:sz="0" w:space="0" w:color="auto"/>
        <w:left w:val="none" w:sz="0" w:space="0" w:color="auto"/>
        <w:bottom w:val="none" w:sz="0" w:space="0" w:color="auto"/>
        <w:right w:val="none" w:sz="0" w:space="0" w:color="auto"/>
      </w:divBdr>
    </w:div>
    <w:div w:id="325">
      <w:marLeft w:val="0"/>
      <w:marRight w:val="0"/>
      <w:marTop w:val="0"/>
      <w:marBottom w:val="0"/>
      <w:divBdr>
        <w:top w:val="none" w:sz="0" w:space="0" w:color="auto"/>
        <w:left w:val="none" w:sz="0" w:space="0" w:color="auto"/>
        <w:bottom w:val="none" w:sz="0" w:space="0" w:color="auto"/>
        <w:right w:val="none" w:sz="0" w:space="0" w:color="auto"/>
      </w:divBdr>
    </w:div>
    <w:div w:id="326">
      <w:marLeft w:val="0"/>
      <w:marRight w:val="0"/>
      <w:marTop w:val="0"/>
      <w:marBottom w:val="0"/>
      <w:divBdr>
        <w:top w:val="none" w:sz="0" w:space="0" w:color="auto"/>
        <w:left w:val="none" w:sz="0" w:space="0" w:color="auto"/>
        <w:bottom w:val="none" w:sz="0" w:space="0" w:color="auto"/>
        <w:right w:val="none" w:sz="0" w:space="0" w:color="auto"/>
      </w:divBdr>
    </w:div>
    <w:div w:id="327">
      <w:marLeft w:val="0"/>
      <w:marRight w:val="0"/>
      <w:marTop w:val="0"/>
      <w:marBottom w:val="0"/>
      <w:divBdr>
        <w:top w:val="none" w:sz="0" w:space="0" w:color="auto"/>
        <w:left w:val="none" w:sz="0" w:space="0" w:color="auto"/>
        <w:bottom w:val="none" w:sz="0" w:space="0" w:color="auto"/>
        <w:right w:val="none" w:sz="0" w:space="0" w:color="auto"/>
      </w:divBdr>
    </w:div>
    <w:div w:id="328">
      <w:marLeft w:val="0"/>
      <w:marRight w:val="0"/>
      <w:marTop w:val="0"/>
      <w:marBottom w:val="0"/>
      <w:divBdr>
        <w:top w:val="none" w:sz="0" w:space="0" w:color="auto"/>
        <w:left w:val="none" w:sz="0" w:space="0" w:color="auto"/>
        <w:bottom w:val="none" w:sz="0" w:space="0" w:color="auto"/>
        <w:right w:val="none" w:sz="0" w:space="0" w:color="auto"/>
      </w:divBdr>
    </w:div>
    <w:div w:id="329">
      <w:marLeft w:val="0"/>
      <w:marRight w:val="0"/>
      <w:marTop w:val="0"/>
      <w:marBottom w:val="0"/>
      <w:divBdr>
        <w:top w:val="none" w:sz="0" w:space="0" w:color="auto"/>
        <w:left w:val="none" w:sz="0" w:space="0" w:color="auto"/>
        <w:bottom w:val="none" w:sz="0" w:space="0" w:color="auto"/>
        <w:right w:val="none" w:sz="0" w:space="0" w:color="auto"/>
      </w:divBdr>
    </w:div>
    <w:div w:id="330">
      <w:marLeft w:val="0"/>
      <w:marRight w:val="0"/>
      <w:marTop w:val="0"/>
      <w:marBottom w:val="0"/>
      <w:divBdr>
        <w:top w:val="none" w:sz="0" w:space="0" w:color="auto"/>
        <w:left w:val="none" w:sz="0" w:space="0" w:color="auto"/>
        <w:bottom w:val="none" w:sz="0" w:space="0" w:color="auto"/>
        <w:right w:val="none" w:sz="0" w:space="0" w:color="auto"/>
      </w:divBdr>
    </w:div>
    <w:div w:id="331">
      <w:marLeft w:val="0"/>
      <w:marRight w:val="0"/>
      <w:marTop w:val="0"/>
      <w:marBottom w:val="0"/>
      <w:divBdr>
        <w:top w:val="none" w:sz="0" w:space="0" w:color="auto"/>
        <w:left w:val="none" w:sz="0" w:space="0" w:color="auto"/>
        <w:bottom w:val="none" w:sz="0" w:space="0" w:color="auto"/>
        <w:right w:val="none" w:sz="0" w:space="0" w:color="auto"/>
      </w:divBdr>
    </w:div>
    <w:div w:id="332">
      <w:marLeft w:val="0"/>
      <w:marRight w:val="0"/>
      <w:marTop w:val="0"/>
      <w:marBottom w:val="0"/>
      <w:divBdr>
        <w:top w:val="none" w:sz="0" w:space="0" w:color="auto"/>
        <w:left w:val="none" w:sz="0" w:space="0" w:color="auto"/>
        <w:bottom w:val="none" w:sz="0" w:space="0" w:color="auto"/>
        <w:right w:val="none" w:sz="0" w:space="0" w:color="auto"/>
      </w:divBdr>
    </w:div>
    <w:div w:id="333">
      <w:marLeft w:val="0"/>
      <w:marRight w:val="0"/>
      <w:marTop w:val="0"/>
      <w:marBottom w:val="0"/>
      <w:divBdr>
        <w:top w:val="none" w:sz="0" w:space="0" w:color="auto"/>
        <w:left w:val="none" w:sz="0" w:space="0" w:color="auto"/>
        <w:bottom w:val="none" w:sz="0" w:space="0" w:color="auto"/>
        <w:right w:val="none" w:sz="0" w:space="0" w:color="auto"/>
      </w:divBdr>
    </w:div>
    <w:div w:id="334">
      <w:marLeft w:val="0"/>
      <w:marRight w:val="0"/>
      <w:marTop w:val="0"/>
      <w:marBottom w:val="0"/>
      <w:divBdr>
        <w:top w:val="none" w:sz="0" w:space="0" w:color="auto"/>
        <w:left w:val="none" w:sz="0" w:space="0" w:color="auto"/>
        <w:bottom w:val="none" w:sz="0" w:space="0" w:color="auto"/>
        <w:right w:val="none" w:sz="0" w:space="0" w:color="auto"/>
      </w:divBdr>
    </w:div>
    <w:div w:id="335">
      <w:marLeft w:val="0"/>
      <w:marRight w:val="0"/>
      <w:marTop w:val="0"/>
      <w:marBottom w:val="0"/>
      <w:divBdr>
        <w:top w:val="none" w:sz="0" w:space="0" w:color="auto"/>
        <w:left w:val="none" w:sz="0" w:space="0" w:color="auto"/>
        <w:bottom w:val="none" w:sz="0" w:space="0" w:color="auto"/>
        <w:right w:val="none" w:sz="0" w:space="0" w:color="auto"/>
      </w:divBdr>
    </w:div>
    <w:div w:id="336">
      <w:marLeft w:val="0"/>
      <w:marRight w:val="0"/>
      <w:marTop w:val="0"/>
      <w:marBottom w:val="0"/>
      <w:divBdr>
        <w:top w:val="none" w:sz="0" w:space="0" w:color="auto"/>
        <w:left w:val="none" w:sz="0" w:space="0" w:color="auto"/>
        <w:bottom w:val="none" w:sz="0" w:space="0" w:color="auto"/>
        <w:right w:val="none" w:sz="0" w:space="0" w:color="auto"/>
      </w:divBdr>
    </w:div>
    <w:div w:id="337">
      <w:marLeft w:val="0"/>
      <w:marRight w:val="0"/>
      <w:marTop w:val="0"/>
      <w:marBottom w:val="0"/>
      <w:divBdr>
        <w:top w:val="none" w:sz="0" w:space="0" w:color="auto"/>
        <w:left w:val="none" w:sz="0" w:space="0" w:color="auto"/>
        <w:bottom w:val="none" w:sz="0" w:space="0" w:color="auto"/>
        <w:right w:val="none" w:sz="0" w:space="0" w:color="auto"/>
      </w:divBdr>
    </w:div>
    <w:div w:id="338">
      <w:marLeft w:val="0"/>
      <w:marRight w:val="0"/>
      <w:marTop w:val="0"/>
      <w:marBottom w:val="0"/>
      <w:divBdr>
        <w:top w:val="none" w:sz="0" w:space="0" w:color="auto"/>
        <w:left w:val="none" w:sz="0" w:space="0" w:color="auto"/>
        <w:bottom w:val="none" w:sz="0" w:space="0" w:color="auto"/>
        <w:right w:val="none" w:sz="0" w:space="0" w:color="auto"/>
      </w:divBdr>
    </w:div>
    <w:div w:id="339">
      <w:marLeft w:val="0"/>
      <w:marRight w:val="0"/>
      <w:marTop w:val="0"/>
      <w:marBottom w:val="0"/>
      <w:divBdr>
        <w:top w:val="none" w:sz="0" w:space="0" w:color="auto"/>
        <w:left w:val="none" w:sz="0" w:space="0" w:color="auto"/>
        <w:bottom w:val="none" w:sz="0" w:space="0" w:color="auto"/>
        <w:right w:val="none" w:sz="0" w:space="0" w:color="auto"/>
      </w:divBdr>
    </w:div>
    <w:div w:id="340">
      <w:marLeft w:val="0"/>
      <w:marRight w:val="0"/>
      <w:marTop w:val="0"/>
      <w:marBottom w:val="0"/>
      <w:divBdr>
        <w:top w:val="none" w:sz="0" w:space="0" w:color="auto"/>
        <w:left w:val="none" w:sz="0" w:space="0" w:color="auto"/>
        <w:bottom w:val="none" w:sz="0" w:space="0" w:color="auto"/>
        <w:right w:val="none" w:sz="0" w:space="0" w:color="auto"/>
      </w:divBdr>
    </w:div>
    <w:div w:id="341">
      <w:marLeft w:val="0"/>
      <w:marRight w:val="0"/>
      <w:marTop w:val="0"/>
      <w:marBottom w:val="0"/>
      <w:divBdr>
        <w:top w:val="none" w:sz="0" w:space="0" w:color="auto"/>
        <w:left w:val="none" w:sz="0" w:space="0" w:color="auto"/>
        <w:bottom w:val="none" w:sz="0" w:space="0" w:color="auto"/>
        <w:right w:val="none" w:sz="0" w:space="0" w:color="auto"/>
      </w:divBdr>
    </w:div>
    <w:div w:id="342">
      <w:marLeft w:val="0"/>
      <w:marRight w:val="0"/>
      <w:marTop w:val="0"/>
      <w:marBottom w:val="0"/>
      <w:divBdr>
        <w:top w:val="none" w:sz="0" w:space="0" w:color="auto"/>
        <w:left w:val="none" w:sz="0" w:space="0" w:color="auto"/>
        <w:bottom w:val="none" w:sz="0" w:space="0" w:color="auto"/>
        <w:right w:val="none" w:sz="0" w:space="0" w:color="auto"/>
      </w:divBdr>
    </w:div>
    <w:div w:id="343">
      <w:marLeft w:val="0"/>
      <w:marRight w:val="0"/>
      <w:marTop w:val="0"/>
      <w:marBottom w:val="0"/>
      <w:divBdr>
        <w:top w:val="none" w:sz="0" w:space="0" w:color="auto"/>
        <w:left w:val="none" w:sz="0" w:space="0" w:color="auto"/>
        <w:bottom w:val="none" w:sz="0" w:space="0" w:color="auto"/>
        <w:right w:val="none" w:sz="0" w:space="0" w:color="auto"/>
      </w:divBdr>
    </w:div>
    <w:div w:id="344">
      <w:marLeft w:val="0"/>
      <w:marRight w:val="0"/>
      <w:marTop w:val="0"/>
      <w:marBottom w:val="0"/>
      <w:divBdr>
        <w:top w:val="none" w:sz="0" w:space="0" w:color="auto"/>
        <w:left w:val="none" w:sz="0" w:space="0" w:color="auto"/>
        <w:bottom w:val="none" w:sz="0" w:space="0" w:color="auto"/>
        <w:right w:val="none" w:sz="0" w:space="0" w:color="auto"/>
      </w:divBdr>
    </w:div>
    <w:div w:id="345">
      <w:marLeft w:val="0"/>
      <w:marRight w:val="0"/>
      <w:marTop w:val="0"/>
      <w:marBottom w:val="0"/>
      <w:divBdr>
        <w:top w:val="none" w:sz="0" w:space="0" w:color="auto"/>
        <w:left w:val="none" w:sz="0" w:space="0" w:color="auto"/>
        <w:bottom w:val="none" w:sz="0" w:space="0" w:color="auto"/>
        <w:right w:val="none" w:sz="0" w:space="0" w:color="auto"/>
      </w:divBdr>
    </w:div>
    <w:div w:id="346">
      <w:marLeft w:val="0"/>
      <w:marRight w:val="0"/>
      <w:marTop w:val="0"/>
      <w:marBottom w:val="0"/>
      <w:divBdr>
        <w:top w:val="none" w:sz="0" w:space="0" w:color="auto"/>
        <w:left w:val="none" w:sz="0" w:space="0" w:color="auto"/>
        <w:bottom w:val="none" w:sz="0" w:space="0" w:color="auto"/>
        <w:right w:val="none" w:sz="0" w:space="0" w:color="auto"/>
      </w:divBdr>
    </w:div>
    <w:div w:id="347">
      <w:marLeft w:val="0"/>
      <w:marRight w:val="0"/>
      <w:marTop w:val="0"/>
      <w:marBottom w:val="0"/>
      <w:divBdr>
        <w:top w:val="none" w:sz="0" w:space="0" w:color="auto"/>
        <w:left w:val="none" w:sz="0" w:space="0" w:color="auto"/>
        <w:bottom w:val="none" w:sz="0" w:space="0" w:color="auto"/>
        <w:right w:val="none" w:sz="0" w:space="0" w:color="auto"/>
      </w:divBdr>
    </w:div>
    <w:div w:id="348">
      <w:marLeft w:val="0"/>
      <w:marRight w:val="0"/>
      <w:marTop w:val="0"/>
      <w:marBottom w:val="0"/>
      <w:divBdr>
        <w:top w:val="none" w:sz="0" w:space="0" w:color="auto"/>
        <w:left w:val="none" w:sz="0" w:space="0" w:color="auto"/>
        <w:bottom w:val="none" w:sz="0" w:space="0" w:color="auto"/>
        <w:right w:val="none" w:sz="0" w:space="0" w:color="auto"/>
      </w:divBdr>
    </w:div>
    <w:div w:id="349">
      <w:marLeft w:val="0"/>
      <w:marRight w:val="0"/>
      <w:marTop w:val="0"/>
      <w:marBottom w:val="0"/>
      <w:divBdr>
        <w:top w:val="none" w:sz="0" w:space="0" w:color="auto"/>
        <w:left w:val="none" w:sz="0" w:space="0" w:color="auto"/>
        <w:bottom w:val="none" w:sz="0" w:space="0" w:color="auto"/>
        <w:right w:val="none" w:sz="0" w:space="0" w:color="auto"/>
      </w:divBdr>
    </w:div>
    <w:div w:id="350">
      <w:marLeft w:val="0"/>
      <w:marRight w:val="0"/>
      <w:marTop w:val="0"/>
      <w:marBottom w:val="0"/>
      <w:divBdr>
        <w:top w:val="none" w:sz="0" w:space="0" w:color="auto"/>
        <w:left w:val="none" w:sz="0" w:space="0" w:color="auto"/>
        <w:bottom w:val="none" w:sz="0" w:space="0" w:color="auto"/>
        <w:right w:val="none" w:sz="0" w:space="0" w:color="auto"/>
      </w:divBdr>
    </w:div>
    <w:div w:id="351">
      <w:marLeft w:val="0"/>
      <w:marRight w:val="0"/>
      <w:marTop w:val="0"/>
      <w:marBottom w:val="0"/>
      <w:divBdr>
        <w:top w:val="none" w:sz="0" w:space="0" w:color="auto"/>
        <w:left w:val="none" w:sz="0" w:space="0" w:color="auto"/>
        <w:bottom w:val="none" w:sz="0" w:space="0" w:color="auto"/>
        <w:right w:val="none" w:sz="0" w:space="0" w:color="auto"/>
      </w:divBdr>
    </w:div>
    <w:div w:id="352">
      <w:marLeft w:val="0"/>
      <w:marRight w:val="0"/>
      <w:marTop w:val="0"/>
      <w:marBottom w:val="0"/>
      <w:divBdr>
        <w:top w:val="none" w:sz="0" w:space="0" w:color="auto"/>
        <w:left w:val="none" w:sz="0" w:space="0" w:color="auto"/>
        <w:bottom w:val="none" w:sz="0" w:space="0" w:color="auto"/>
        <w:right w:val="none" w:sz="0" w:space="0" w:color="auto"/>
      </w:divBdr>
    </w:div>
    <w:div w:id="353">
      <w:marLeft w:val="0"/>
      <w:marRight w:val="0"/>
      <w:marTop w:val="0"/>
      <w:marBottom w:val="0"/>
      <w:divBdr>
        <w:top w:val="none" w:sz="0" w:space="0" w:color="auto"/>
        <w:left w:val="none" w:sz="0" w:space="0" w:color="auto"/>
        <w:bottom w:val="none" w:sz="0" w:space="0" w:color="auto"/>
        <w:right w:val="none" w:sz="0" w:space="0" w:color="auto"/>
      </w:divBdr>
    </w:div>
    <w:div w:id="354">
      <w:marLeft w:val="0"/>
      <w:marRight w:val="0"/>
      <w:marTop w:val="0"/>
      <w:marBottom w:val="0"/>
      <w:divBdr>
        <w:top w:val="none" w:sz="0" w:space="0" w:color="auto"/>
        <w:left w:val="none" w:sz="0" w:space="0" w:color="auto"/>
        <w:bottom w:val="none" w:sz="0" w:space="0" w:color="auto"/>
        <w:right w:val="none" w:sz="0" w:space="0" w:color="auto"/>
      </w:divBdr>
    </w:div>
    <w:div w:id="355">
      <w:marLeft w:val="0"/>
      <w:marRight w:val="0"/>
      <w:marTop w:val="0"/>
      <w:marBottom w:val="0"/>
      <w:divBdr>
        <w:top w:val="none" w:sz="0" w:space="0" w:color="auto"/>
        <w:left w:val="none" w:sz="0" w:space="0" w:color="auto"/>
        <w:bottom w:val="none" w:sz="0" w:space="0" w:color="auto"/>
        <w:right w:val="none" w:sz="0" w:space="0" w:color="auto"/>
      </w:divBdr>
    </w:div>
    <w:div w:id="356">
      <w:marLeft w:val="0"/>
      <w:marRight w:val="0"/>
      <w:marTop w:val="0"/>
      <w:marBottom w:val="0"/>
      <w:divBdr>
        <w:top w:val="none" w:sz="0" w:space="0" w:color="auto"/>
        <w:left w:val="none" w:sz="0" w:space="0" w:color="auto"/>
        <w:bottom w:val="none" w:sz="0" w:space="0" w:color="auto"/>
        <w:right w:val="none" w:sz="0" w:space="0" w:color="auto"/>
      </w:divBdr>
    </w:div>
    <w:div w:id="357">
      <w:marLeft w:val="0"/>
      <w:marRight w:val="0"/>
      <w:marTop w:val="0"/>
      <w:marBottom w:val="0"/>
      <w:divBdr>
        <w:top w:val="none" w:sz="0" w:space="0" w:color="auto"/>
        <w:left w:val="none" w:sz="0" w:space="0" w:color="auto"/>
        <w:bottom w:val="none" w:sz="0" w:space="0" w:color="auto"/>
        <w:right w:val="none" w:sz="0" w:space="0" w:color="auto"/>
      </w:divBdr>
    </w:div>
    <w:div w:id="358">
      <w:marLeft w:val="0"/>
      <w:marRight w:val="0"/>
      <w:marTop w:val="0"/>
      <w:marBottom w:val="0"/>
      <w:divBdr>
        <w:top w:val="none" w:sz="0" w:space="0" w:color="auto"/>
        <w:left w:val="none" w:sz="0" w:space="0" w:color="auto"/>
        <w:bottom w:val="none" w:sz="0" w:space="0" w:color="auto"/>
        <w:right w:val="none" w:sz="0" w:space="0" w:color="auto"/>
      </w:divBdr>
    </w:div>
    <w:div w:id="359">
      <w:marLeft w:val="0"/>
      <w:marRight w:val="0"/>
      <w:marTop w:val="0"/>
      <w:marBottom w:val="0"/>
      <w:divBdr>
        <w:top w:val="none" w:sz="0" w:space="0" w:color="auto"/>
        <w:left w:val="none" w:sz="0" w:space="0" w:color="auto"/>
        <w:bottom w:val="none" w:sz="0" w:space="0" w:color="auto"/>
        <w:right w:val="none" w:sz="0" w:space="0" w:color="auto"/>
      </w:divBdr>
    </w:div>
    <w:div w:id="360">
      <w:marLeft w:val="0"/>
      <w:marRight w:val="0"/>
      <w:marTop w:val="0"/>
      <w:marBottom w:val="0"/>
      <w:divBdr>
        <w:top w:val="none" w:sz="0" w:space="0" w:color="auto"/>
        <w:left w:val="none" w:sz="0" w:space="0" w:color="auto"/>
        <w:bottom w:val="none" w:sz="0" w:space="0" w:color="auto"/>
        <w:right w:val="none" w:sz="0" w:space="0" w:color="auto"/>
      </w:divBdr>
    </w:div>
    <w:div w:id="361">
      <w:marLeft w:val="0"/>
      <w:marRight w:val="0"/>
      <w:marTop w:val="0"/>
      <w:marBottom w:val="0"/>
      <w:divBdr>
        <w:top w:val="none" w:sz="0" w:space="0" w:color="auto"/>
        <w:left w:val="none" w:sz="0" w:space="0" w:color="auto"/>
        <w:bottom w:val="none" w:sz="0" w:space="0" w:color="auto"/>
        <w:right w:val="none" w:sz="0" w:space="0" w:color="auto"/>
      </w:divBdr>
    </w:div>
    <w:div w:id="362">
      <w:marLeft w:val="0"/>
      <w:marRight w:val="0"/>
      <w:marTop w:val="0"/>
      <w:marBottom w:val="0"/>
      <w:divBdr>
        <w:top w:val="none" w:sz="0" w:space="0" w:color="auto"/>
        <w:left w:val="none" w:sz="0" w:space="0" w:color="auto"/>
        <w:bottom w:val="none" w:sz="0" w:space="0" w:color="auto"/>
        <w:right w:val="none" w:sz="0" w:space="0" w:color="auto"/>
      </w:divBdr>
    </w:div>
    <w:div w:id="363">
      <w:marLeft w:val="0"/>
      <w:marRight w:val="0"/>
      <w:marTop w:val="0"/>
      <w:marBottom w:val="0"/>
      <w:divBdr>
        <w:top w:val="none" w:sz="0" w:space="0" w:color="auto"/>
        <w:left w:val="none" w:sz="0" w:space="0" w:color="auto"/>
        <w:bottom w:val="none" w:sz="0" w:space="0" w:color="auto"/>
        <w:right w:val="none" w:sz="0" w:space="0" w:color="auto"/>
      </w:divBdr>
    </w:div>
    <w:div w:id="364">
      <w:marLeft w:val="0"/>
      <w:marRight w:val="0"/>
      <w:marTop w:val="0"/>
      <w:marBottom w:val="0"/>
      <w:divBdr>
        <w:top w:val="none" w:sz="0" w:space="0" w:color="auto"/>
        <w:left w:val="none" w:sz="0" w:space="0" w:color="auto"/>
        <w:bottom w:val="none" w:sz="0" w:space="0" w:color="auto"/>
        <w:right w:val="none" w:sz="0" w:space="0" w:color="auto"/>
      </w:divBdr>
    </w:div>
    <w:div w:id="365">
      <w:marLeft w:val="0"/>
      <w:marRight w:val="0"/>
      <w:marTop w:val="0"/>
      <w:marBottom w:val="0"/>
      <w:divBdr>
        <w:top w:val="none" w:sz="0" w:space="0" w:color="auto"/>
        <w:left w:val="none" w:sz="0" w:space="0" w:color="auto"/>
        <w:bottom w:val="none" w:sz="0" w:space="0" w:color="auto"/>
        <w:right w:val="none" w:sz="0" w:space="0" w:color="auto"/>
      </w:divBdr>
    </w:div>
    <w:div w:id="366">
      <w:marLeft w:val="0"/>
      <w:marRight w:val="0"/>
      <w:marTop w:val="0"/>
      <w:marBottom w:val="0"/>
      <w:divBdr>
        <w:top w:val="none" w:sz="0" w:space="0" w:color="auto"/>
        <w:left w:val="none" w:sz="0" w:space="0" w:color="auto"/>
        <w:bottom w:val="none" w:sz="0" w:space="0" w:color="auto"/>
        <w:right w:val="none" w:sz="0" w:space="0" w:color="auto"/>
      </w:divBdr>
    </w:div>
    <w:div w:id="367">
      <w:marLeft w:val="0"/>
      <w:marRight w:val="0"/>
      <w:marTop w:val="0"/>
      <w:marBottom w:val="0"/>
      <w:divBdr>
        <w:top w:val="none" w:sz="0" w:space="0" w:color="auto"/>
        <w:left w:val="none" w:sz="0" w:space="0" w:color="auto"/>
        <w:bottom w:val="none" w:sz="0" w:space="0" w:color="auto"/>
        <w:right w:val="none" w:sz="0" w:space="0" w:color="auto"/>
      </w:divBdr>
    </w:div>
    <w:div w:id="368">
      <w:marLeft w:val="0"/>
      <w:marRight w:val="0"/>
      <w:marTop w:val="0"/>
      <w:marBottom w:val="0"/>
      <w:divBdr>
        <w:top w:val="none" w:sz="0" w:space="0" w:color="auto"/>
        <w:left w:val="none" w:sz="0" w:space="0" w:color="auto"/>
        <w:bottom w:val="none" w:sz="0" w:space="0" w:color="auto"/>
        <w:right w:val="none" w:sz="0" w:space="0" w:color="auto"/>
      </w:divBdr>
    </w:div>
    <w:div w:id="369">
      <w:marLeft w:val="0"/>
      <w:marRight w:val="0"/>
      <w:marTop w:val="0"/>
      <w:marBottom w:val="0"/>
      <w:divBdr>
        <w:top w:val="none" w:sz="0" w:space="0" w:color="auto"/>
        <w:left w:val="none" w:sz="0" w:space="0" w:color="auto"/>
        <w:bottom w:val="none" w:sz="0" w:space="0" w:color="auto"/>
        <w:right w:val="none" w:sz="0" w:space="0" w:color="auto"/>
      </w:divBdr>
    </w:div>
    <w:div w:id="370">
      <w:marLeft w:val="0"/>
      <w:marRight w:val="0"/>
      <w:marTop w:val="0"/>
      <w:marBottom w:val="0"/>
      <w:divBdr>
        <w:top w:val="none" w:sz="0" w:space="0" w:color="auto"/>
        <w:left w:val="none" w:sz="0" w:space="0" w:color="auto"/>
        <w:bottom w:val="none" w:sz="0" w:space="0" w:color="auto"/>
        <w:right w:val="none" w:sz="0" w:space="0" w:color="auto"/>
      </w:divBdr>
    </w:div>
    <w:div w:id="371">
      <w:marLeft w:val="0"/>
      <w:marRight w:val="0"/>
      <w:marTop w:val="0"/>
      <w:marBottom w:val="0"/>
      <w:divBdr>
        <w:top w:val="none" w:sz="0" w:space="0" w:color="auto"/>
        <w:left w:val="none" w:sz="0" w:space="0" w:color="auto"/>
        <w:bottom w:val="none" w:sz="0" w:space="0" w:color="auto"/>
        <w:right w:val="none" w:sz="0" w:space="0" w:color="auto"/>
      </w:divBdr>
    </w:div>
    <w:div w:id="372">
      <w:marLeft w:val="0"/>
      <w:marRight w:val="0"/>
      <w:marTop w:val="0"/>
      <w:marBottom w:val="0"/>
      <w:divBdr>
        <w:top w:val="none" w:sz="0" w:space="0" w:color="auto"/>
        <w:left w:val="none" w:sz="0" w:space="0" w:color="auto"/>
        <w:bottom w:val="none" w:sz="0" w:space="0" w:color="auto"/>
        <w:right w:val="none" w:sz="0" w:space="0" w:color="auto"/>
      </w:divBdr>
    </w:div>
    <w:div w:id="373">
      <w:marLeft w:val="0"/>
      <w:marRight w:val="0"/>
      <w:marTop w:val="0"/>
      <w:marBottom w:val="0"/>
      <w:divBdr>
        <w:top w:val="none" w:sz="0" w:space="0" w:color="auto"/>
        <w:left w:val="none" w:sz="0" w:space="0" w:color="auto"/>
        <w:bottom w:val="none" w:sz="0" w:space="0" w:color="auto"/>
        <w:right w:val="none" w:sz="0" w:space="0" w:color="auto"/>
      </w:divBdr>
    </w:div>
    <w:div w:id="374">
      <w:marLeft w:val="0"/>
      <w:marRight w:val="0"/>
      <w:marTop w:val="0"/>
      <w:marBottom w:val="0"/>
      <w:divBdr>
        <w:top w:val="none" w:sz="0" w:space="0" w:color="auto"/>
        <w:left w:val="none" w:sz="0" w:space="0" w:color="auto"/>
        <w:bottom w:val="none" w:sz="0" w:space="0" w:color="auto"/>
        <w:right w:val="none" w:sz="0" w:space="0" w:color="auto"/>
      </w:divBdr>
    </w:div>
    <w:div w:id="375">
      <w:marLeft w:val="0"/>
      <w:marRight w:val="0"/>
      <w:marTop w:val="0"/>
      <w:marBottom w:val="0"/>
      <w:divBdr>
        <w:top w:val="none" w:sz="0" w:space="0" w:color="auto"/>
        <w:left w:val="none" w:sz="0" w:space="0" w:color="auto"/>
        <w:bottom w:val="none" w:sz="0" w:space="0" w:color="auto"/>
        <w:right w:val="none" w:sz="0" w:space="0" w:color="auto"/>
      </w:divBdr>
    </w:div>
    <w:div w:id="376">
      <w:marLeft w:val="0"/>
      <w:marRight w:val="0"/>
      <w:marTop w:val="0"/>
      <w:marBottom w:val="0"/>
      <w:divBdr>
        <w:top w:val="none" w:sz="0" w:space="0" w:color="auto"/>
        <w:left w:val="none" w:sz="0" w:space="0" w:color="auto"/>
        <w:bottom w:val="none" w:sz="0" w:space="0" w:color="auto"/>
        <w:right w:val="none" w:sz="0" w:space="0" w:color="auto"/>
      </w:divBdr>
    </w:div>
    <w:div w:id="377">
      <w:marLeft w:val="0"/>
      <w:marRight w:val="0"/>
      <w:marTop w:val="0"/>
      <w:marBottom w:val="0"/>
      <w:divBdr>
        <w:top w:val="none" w:sz="0" w:space="0" w:color="auto"/>
        <w:left w:val="none" w:sz="0" w:space="0" w:color="auto"/>
        <w:bottom w:val="none" w:sz="0" w:space="0" w:color="auto"/>
        <w:right w:val="none" w:sz="0" w:space="0" w:color="auto"/>
      </w:divBdr>
    </w:div>
    <w:div w:id="378">
      <w:marLeft w:val="0"/>
      <w:marRight w:val="0"/>
      <w:marTop w:val="0"/>
      <w:marBottom w:val="0"/>
      <w:divBdr>
        <w:top w:val="none" w:sz="0" w:space="0" w:color="auto"/>
        <w:left w:val="none" w:sz="0" w:space="0" w:color="auto"/>
        <w:bottom w:val="none" w:sz="0" w:space="0" w:color="auto"/>
        <w:right w:val="none" w:sz="0" w:space="0" w:color="auto"/>
      </w:divBdr>
    </w:div>
    <w:div w:id="379">
      <w:marLeft w:val="0"/>
      <w:marRight w:val="0"/>
      <w:marTop w:val="0"/>
      <w:marBottom w:val="0"/>
      <w:divBdr>
        <w:top w:val="none" w:sz="0" w:space="0" w:color="auto"/>
        <w:left w:val="none" w:sz="0" w:space="0" w:color="auto"/>
        <w:bottom w:val="none" w:sz="0" w:space="0" w:color="auto"/>
        <w:right w:val="none" w:sz="0" w:space="0" w:color="auto"/>
      </w:divBdr>
    </w:div>
    <w:div w:id="380">
      <w:marLeft w:val="0"/>
      <w:marRight w:val="0"/>
      <w:marTop w:val="0"/>
      <w:marBottom w:val="0"/>
      <w:divBdr>
        <w:top w:val="none" w:sz="0" w:space="0" w:color="auto"/>
        <w:left w:val="none" w:sz="0" w:space="0" w:color="auto"/>
        <w:bottom w:val="none" w:sz="0" w:space="0" w:color="auto"/>
        <w:right w:val="none" w:sz="0" w:space="0" w:color="auto"/>
      </w:divBdr>
    </w:div>
    <w:div w:id="381">
      <w:marLeft w:val="0"/>
      <w:marRight w:val="0"/>
      <w:marTop w:val="0"/>
      <w:marBottom w:val="0"/>
      <w:divBdr>
        <w:top w:val="none" w:sz="0" w:space="0" w:color="auto"/>
        <w:left w:val="none" w:sz="0" w:space="0" w:color="auto"/>
        <w:bottom w:val="none" w:sz="0" w:space="0" w:color="auto"/>
        <w:right w:val="none" w:sz="0" w:space="0" w:color="auto"/>
      </w:divBdr>
    </w:div>
    <w:div w:id="382">
      <w:marLeft w:val="0"/>
      <w:marRight w:val="0"/>
      <w:marTop w:val="0"/>
      <w:marBottom w:val="0"/>
      <w:divBdr>
        <w:top w:val="none" w:sz="0" w:space="0" w:color="auto"/>
        <w:left w:val="none" w:sz="0" w:space="0" w:color="auto"/>
        <w:bottom w:val="none" w:sz="0" w:space="0" w:color="auto"/>
        <w:right w:val="none" w:sz="0" w:space="0" w:color="auto"/>
      </w:divBdr>
    </w:div>
    <w:div w:id="383">
      <w:marLeft w:val="0"/>
      <w:marRight w:val="0"/>
      <w:marTop w:val="0"/>
      <w:marBottom w:val="0"/>
      <w:divBdr>
        <w:top w:val="none" w:sz="0" w:space="0" w:color="auto"/>
        <w:left w:val="none" w:sz="0" w:space="0" w:color="auto"/>
        <w:bottom w:val="none" w:sz="0" w:space="0" w:color="auto"/>
        <w:right w:val="none" w:sz="0" w:space="0" w:color="auto"/>
      </w:divBdr>
    </w:div>
    <w:div w:id="384">
      <w:marLeft w:val="0"/>
      <w:marRight w:val="0"/>
      <w:marTop w:val="0"/>
      <w:marBottom w:val="0"/>
      <w:divBdr>
        <w:top w:val="none" w:sz="0" w:space="0" w:color="auto"/>
        <w:left w:val="none" w:sz="0" w:space="0" w:color="auto"/>
        <w:bottom w:val="none" w:sz="0" w:space="0" w:color="auto"/>
        <w:right w:val="none" w:sz="0" w:space="0" w:color="auto"/>
      </w:divBdr>
    </w:div>
    <w:div w:id="385">
      <w:marLeft w:val="0"/>
      <w:marRight w:val="0"/>
      <w:marTop w:val="0"/>
      <w:marBottom w:val="0"/>
      <w:divBdr>
        <w:top w:val="none" w:sz="0" w:space="0" w:color="auto"/>
        <w:left w:val="none" w:sz="0" w:space="0" w:color="auto"/>
        <w:bottom w:val="none" w:sz="0" w:space="0" w:color="auto"/>
        <w:right w:val="none" w:sz="0" w:space="0" w:color="auto"/>
      </w:divBdr>
    </w:div>
    <w:div w:id="386">
      <w:marLeft w:val="0"/>
      <w:marRight w:val="0"/>
      <w:marTop w:val="0"/>
      <w:marBottom w:val="0"/>
      <w:divBdr>
        <w:top w:val="none" w:sz="0" w:space="0" w:color="auto"/>
        <w:left w:val="none" w:sz="0" w:space="0" w:color="auto"/>
        <w:bottom w:val="none" w:sz="0" w:space="0" w:color="auto"/>
        <w:right w:val="none" w:sz="0" w:space="0" w:color="auto"/>
      </w:divBdr>
    </w:div>
    <w:div w:id="387">
      <w:marLeft w:val="0"/>
      <w:marRight w:val="0"/>
      <w:marTop w:val="0"/>
      <w:marBottom w:val="0"/>
      <w:divBdr>
        <w:top w:val="none" w:sz="0" w:space="0" w:color="auto"/>
        <w:left w:val="none" w:sz="0" w:space="0" w:color="auto"/>
        <w:bottom w:val="none" w:sz="0" w:space="0" w:color="auto"/>
        <w:right w:val="none" w:sz="0" w:space="0" w:color="auto"/>
      </w:divBdr>
    </w:div>
    <w:div w:id="388">
      <w:marLeft w:val="0"/>
      <w:marRight w:val="0"/>
      <w:marTop w:val="0"/>
      <w:marBottom w:val="0"/>
      <w:divBdr>
        <w:top w:val="none" w:sz="0" w:space="0" w:color="auto"/>
        <w:left w:val="none" w:sz="0" w:space="0" w:color="auto"/>
        <w:bottom w:val="none" w:sz="0" w:space="0" w:color="auto"/>
        <w:right w:val="none" w:sz="0" w:space="0" w:color="auto"/>
      </w:divBdr>
    </w:div>
    <w:div w:id="389">
      <w:marLeft w:val="0"/>
      <w:marRight w:val="0"/>
      <w:marTop w:val="0"/>
      <w:marBottom w:val="0"/>
      <w:divBdr>
        <w:top w:val="none" w:sz="0" w:space="0" w:color="auto"/>
        <w:left w:val="none" w:sz="0" w:space="0" w:color="auto"/>
        <w:bottom w:val="none" w:sz="0" w:space="0" w:color="auto"/>
        <w:right w:val="none" w:sz="0" w:space="0" w:color="auto"/>
      </w:divBdr>
    </w:div>
    <w:div w:id="390">
      <w:marLeft w:val="0"/>
      <w:marRight w:val="0"/>
      <w:marTop w:val="0"/>
      <w:marBottom w:val="0"/>
      <w:divBdr>
        <w:top w:val="none" w:sz="0" w:space="0" w:color="auto"/>
        <w:left w:val="none" w:sz="0" w:space="0" w:color="auto"/>
        <w:bottom w:val="none" w:sz="0" w:space="0" w:color="auto"/>
        <w:right w:val="none" w:sz="0" w:space="0" w:color="auto"/>
      </w:divBdr>
    </w:div>
    <w:div w:id="391">
      <w:marLeft w:val="0"/>
      <w:marRight w:val="0"/>
      <w:marTop w:val="0"/>
      <w:marBottom w:val="0"/>
      <w:divBdr>
        <w:top w:val="none" w:sz="0" w:space="0" w:color="auto"/>
        <w:left w:val="none" w:sz="0" w:space="0" w:color="auto"/>
        <w:bottom w:val="none" w:sz="0" w:space="0" w:color="auto"/>
        <w:right w:val="none" w:sz="0" w:space="0" w:color="auto"/>
      </w:divBdr>
    </w:div>
    <w:div w:id="392">
      <w:marLeft w:val="0"/>
      <w:marRight w:val="0"/>
      <w:marTop w:val="0"/>
      <w:marBottom w:val="0"/>
      <w:divBdr>
        <w:top w:val="none" w:sz="0" w:space="0" w:color="auto"/>
        <w:left w:val="none" w:sz="0" w:space="0" w:color="auto"/>
        <w:bottom w:val="none" w:sz="0" w:space="0" w:color="auto"/>
        <w:right w:val="none" w:sz="0" w:space="0" w:color="auto"/>
      </w:divBdr>
    </w:div>
    <w:div w:id="393">
      <w:marLeft w:val="0"/>
      <w:marRight w:val="0"/>
      <w:marTop w:val="0"/>
      <w:marBottom w:val="0"/>
      <w:divBdr>
        <w:top w:val="none" w:sz="0" w:space="0" w:color="auto"/>
        <w:left w:val="none" w:sz="0" w:space="0" w:color="auto"/>
        <w:bottom w:val="none" w:sz="0" w:space="0" w:color="auto"/>
        <w:right w:val="none" w:sz="0" w:space="0" w:color="auto"/>
      </w:divBdr>
    </w:div>
    <w:div w:id="394">
      <w:marLeft w:val="0"/>
      <w:marRight w:val="0"/>
      <w:marTop w:val="0"/>
      <w:marBottom w:val="0"/>
      <w:divBdr>
        <w:top w:val="none" w:sz="0" w:space="0" w:color="auto"/>
        <w:left w:val="none" w:sz="0" w:space="0" w:color="auto"/>
        <w:bottom w:val="none" w:sz="0" w:space="0" w:color="auto"/>
        <w:right w:val="none" w:sz="0" w:space="0" w:color="auto"/>
      </w:divBdr>
    </w:div>
    <w:div w:id="395">
      <w:marLeft w:val="0"/>
      <w:marRight w:val="0"/>
      <w:marTop w:val="0"/>
      <w:marBottom w:val="0"/>
      <w:divBdr>
        <w:top w:val="none" w:sz="0" w:space="0" w:color="auto"/>
        <w:left w:val="none" w:sz="0" w:space="0" w:color="auto"/>
        <w:bottom w:val="none" w:sz="0" w:space="0" w:color="auto"/>
        <w:right w:val="none" w:sz="0" w:space="0" w:color="auto"/>
      </w:divBdr>
    </w:div>
    <w:div w:id="396">
      <w:marLeft w:val="0"/>
      <w:marRight w:val="0"/>
      <w:marTop w:val="0"/>
      <w:marBottom w:val="0"/>
      <w:divBdr>
        <w:top w:val="none" w:sz="0" w:space="0" w:color="auto"/>
        <w:left w:val="none" w:sz="0" w:space="0" w:color="auto"/>
        <w:bottom w:val="none" w:sz="0" w:space="0" w:color="auto"/>
        <w:right w:val="none" w:sz="0" w:space="0" w:color="auto"/>
      </w:divBdr>
    </w:div>
    <w:div w:id="397">
      <w:marLeft w:val="0"/>
      <w:marRight w:val="0"/>
      <w:marTop w:val="0"/>
      <w:marBottom w:val="0"/>
      <w:divBdr>
        <w:top w:val="none" w:sz="0" w:space="0" w:color="auto"/>
        <w:left w:val="none" w:sz="0" w:space="0" w:color="auto"/>
        <w:bottom w:val="none" w:sz="0" w:space="0" w:color="auto"/>
        <w:right w:val="none" w:sz="0" w:space="0" w:color="auto"/>
      </w:divBdr>
    </w:div>
    <w:div w:id="398">
      <w:marLeft w:val="0"/>
      <w:marRight w:val="0"/>
      <w:marTop w:val="0"/>
      <w:marBottom w:val="0"/>
      <w:divBdr>
        <w:top w:val="none" w:sz="0" w:space="0" w:color="auto"/>
        <w:left w:val="none" w:sz="0" w:space="0" w:color="auto"/>
        <w:bottom w:val="none" w:sz="0" w:space="0" w:color="auto"/>
        <w:right w:val="none" w:sz="0" w:space="0" w:color="auto"/>
      </w:divBdr>
    </w:div>
    <w:div w:id="399">
      <w:marLeft w:val="0"/>
      <w:marRight w:val="0"/>
      <w:marTop w:val="0"/>
      <w:marBottom w:val="0"/>
      <w:divBdr>
        <w:top w:val="none" w:sz="0" w:space="0" w:color="auto"/>
        <w:left w:val="none" w:sz="0" w:space="0" w:color="auto"/>
        <w:bottom w:val="none" w:sz="0" w:space="0" w:color="auto"/>
        <w:right w:val="none" w:sz="0" w:space="0" w:color="auto"/>
      </w:divBdr>
    </w:div>
    <w:div w:id="400">
      <w:marLeft w:val="0"/>
      <w:marRight w:val="0"/>
      <w:marTop w:val="0"/>
      <w:marBottom w:val="0"/>
      <w:divBdr>
        <w:top w:val="none" w:sz="0" w:space="0" w:color="auto"/>
        <w:left w:val="none" w:sz="0" w:space="0" w:color="auto"/>
        <w:bottom w:val="none" w:sz="0" w:space="0" w:color="auto"/>
        <w:right w:val="none" w:sz="0" w:space="0" w:color="auto"/>
      </w:divBdr>
    </w:div>
    <w:div w:id="401">
      <w:marLeft w:val="0"/>
      <w:marRight w:val="0"/>
      <w:marTop w:val="0"/>
      <w:marBottom w:val="0"/>
      <w:divBdr>
        <w:top w:val="none" w:sz="0" w:space="0" w:color="auto"/>
        <w:left w:val="none" w:sz="0" w:space="0" w:color="auto"/>
        <w:bottom w:val="none" w:sz="0" w:space="0" w:color="auto"/>
        <w:right w:val="none" w:sz="0" w:space="0" w:color="auto"/>
      </w:divBdr>
    </w:div>
    <w:div w:id="402">
      <w:marLeft w:val="0"/>
      <w:marRight w:val="0"/>
      <w:marTop w:val="0"/>
      <w:marBottom w:val="0"/>
      <w:divBdr>
        <w:top w:val="none" w:sz="0" w:space="0" w:color="auto"/>
        <w:left w:val="none" w:sz="0" w:space="0" w:color="auto"/>
        <w:bottom w:val="none" w:sz="0" w:space="0" w:color="auto"/>
        <w:right w:val="none" w:sz="0" w:space="0" w:color="auto"/>
      </w:divBdr>
    </w:div>
    <w:div w:id="403">
      <w:marLeft w:val="0"/>
      <w:marRight w:val="0"/>
      <w:marTop w:val="0"/>
      <w:marBottom w:val="0"/>
      <w:divBdr>
        <w:top w:val="none" w:sz="0" w:space="0" w:color="auto"/>
        <w:left w:val="none" w:sz="0" w:space="0" w:color="auto"/>
        <w:bottom w:val="none" w:sz="0" w:space="0" w:color="auto"/>
        <w:right w:val="none" w:sz="0" w:space="0" w:color="auto"/>
      </w:divBdr>
    </w:div>
    <w:div w:id="404">
      <w:marLeft w:val="0"/>
      <w:marRight w:val="0"/>
      <w:marTop w:val="0"/>
      <w:marBottom w:val="0"/>
      <w:divBdr>
        <w:top w:val="none" w:sz="0" w:space="0" w:color="auto"/>
        <w:left w:val="none" w:sz="0" w:space="0" w:color="auto"/>
        <w:bottom w:val="none" w:sz="0" w:space="0" w:color="auto"/>
        <w:right w:val="none" w:sz="0" w:space="0" w:color="auto"/>
      </w:divBdr>
    </w:div>
    <w:div w:id="405">
      <w:marLeft w:val="0"/>
      <w:marRight w:val="0"/>
      <w:marTop w:val="0"/>
      <w:marBottom w:val="0"/>
      <w:divBdr>
        <w:top w:val="none" w:sz="0" w:space="0" w:color="auto"/>
        <w:left w:val="none" w:sz="0" w:space="0" w:color="auto"/>
        <w:bottom w:val="none" w:sz="0" w:space="0" w:color="auto"/>
        <w:right w:val="none" w:sz="0" w:space="0" w:color="auto"/>
      </w:divBdr>
    </w:div>
    <w:div w:id="406">
      <w:marLeft w:val="0"/>
      <w:marRight w:val="0"/>
      <w:marTop w:val="0"/>
      <w:marBottom w:val="0"/>
      <w:divBdr>
        <w:top w:val="none" w:sz="0" w:space="0" w:color="auto"/>
        <w:left w:val="none" w:sz="0" w:space="0" w:color="auto"/>
        <w:bottom w:val="none" w:sz="0" w:space="0" w:color="auto"/>
        <w:right w:val="none" w:sz="0" w:space="0" w:color="auto"/>
      </w:divBdr>
    </w:div>
    <w:div w:id="407">
      <w:marLeft w:val="0"/>
      <w:marRight w:val="0"/>
      <w:marTop w:val="0"/>
      <w:marBottom w:val="0"/>
      <w:divBdr>
        <w:top w:val="none" w:sz="0" w:space="0" w:color="auto"/>
        <w:left w:val="none" w:sz="0" w:space="0" w:color="auto"/>
        <w:bottom w:val="none" w:sz="0" w:space="0" w:color="auto"/>
        <w:right w:val="none" w:sz="0" w:space="0" w:color="auto"/>
      </w:divBdr>
    </w:div>
    <w:div w:id="408">
      <w:marLeft w:val="0"/>
      <w:marRight w:val="0"/>
      <w:marTop w:val="0"/>
      <w:marBottom w:val="0"/>
      <w:divBdr>
        <w:top w:val="none" w:sz="0" w:space="0" w:color="auto"/>
        <w:left w:val="none" w:sz="0" w:space="0" w:color="auto"/>
        <w:bottom w:val="none" w:sz="0" w:space="0" w:color="auto"/>
        <w:right w:val="none" w:sz="0" w:space="0" w:color="auto"/>
      </w:divBdr>
    </w:div>
    <w:div w:id="409">
      <w:marLeft w:val="0"/>
      <w:marRight w:val="0"/>
      <w:marTop w:val="0"/>
      <w:marBottom w:val="0"/>
      <w:divBdr>
        <w:top w:val="none" w:sz="0" w:space="0" w:color="auto"/>
        <w:left w:val="none" w:sz="0" w:space="0" w:color="auto"/>
        <w:bottom w:val="none" w:sz="0" w:space="0" w:color="auto"/>
        <w:right w:val="none" w:sz="0" w:space="0" w:color="auto"/>
      </w:divBdr>
    </w:div>
    <w:div w:id="410">
      <w:marLeft w:val="0"/>
      <w:marRight w:val="0"/>
      <w:marTop w:val="0"/>
      <w:marBottom w:val="0"/>
      <w:divBdr>
        <w:top w:val="none" w:sz="0" w:space="0" w:color="auto"/>
        <w:left w:val="none" w:sz="0" w:space="0" w:color="auto"/>
        <w:bottom w:val="none" w:sz="0" w:space="0" w:color="auto"/>
        <w:right w:val="none" w:sz="0" w:space="0" w:color="auto"/>
      </w:divBdr>
    </w:div>
    <w:div w:id="2981307">
      <w:bodyDiv w:val="1"/>
      <w:marLeft w:val="0"/>
      <w:marRight w:val="0"/>
      <w:marTop w:val="0"/>
      <w:marBottom w:val="0"/>
      <w:divBdr>
        <w:top w:val="none" w:sz="0" w:space="0" w:color="auto"/>
        <w:left w:val="none" w:sz="0" w:space="0" w:color="auto"/>
        <w:bottom w:val="none" w:sz="0" w:space="0" w:color="auto"/>
        <w:right w:val="none" w:sz="0" w:space="0" w:color="auto"/>
      </w:divBdr>
    </w:div>
    <w:div w:id="3676593">
      <w:bodyDiv w:val="1"/>
      <w:marLeft w:val="0"/>
      <w:marRight w:val="0"/>
      <w:marTop w:val="0"/>
      <w:marBottom w:val="0"/>
      <w:divBdr>
        <w:top w:val="none" w:sz="0" w:space="0" w:color="auto"/>
        <w:left w:val="none" w:sz="0" w:space="0" w:color="auto"/>
        <w:bottom w:val="none" w:sz="0" w:space="0" w:color="auto"/>
        <w:right w:val="none" w:sz="0" w:space="0" w:color="auto"/>
      </w:divBdr>
    </w:div>
    <w:div w:id="11301858">
      <w:bodyDiv w:val="1"/>
      <w:marLeft w:val="0"/>
      <w:marRight w:val="0"/>
      <w:marTop w:val="0"/>
      <w:marBottom w:val="0"/>
      <w:divBdr>
        <w:top w:val="none" w:sz="0" w:space="0" w:color="auto"/>
        <w:left w:val="none" w:sz="0" w:space="0" w:color="auto"/>
        <w:bottom w:val="none" w:sz="0" w:space="0" w:color="auto"/>
        <w:right w:val="none" w:sz="0" w:space="0" w:color="auto"/>
      </w:divBdr>
    </w:div>
    <w:div w:id="13532444">
      <w:bodyDiv w:val="1"/>
      <w:marLeft w:val="0"/>
      <w:marRight w:val="0"/>
      <w:marTop w:val="0"/>
      <w:marBottom w:val="0"/>
      <w:divBdr>
        <w:top w:val="none" w:sz="0" w:space="0" w:color="auto"/>
        <w:left w:val="none" w:sz="0" w:space="0" w:color="auto"/>
        <w:bottom w:val="none" w:sz="0" w:space="0" w:color="auto"/>
        <w:right w:val="none" w:sz="0" w:space="0" w:color="auto"/>
      </w:divBdr>
    </w:div>
    <w:div w:id="14818457">
      <w:bodyDiv w:val="1"/>
      <w:marLeft w:val="0"/>
      <w:marRight w:val="0"/>
      <w:marTop w:val="0"/>
      <w:marBottom w:val="0"/>
      <w:divBdr>
        <w:top w:val="none" w:sz="0" w:space="0" w:color="auto"/>
        <w:left w:val="none" w:sz="0" w:space="0" w:color="auto"/>
        <w:bottom w:val="none" w:sz="0" w:space="0" w:color="auto"/>
        <w:right w:val="none" w:sz="0" w:space="0" w:color="auto"/>
      </w:divBdr>
    </w:div>
    <w:div w:id="23139081">
      <w:bodyDiv w:val="1"/>
      <w:marLeft w:val="0"/>
      <w:marRight w:val="0"/>
      <w:marTop w:val="0"/>
      <w:marBottom w:val="0"/>
      <w:divBdr>
        <w:top w:val="none" w:sz="0" w:space="0" w:color="auto"/>
        <w:left w:val="none" w:sz="0" w:space="0" w:color="auto"/>
        <w:bottom w:val="none" w:sz="0" w:space="0" w:color="auto"/>
        <w:right w:val="none" w:sz="0" w:space="0" w:color="auto"/>
      </w:divBdr>
    </w:div>
    <w:div w:id="30769134">
      <w:bodyDiv w:val="1"/>
      <w:marLeft w:val="0"/>
      <w:marRight w:val="0"/>
      <w:marTop w:val="0"/>
      <w:marBottom w:val="0"/>
      <w:divBdr>
        <w:top w:val="none" w:sz="0" w:space="0" w:color="auto"/>
        <w:left w:val="none" w:sz="0" w:space="0" w:color="auto"/>
        <w:bottom w:val="none" w:sz="0" w:space="0" w:color="auto"/>
        <w:right w:val="none" w:sz="0" w:space="0" w:color="auto"/>
      </w:divBdr>
    </w:div>
    <w:div w:id="30883508">
      <w:bodyDiv w:val="1"/>
      <w:marLeft w:val="0"/>
      <w:marRight w:val="0"/>
      <w:marTop w:val="0"/>
      <w:marBottom w:val="0"/>
      <w:divBdr>
        <w:top w:val="none" w:sz="0" w:space="0" w:color="auto"/>
        <w:left w:val="none" w:sz="0" w:space="0" w:color="auto"/>
        <w:bottom w:val="none" w:sz="0" w:space="0" w:color="auto"/>
        <w:right w:val="none" w:sz="0" w:space="0" w:color="auto"/>
      </w:divBdr>
    </w:div>
    <w:div w:id="31660682">
      <w:bodyDiv w:val="1"/>
      <w:marLeft w:val="0"/>
      <w:marRight w:val="0"/>
      <w:marTop w:val="0"/>
      <w:marBottom w:val="0"/>
      <w:divBdr>
        <w:top w:val="none" w:sz="0" w:space="0" w:color="auto"/>
        <w:left w:val="none" w:sz="0" w:space="0" w:color="auto"/>
        <w:bottom w:val="none" w:sz="0" w:space="0" w:color="auto"/>
        <w:right w:val="none" w:sz="0" w:space="0" w:color="auto"/>
      </w:divBdr>
    </w:div>
    <w:div w:id="32922681">
      <w:bodyDiv w:val="1"/>
      <w:marLeft w:val="0"/>
      <w:marRight w:val="0"/>
      <w:marTop w:val="0"/>
      <w:marBottom w:val="0"/>
      <w:divBdr>
        <w:top w:val="none" w:sz="0" w:space="0" w:color="auto"/>
        <w:left w:val="none" w:sz="0" w:space="0" w:color="auto"/>
        <w:bottom w:val="none" w:sz="0" w:space="0" w:color="auto"/>
        <w:right w:val="none" w:sz="0" w:space="0" w:color="auto"/>
      </w:divBdr>
    </w:div>
    <w:div w:id="32929523">
      <w:bodyDiv w:val="1"/>
      <w:marLeft w:val="0"/>
      <w:marRight w:val="0"/>
      <w:marTop w:val="0"/>
      <w:marBottom w:val="0"/>
      <w:divBdr>
        <w:top w:val="none" w:sz="0" w:space="0" w:color="auto"/>
        <w:left w:val="none" w:sz="0" w:space="0" w:color="auto"/>
        <w:bottom w:val="none" w:sz="0" w:space="0" w:color="auto"/>
        <w:right w:val="none" w:sz="0" w:space="0" w:color="auto"/>
      </w:divBdr>
    </w:div>
    <w:div w:id="33041245">
      <w:bodyDiv w:val="1"/>
      <w:marLeft w:val="0"/>
      <w:marRight w:val="0"/>
      <w:marTop w:val="0"/>
      <w:marBottom w:val="0"/>
      <w:divBdr>
        <w:top w:val="none" w:sz="0" w:space="0" w:color="auto"/>
        <w:left w:val="none" w:sz="0" w:space="0" w:color="auto"/>
        <w:bottom w:val="none" w:sz="0" w:space="0" w:color="auto"/>
        <w:right w:val="none" w:sz="0" w:space="0" w:color="auto"/>
      </w:divBdr>
    </w:div>
    <w:div w:id="33432040">
      <w:bodyDiv w:val="1"/>
      <w:marLeft w:val="0"/>
      <w:marRight w:val="0"/>
      <w:marTop w:val="0"/>
      <w:marBottom w:val="0"/>
      <w:divBdr>
        <w:top w:val="none" w:sz="0" w:space="0" w:color="auto"/>
        <w:left w:val="none" w:sz="0" w:space="0" w:color="auto"/>
        <w:bottom w:val="none" w:sz="0" w:space="0" w:color="auto"/>
        <w:right w:val="none" w:sz="0" w:space="0" w:color="auto"/>
      </w:divBdr>
    </w:div>
    <w:div w:id="36394533">
      <w:bodyDiv w:val="1"/>
      <w:marLeft w:val="0"/>
      <w:marRight w:val="0"/>
      <w:marTop w:val="0"/>
      <w:marBottom w:val="0"/>
      <w:divBdr>
        <w:top w:val="none" w:sz="0" w:space="0" w:color="auto"/>
        <w:left w:val="none" w:sz="0" w:space="0" w:color="auto"/>
        <w:bottom w:val="none" w:sz="0" w:space="0" w:color="auto"/>
        <w:right w:val="none" w:sz="0" w:space="0" w:color="auto"/>
      </w:divBdr>
    </w:div>
    <w:div w:id="38819746">
      <w:bodyDiv w:val="1"/>
      <w:marLeft w:val="0"/>
      <w:marRight w:val="0"/>
      <w:marTop w:val="0"/>
      <w:marBottom w:val="0"/>
      <w:divBdr>
        <w:top w:val="none" w:sz="0" w:space="0" w:color="auto"/>
        <w:left w:val="none" w:sz="0" w:space="0" w:color="auto"/>
        <w:bottom w:val="none" w:sz="0" w:space="0" w:color="auto"/>
        <w:right w:val="none" w:sz="0" w:space="0" w:color="auto"/>
      </w:divBdr>
    </w:div>
    <w:div w:id="40130397">
      <w:bodyDiv w:val="1"/>
      <w:marLeft w:val="0"/>
      <w:marRight w:val="0"/>
      <w:marTop w:val="0"/>
      <w:marBottom w:val="0"/>
      <w:divBdr>
        <w:top w:val="none" w:sz="0" w:space="0" w:color="auto"/>
        <w:left w:val="none" w:sz="0" w:space="0" w:color="auto"/>
        <w:bottom w:val="none" w:sz="0" w:space="0" w:color="auto"/>
        <w:right w:val="none" w:sz="0" w:space="0" w:color="auto"/>
      </w:divBdr>
    </w:div>
    <w:div w:id="45641816">
      <w:bodyDiv w:val="1"/>
      <w:marLeft w:val="0"/>
      <w:marRight w:val="0"/>
      <w:marTop w:val="0"/>
      <w:marBottom w:val="0"/>
      <w:divBdr>
        <w:top w:val="none" w:sz="0" w:space="0" w:color="auto"/>
        <w:left w:val="none" w:sz="0" w:space="0" w:color="auto"/>
        <w:bottom w:val="none" w:sz="0" w:space="0" w:color="auto"/>
        <w:right w:val="none" w:sz="0" w:space="0" w:color="auto"/>
      </w:divBdr>
    </w:div>
    <w:div w:id="50083725">
      <w:bodyDiv w:val="1"/>
      <w:marLeft w:val="0"/>
      <w:marRight w:val="0"/>
      <w:marTop w:val="0"/>
      <w:marBottom w:val="0"/>
      <w:divBdr>
        <w:top w:val="none" w:sz="0" w:space="0" w:color="auto"/>
        <w:left w:val="none" w:sz="0" w:space="0" w:color="auto"/>
        <w:bottom w:val="none" w:sz="0" w:space="0" w:color="auto"/>
        <w:right w:val="none" w:sz="0" w:space="0" w:color="auto"/>
      </w:divBdr>
    </w:div>
    <w:div w:id="58796600">
      <w:bodyDiv w:val="1"/>
      <w:marLeft w:val="0"/>
      <w:marRight w:val="0"/>
      <w:marTop w:val="0"/>
      <w:marBottom w:val="0"/>
      <w:divBdr>
        <w:top w:val="none" w:sz="0" w:space="0" w:color="auto"/>
        <w:left w:val="none" w:sz="0" w:space="0" w:color="auto"/>
        <w:bottom w:val="none" w:sz="0" w:space="0" w:color="auto"/>
        <w:right w:val="none" w:sz="0" w:space="0" w:color="auto"/>
      </w:divBdr>
    </w:div>
    <w:div w:id="60954548">
      <w:bodyDiv w:val="1"/>
      <w:marLeft w:val="0"/>
      <w:marRight w:val="0"/>
      <w:marTop w:val="0"/>
      <w:marBottom w:val="0"/>
      <w:divBdr>
        <w:top w:val="none" w:sz="0" w:space="0" w:color="auto"/>
        <w:left w:val="none" w:sz="0" w:space="0" w:color="auto"/>
        <w:bottom w:val="none" w:sz="0" w:space="0" w:color="auto"/>
        <w:right w:val="none" w:sz="0" w:space="0" w:color="auto"/>
      </w:divBdr>
    </w:div>
    <w:div w:id="61298939">
      <w:bodyDiv w:val="1"/>
      <w:marLeft w:val="0"/>
      <w:marRight w:val="0"/>
      <w:marTop w:val="0"/>
      <w:marBottom w:val="0"/>
      <w:divBdr>
        <w:top w:val="none" w:sz="0" w:space="0" w:color="auto"/>
        <w:left w:val="none" w:sz="0" w:space="0" w:color="auto"/>
        <w:bottom w:val="none" w:sz="0" w:space="0" w:color="auto"/>
        <w:right w:val="none" w:sz="0" w:space="0" w:color="auto"/>
      </w:divBdr>
    </w:div>
    <w:div w:id="61761452">
      <w:bodyDiv w:val="1"/>
      <w:marLeft w:val="0"/>
      <w:marRight w:val="0"/>
      <w:marTop w:val="0"/>
      <w:marBottom w:val="0"/>
      <w:divBdr>
        <w:top w:val="none" w:sz="0" w:space="0" w:color="auto"/>
        <w:left w:val="none" w:sz="0" w:space="0" w:color="auto"/>
        <w:bottom w:val="none" w:sz="0" w:space="0" w:color="auto"/>
        <w:right w:val="none" w:sz="0" w:space="0" w:color="auto"/>
      </w:divBdr>
    </w:div>
    <w:div w:id="64424899">
      <w:bodyDiv w:val="1"/>
      <w:marLeft w:val="0"/>
      <w:marRight w:val="0"/>
      <w:marTop w:val="0"/>
      <w:marBottom w:val="0"/>
      <w:divBdr>
        <w:top w:val="none" w:sz="0" w:space="0" w:color="auto"/>
        <w:left w:val="none" w:sz="0" w:space="0" w:color="auto"/>
        <w:bottom w:val="none" w:sz="0" w:space="0" w:color="auto"/>
        <w:right w:val="none" w:sz="0" w:space="0" w:color="auto"/>
      </w:divBdr>
    </w:div>
    <w:div w:id="69930134">
      <w:bodyDiv w:val="1"/>
      <w:marLeft w:val="0"/>
      <w:marRight w:val="0"/>
      <w:marTop w:val="0"/>
      <w:marBottom w:val="0"/>
      <w:divBdr>
        <w:top w:val="none" w:sz="0" w:space="0" w:color="auto"/>
        <w:left w:val="none" w:sz="0" w:space="0" w:color="auto"/>
        <w:bottom w:val="none" w:sz="0" w:space="0" w:color="auto"/>
        <w:right w:val="none" w:sz="0" w:space="0" w:color="auto"/>
      </w:divBdr>
    </w:div>
    <w:div w:id="80104722">
      <w:bodyDiv w:val="1"/>
      <w:marLeft w:val="0"/>
      <w:marRight w:val="0"/>
      <w:marTop w:val="0"/>
      <w:marBottom w:val="0"/>
      <w:divBdr>
        <w:top w:val="none" w:sz="0" w:space="0" w:color="auto"/>
        <w:left w:val="none" w:sz="0" w:space="0" w:color="auto"/>
        <w:bottom w:val="none" w:sz="0" w:space="0" w:color="auto"/>
        <w:right w:val="none" w:sz="0" w:space="0" w:color="auto"/>
      </w:divBdr>
    </w:div>
    <w:div w:id="80412838">
      <w:bodyDiv w:val="1"/>
      <w:marLeft w:val="0"/>
      <w:marRight w:val="0"/>
      <w:marTop w:val="0"/>
      <w:marBottom w:val="0"/>
      <w:divBdr>
        <w:top w:val="none" w:sz="0" w:space="0" w:color="auto"/>
        <w:left w:val="none" w:sz="0" w:space="0" w:color="auto"/>
        <w:bottom w:val="none" w:sz="0" w:space="0" w:color="auto"/>
        <w:right w:val="none" w:sz="0" w:space="0" w:color="auto"/>
      </w:divBdr>
    </w:div>
    <w:div w:id="80954275">
      <w:bodyDiv w:val="1"/>
      <w:marLeft w:val="0"/>
      <w:marRight w:val="0"/>
      <w:marTop w:val="0"/>
      <w:marBottom w:val="0"/>
      <w:divBdr>
        <w:top w:val="none" w:sz="0" w:space="0" w:color="auto"/>
        <w:left w:val="none" w:sz="0" w:space="0" w:color="auto"/>
        <w:bottom w:val="none" w:sz="0" w:space="0" w:color="auto"/>
        <w:right w:val="none" w:sz="0" w:space="0" w:color="auto"/>
      </w:divBdr>
    </w:div>
    <w:div w:id="83504071">
      <w:bodyDiv w:val="1"/>
      <w:marLeft w:val="0"/>
      <w:marRight w:val="0"/>
      <w:marTop w:val="0"/>
      <w:marBottom w:val="0"/>
      <w:divBdr>
        <w:top w:val="none" w:sz="0" w:space="0" w:color="auto"/>
        <w:left w:val="none" w:sz="0" w:space="0" w:color="auto"/>
        <w:bottom w:val="none" w:sz="0" w:space="0" w:color="auto"/>
        <w:right w:val="none" w:sz="0" w:space="0" w:color="auto"/>
      </w:divBdr>
    </w:div>
    <w:div w:id="85352077">
      <w:bodyDiv w:val="1"/>
      <w:marLeft w:val="0"/>
      <w:marRight w:val="0"/>
      <w:marTop w:val="0"/>
      <w:marBottom w:val="0"/>
      <w:divBdr>
        <w:top w:val="none" w:sz="0" w:space="0" w:color="auto"/>
        <w:left w:val="none" w:sz="0" w:space="0" w:color="auto"/>
        <w:bottom w:val="none" w:sz="0" w:space="0" w:color="auto"/>
        <w:right w:val="none" w:sz="0" w:space="0" w:color="auto"/>
      </w:divBdr>
    </w:div>
    <w:div w:id="87434053">
      <w:bodyDiv w:val="1"/>
      <w:marLeft w:val="0"/>
      <w:marRight w:val="0"/>
      <w:marTop w:val="0"/>
      <w:marBottom w:val="0"/>
      <w:divBdr>
        <w:top w:val="none" w:sz="0" w:space="0" w:color="auto"/>
        <w:left w:val="none" w:sz="0" w:space="0" w:color="auto"/>
        <w:bottom w:val="none" w:sz="0" w:space="0" w:color="auto"/>
        <w:right w:val="none" w:sz="0" w:space="0" w:color="auto"/>
      </w:divBdr>
    </w:div>
    <w:div w:id="87967141">
      <w:bodyDiv w:val="1"/>
      <w:marLeft w:val="0"/>
      <w:marRight w:val="0"/>
      <w:marTop w:val="0"/>
      <w:marBottom w:val="0"/>
      <w:divBdr>
        <w:top w:val="none" w:sz="0" w:space="0" w:color="auto"/>
        <w:left w:val="none" w:sz="0" w:space="0" w:color="auto"/>
        <w:bottom w:val="none" w:sz="0" w:space="0" w:color="auto"/>
        <w:right w:val="none" w:sz="0" w:space="0" w:color="auto"/>
      </w:divBdr>
    </w:div>
    <w:div w:id="88357160">
      <w:bodyDiv w:val="1"/>
      <w:marLeft w:val="0"/>
      <w:marRight w:val="0"/>
      <w:marTop w:val="0"/>
      <w:marBottom w:val="0"/>
      <w:divBdr>
        <w:top w:val="none" w:sz="0" w:space="0" w:color="auto"/>
        <w:left w:val="none" w:sz="0" w:space="0" w:color="auto"/>
        <w:bottom w:val="none" w:sz="0" w:space="0" w:color="auto"/>
        <w:right w:val="none" w:sz="0" w:space="0" w:color="auto"/>
      </w:divBdr>
    </w:div>
    <w:div w:id="89938845">
      <w:bodyDiv w:val="1"/>
      <w:marLeft w:val="0"/>
      <w:marRight w:val="0"/>
      <w:marTop w:val="0"/>
      <w:marBottom w:val="0"/>
      <w:divBdr>
        <w:top w:val="none" w:sz="0" w:space="0" w:color="auto"/>
        <w:left w:val="none" w:sz="0" w:space="0" w:color="auto"/>
        <w:bottom w:val="none" w:sz="0" w:space="0" w:color="auto"/>
        <w:right w:val="none" w:sz="0" w:space="0" w:color="auto"/>
      </w:divBdr>
    </w:div>
    <w:div w:id="90859958">
      <w:bodyDiv w:val="1"/>
      <w:marLeft w:val="0"/>
      <w:marRight w:val="0"/>
      <w:marTop w:val="0"/>
      <w:marBottom w:val="0"/>
      <w:divBdr>
        <w:top w:val="none" w:sz="0" w:space="0" w:color="auto"/>
        <w:left w:val="none" w:sz="0" w:space="0" w:color="auto"/>
        <w:bottom w:val="none" w:sz="0" w:space="0" w:color="auto"/>
        <w:right w:val="none" w:sz="0" w:space="0" w:color="auto"/>
      </w:divBdr>
    </w:div>
    <w:div w:id="92022241">
      <w:bodyDiv w:val="1"/>
      <w:marLeft w:val="0"/>
      <w:marRight w:val="0"/>
      <w:marTop w:val="0"/>
      <w:marBottom w:val="0"/>
      <w:divBdr>
        <w:top w:val="none" w:sz="0" w:space="0" w:color="auto"/>
        <w:left w:val="none" w:sz="0" w:space="0" w:color="auto"/>
        <w:bottom w:val="none" w:sz="0" w:space="0" w:color="auto"/>
        <w:right w:val="none" w:sz="0" w:space="0" w:color="auto"/>
      </w:divBdr>
    </w:div>
    <w:div w:id="96215943">
      <w:bodyDiv w:val="1"/>
      <w:marLeft w:val="0"/>
      <w:marRight w:val="0"/>
      <w:marTop w:val="0"/>
      <w:marBottom w:val="0"/>
      <w:divBdr>
        <w:top w:val="none" w:sz="0" w:space="0" w:color="auto"/>
        <w:left w:val="none" w:sz="0" w:space="0" w:color="auto"/>
        <w:bottom w:val="none" w:sz="0" w:space="0" w:color="auto"/>
        <w:right w:val="none" w:sz="0" w:space="0" w:color="auto"/>
      </w:divBdr>
    </w:div>
    <w:div w:id="96559914">
      <w:bodyDiv w:val="1"/>
      <w:marLeft w:val="0"/>
      <w:marRight w:val="0"/>
      <w:marTop w:val="0"/>
      <w:marBottom w:val="0"/>
      <w:divBdr>
        <w:top w:val="none" w:sz="0" w:space="0" w:color="auto"/>
        <w:left w:val="none" w:sz="0" w:space="0" w:color="auto"/>
        <w:bottom w:val="none" w:sz="0" w:space="0" w:color="auto"/>
        <w:right w:val="none" w:sz="0" w:space="0" w:color="auto"/>
      </w:divBdr>
    </w:div>
    <w:div w:id="96827717">
      <w:bodyDiv w:val="1"/>
      <w:marLeft w:val="0"/>
      <w:marRight w:val="0"/>
      <w:marTop w:val="0"/>
      <w:marBottom w:val="0"/>
      <w:divBdr>
        <w:top w:val="none" w:sz="0" w:space="0" w:color="auto"/>
        <w:left w:val="none" w:sz="0" w:space="0" w:color="auto"/>
        <w:bottom w:val="none" w:sz="0" w:space="0" w:color="auto"/>
        <w:right w:val="none" w:sz="0" w:space="0" w:color="auto"/>
      </w:divBdr>
    </w:div>
    <w:div w:id="102070229">
      <w:bodyDiv w:val="1"/>
      <w:marLeft w:val="0"/>
      <w:marRight w:val="0"/>
      <w:marTop w:val="0"/>
      <w:marBottom w:val="0"/>
      <w:divBdr>
        <w:top w:val="none" w:sz="0" w:space="0" w:color="auto"/>
        <w:left w:val="none" w:sz="0" w:space="0" w:color="auto"/>
        <w:bottom w:val="none" w:sz="0" w:space="0" w:color="auto"/>
        <w:right w:val="none" w:sz="0" w:space="0" w:color="auto"/>
      </w:divBdr>
    </w:div>
    <w:div w:id="103892129">
      <w:bodyDiv w:val="1"/>
      <w:marLeft w:val="0"/>
      <w:marRight w:val="0"/>
      <w:marTop w:val="0"/>
      <w:marBottom w:val="0"/>
      <w:divBdr>
        <w:top w:val="none" w:sz="0" w:space="0" w:color="auto"/>
        <w:left w:val="none" w:sz="0" w:space="0" w:color="auto"/>
        <w:bottom w:val="none" w:sz="0" w:space="0" w:color="auto"/>
        <w:right w:val="none" w:sz="0" w:space="0" w:color="auto"/>
      </w:divBdr>
    </w:div>
    <w:div w:id="107048745">
      <w:bodyDiv w:val="1"/>
      <w:marLeft w:val="0"/>
      <w:marRight w:val="0"/>
      <w:marTop w:val="0"/>
      <w:marBottom w:val="0"/>
      <w:divBdr>
        <w:top w:val="none" w:sz="0" w:space="0" w:color="auto"/>
        <w:left w:val="none" w:sz="0" w:space="0" w:color="auto"/>
        <w:bottom w:val="none" w:sz="0" w:space="0" w:color="auto"/>
        <w:right w:val="none" w:sz="0" w:space="0" w:color="auto"/>
      </w:divBdr>
    </w:div>
    <w:div w:id="114835544">
      <w:bodyDiv w:val="1"/>
      <w:marLeft w:val="0"/>
      <w:marRight w:val="0"/>
      <w:marTop w:val="0"/>
      <w:marBottom w:val="0"/>
      <w:divBdr>
        <w:top w:val="none" w:sz="0" w:space="0" w:color="auto"/>
        <w:left w:val="none" w:sz="0" w:space="0" w:color="auto"/>
        <w:bottom w:val="none" w:sz="0" w:space="0" w:color="auto"/>
        <w:right w:val="none" w:sz="0" w:space="0" w:color="auto"/>
      </w:divBdr>
    </w:div>
    <w:div w:id="117073688">
      <w:bodyDiv w:val="1"/>
      <w:marLeft w:val="0"/>
      <w:marRight w:val="0"/>
      <w:marTop w:val="0"/>
      <w:marBottom w:val="0"/>
      <w:divBdr>
        <w:top w:val="none" w:sz="0" w:space="0" w:color="auto"/>
        <w:left w:val="none" w:sz="0" w:space="0" w:color="auto"/>
        <w:bottom w:val="none" w:sz="0" w:space="0" w:color="auto"/>
        <w:right w:val="none" w:sz="0" w:space="0" w:color="auto"/>
      </w:divBdr>
    </w:div>
    <w:div w:id="122358372">
      <w:bodyDiv w:val="1"/>
      <w:marLeft w:val="0"/>
      <w:marRight w:val="0"/>
      <w:marTop w:val="0"/>
      <w:marBottom w:val="0"/>
      <w:divBdr>
        <w:top w:val="none" w:sz="0" w:space="0" w:color="auto"/>
        <w:left w:val="none" w:sz="0" w:space="0" w:color="auto"/>
        <w:bottom w:val="none" w:sz="0" w:space="0" w:color="auto"/>
        <w:right w:val="none" w:sz="0" w:space="0" w:color="auto"/>
      </w:divBdr>
    </w:div>
    <w:div w:id="123547655">
      <w:bodyDiv w:val="1"/>
      <w:marLeft w:val="0"/>
      <w:marRight w:val="0"/>
      <w:marTop w:val="0"/>
      <w:marBottom w:val="0"/>
      <w:divBdr>
        <w:top w:val="none" w:sz="0" w:space="0" w:color="auto"/>
        <w:left w:val="none" w:sz="0" w:space="0" w:color="auto"/>
        <w:bottom w:val="none" w:sz="0" w:space="0" w:color="auto"/>
        <w:right w:val="none" w:sz="0" w:space="0" w:color="auto"/>
      </w:divBdr>
    </w:div>
    <w:div w:id="124813304">
      <w:bodyDiv w:val="1"/>
      <w:marLeft w:val="0"/>
      <w:marRight w:val="0"/>
      <w:marTop w:val="0"/>
      <w:marBottom w:val="0"/>
      <w:divBdr>
        <w:top w:val="none" w:sz="0" w:space="0" w:color="auto"/>
        <w:left w:val="none" w:sz="0" w:space="0" w:color="auto"/>
        <w:bottom w:val="none" w:sz="0" w:space="0" w:color="auto"/>
        <w:right w:val="none" w:sz="0" w:space="0" w:color="auto"/>
      </w:divBdr>
    </w:div>
    <w:div w:id="127433010">
      <w:bodyDiv w:val="1"/>
      <w:marLeft w:val="0"/>
      <w:marRight w:val="0"/>
      <w:marTop w:val="0"/>
      <w:marBottom w:val="0"/>
      <w:divBdr>
        <w:top w:val="none" w:sz="0" w:space="0" w:color="auto"/>
        <w:left w:val="none" w:sz="0" w:space="0" w:color="auto"/>
        <w:bottom w:val="none" w:sz="0" w:space="0" w:color="auto"/>
        <w:right w:val="none" w:sz="0" w:space="0" w:color="auto"/>
      </w:divBdr>
    </w:div>
    <w:div w:id="130708634">
      <w:bodyDiv w:val="1"/>
      <w:marLeft w:val="0"/>
      <w:marRight w:val="0"/>
      <w:marTop w:val="0"/>
      <w:marBottom w:val="0"/>
      <w:divBdr>
        <w:top w:val="none" w:sz="0" w:space="0" w:color="auto"/>
        <w:left w:val="none" w:sz="0" w:space="0" w:color="auto"/>
        <w:bottom w:val="none" w:sz="0" w:space="0" w:color="auto"/>
        <w:right w:val="none" w:sz="0" w:space="0" w:color="auto"/>
      </w:divBdr>
    </w:div>
    <w:div w:id="141119858">
      <w:bodyDiv w:val="1"/>
      <w:marLeft w:val="0"/>
      <w:marRight w:val="0"/>
      <w:marTop w:val="0"/>
      <w:marBottom w:val="0"/>
      <w:divBdr>
        <w:top w:val="none" w:sz="0" w:space="0" w:color="auto"/>
        <w:left w:val="none" w:sz="0" w:space="0" w:color="auto"/>
        <w:bottom w:val="none" w:sz="0" w:space="0" w:color="auto"/>
        <w:right w:val="none" w:sz="0" w:space="0" w:color="auto"/>
      </w:divBdr>
    </w:div>
    <w:div w:id="141628144">
      <w:bodyDiv w:val="1"/>
      <w:marLeft w:val="0"/>
      <w:marRight w:val="0"/>
      <w:marTop w:val="0"/>
      <w:marBottom w:val="0"/>
      <w:divBdr>
        <w:top w:val="none" w:sz="0" w:space="0" w:color="auto"/>
        <w:left w:val="none" w:sz="0" w:space="0" w:color="auto"/>
        <w:bottom w:val="none" w:sz="0" w:space="0" w:color="auto"/>
        <w:right w:val="none" w:sz="0" w:space="0" w:color="auto"/>
      </w:divBdr>
    </w:div>
    <w:div w:id="142816483">
      <w:bodyDiv w:val="1"/>
      <w:marLeft w:val="0"/>
      <w:marRight w:val="0"/>
      <w:marTop w:val="0"/>
      <w:marBottom w:val="0"/>
      <w:divBdr>
        <w:top w:val="none" w:sz="0" w:space="0" w:color="auto"/>
        <w:left w:val="none" w:sz="0" w:space="0" w:color="auto"/>
        <w:bottom w:val="none" w:sz="0" w:space="0" w:color="auto"/>
        <w:right w:val="none" w:sz="0" w:space="0" w:color="auto"/>
      </w:divBdr>
    </w:div>
    <w:div w:id="143859029">
      <w:bodyDiv w:val="1"/>
      <w:marLeft w:val="0"/>
      <w:marRight w:val="0"/>
      <w:marTop w:val="0"/>
      <w:marBottom w:val="0"/>
      <w:divBdr>
        <w:top w:val="none" w:sz="0" w:space="0" w:color="auto"/>
        <w:left w:val="none" w:sz="0" w:space="0" w:color="auto"/>
        <w:bottom w:val="none" w:sz="0" w:space="0" w:color="auto"/>
        <w:right w:val="none" w:sz="0" w:space="0" w:color="auto"/>
      </w:divBdr>
    </w:div>
    <w:div w:id="150947733">
      <w:bodyDiv w:val="1"/>
      <w:marLeft w:val="0"/>
      <w:marRight w:val="0"/>
      <w:marTop w:val="0"/>
      <w:marBottom w:val="0"/>
      <w:divBdr>
        <w:top w:val="none" w:sz="0" w:space="0" w:color="auto"/>
        <w:left w:val="none" w:sz="0" w:space="0" w:color="auto"/>
        <w:bottom w:val="none" w:sz="0" w:space="0" w:color="auto"/>
        <w:right w:val="none" w:sz="0" w:space="0" w:color="auto"/>
      </w:divBdr>
    </w:div>
    <w:div w:id="153105906">
      <w:bodyDiv w:val="1"/>
      <w:marLeft w:val="0"/>
      <w:marRight w:val="0"/>
      <w:marTop w:val="0"/>
      <w:marBottom w:val="0"/>
      <w:divBdr>
        <w:top w:val="none" w:sz="0" w:space="0" w:color="auto"/>
        <w:left w:val="none" w:sz="0" w:space="0" w:color="auto"/>
        <w:bottom w:val="none" w:sz="0" w:space="0" w:color="auto"/>
        <w:right w:val="none" w:sz="0" w:space="0" w:color="auto"/>
      </w:divBdr>
    </w:div>
    <w:div w:id="172887455">
      <w:bodyDiv w:val="1"/>
      <w:marLeft w:val="0"/>
      <w:marRight w:val="0"/>
      <w:marTop w:val="0"/>
      <w:marBottom w:val="0"/>
      <w:divBdr>
        <w:top w:val="none" w:sz="0" w:space="0" w:color="auto"/>
        <w:left w:val="none" w:sz="0" w:space="0" w:color="auto"/>
        <w:bottom w:val="none" w:sz="0" w:space="0" w:color="auto"/>
        <w:right w:val="none" w:sz="0" w:space="0" w:color="auto"/>
      </w:divBdr>
    </w:div>
    <w:div w:id="173032199">
      <w:bodyDiv w:val="1"/>
      <w:marLeft w:val="0"/>
      <w:marRight w:val="0"/>
      <w:marTop w:val="0"/>
      <w:marBottom w:val="0"/>
      <w:divBdr>
        <w:top w:val="none" w:sz="0" w:space="0" w:color="auto"/>
        <w:left w:val="none" w:sz="0" w:space="0" w:color="auto"/>
        <w:bottom w:val="none" w:sz="0" w:space="0" w:color="auto"/>
        <w:right w:val="none" w:sz="0" w:space="0" w:color="auto"/>
      </w:divBdr>
    </w:div>
    <w:div w:id="173425089">
      <w:bodyDiv w:val="1"/>
      <w:marLeft w:val="0"/>
      <w:marRight w:val="0"/>
      <w:marTop w:val="0"/>
      <w:marBottom w:val="0"/>
      <w:divBdr>
        <w:top w:val="none" w:sz="0" w:space="0" w:color="auto"/>
        <w:left w:val="none" w:sz="0" w:space="0" w:color="auto"/>
        <w:bottom w:val="none" w:sz="0" w:space="0" w:color="auto"/>
        <w:right w:val="none" w:sz="0" w:space="0" w:color="auto"/>
      </w:divBdr>
    </w:div>
    <w:div w:id="177156252">
      <w:bodyDiv w:val="1"/>
      <w:marLeft w:val="0"/>
      <w:marRight w:val="0"/>
      <w:marTop w:val="0"/>
      <w:marBottom w:val="0"/>
      <w:divBdr>
        <w:top w:val="none" w:sz="0" w:space="0" w:color="auto"/>
        <w:left w:val="none" w:sz="0" w:space="0" w:color="auto"/>
        <w:bottom w:val="none" w:sz="0" w:space="0" w:color="auto"/>
        <w:right w:val="none" w:sz="0" w:space="0" w:color="auto"/>
      </w:divBdr>
    </w:div>
    <w:div w:id="180625934">
      <w:bodyDiv w:val="1"/>
      <w:marLeft w:val="0"/>
      <w:marRight w:val="0"/>
      <w:marTop w:val="0"/>
      <w:marBottom w:val="0"/>
      <w:divBdr>
        <w:top w:val="none" w:sz="0" w:space="0" w:color="auto"/>
        <w:left w:val="none" w:sz="0" w:space="0" w:color="auto"/>
        <w:bottom w:val="none" w:sz="0" w:space="0" w:color="auto"/>
        <w:right w:val="none" w:sz="0" w:space="0" w:color="auto"/>
      </w:divBdr>
    </w:div>
    <w:div w:id="184712474">
      <w:bodyDiv w:val="1"/>
      <w:marLeft w:val="0"/>
      <w:marRight w:val="0"/>
      <w:marTop w:val="0"/>
      <w:marBottom w:val="0"/>
      <w:divBdr>
        <w:top w:val="none" w:sz="0" w:space="0" w:color="auto"/>
        <w:left w:val="none" w:sz="0" w:space="0" w:color="auto"/>
        <w:bottom w:val="none" w:sz="0" w:space="0" w:color="auto"/>
        <w:right w:val="none" w:sz="0" w:space="0" w:color="auto"/>
      </w:divBdr>
    </w:div>
    <w:div w:id="189799855">
      <w:bodyDiv w:val="1"/>
      <w:marLeft w:val="0"/>
      <w:marRight w:val="0"/>
      <w:marTop w:val="0"/>
      <w:marBottom w:val="0"/>
      <w:divBdr>
        <w:top w:val="none" w:sz="0" w:space="0" w:color="auto"/>
        <w:left w:val="none" w:sz="0" w:space="0" w:color="auto"/>
        <w:bottom w:val="none" w:sz="0" w:space="0" w:color="auto"/>
        <w:right w:val="none" w:sz="0" w:space="0" w:color="auto"/>
      </w:divBdr>
    </w:div>
    <w:div w:id="194855684">
      <w:bodyDiv w:val="1"/>
      <w:marLeft w:val="0"/>
      <w:marRight w:val="0"/>
      <w:marTop w:val="0"/>
      <w:marBottom w:val="0"/>
      <w:divBdr>
        <w:top w:val="none" w:sz="0" w:space="0" w:color="auto"/>
        <w:left w:val="none" w:sz="0" w:space="0" w:color="auto"/>
        <w:bottom w:val="none" w:sz="0" w:space="0" w:color="auto"/>
        <w:right w:val="none" w:sz="0" w:space="0" w:color="auto"/>
      </w:divBdr>
    </w:div>
    <w:div w:id="204146152">
      <w:bodyDiv w:val="1"/>
      <w:marLeft w:val="0"/>
      <w:marRight w:val="0"/>
      <w:marTop w:val="0"/>
      <w:marBottom w:val="0"/>
      <w:divBdr>
        <w:top w:val="none" w:sz="0" w:space="0" w:color="auto"/>
        <w:left w:val="none" w:sz="0" w:space="0" w:color="auto"/>
        <w:bottom w:val="none" w:sz="0" w:space="0" w:color="auto"/>
        <w:right w:val="none" w:sz="0" w:space="0" w:color="auto"/>
      </w:divBdr>
    </w:div>
    <w:div w:id="205219772">
      <w:bodyDiv w:val="1"/>
      <w:marLeft w:val="0"/>
      <w:marRight w:val="0"/>
      <w:marTop w:val="0"/>
      <w:marBottom w:val="0"/>
      <w:divBdr>
        <w:top w:val="none" w:sz="0" w:space="0" w:color="auto"/>
        <w:left w:val="none" w:sz="0" w:space="0" w:color="auto"/>
        <w:bottom w:val="none" w:sz="0" w:space="0" w:color="auto"/>
        <w:right w:val="none" w:sz="0" w:space="0" w:color="auto"/>
      </w:divBdr>
    </w:div>
    <w:div w:id="207035681">
      <w:bodyDiv w:val="1"/>
      <w:marLeft w:val="0"/>
      <w:marRight w:val="0"/>
      <w:marTop w:val="0"/>
      <w:marBottom w:val="0"/>
      <w:divBdr>
        <w:top w:val="none" w:sz="0" w:space="0" w:color="auto"/>
        <w:left w:val="none" w:sz="0" w:space="0" w:color="auto"/>
        <w:bottom w:val="none" w:sz="0" w:space="0" w:color="auto"/>
        <w:right w:val="none" w:sz="0" w:space="0" w:color="auto"/>
      </w:divBdr>
    </w:div>
    <w:div w:id="223223705">
      <w:bodyDiv w:val="1"/>
      <w:marLeft w:val="0"/>
      <w:marRight w:val="0"/>
      <w:marTop w:val="0"/>
      <w:marBottom w:val="0"/>
      <w:divBdr>
        <w:top w:val="none" w:sz="0" w:space="0" w:color="auto"/>
        <w:left w:val="none" w:sz="0" w:space="0" w:color="auto"/>
        <w:bottom w:val="none" w:sz="0" w:space="0" w:color="auto"/>
        <w:right w:val="none" w:sz="0" w:space="0" w:color="auto"/>
      </w:divBdr>
    </w:div>
    <w:div w:id="229317195">
      <w:bodyDiv w:val="1"/>
      <w:marLeft w:val="0"/>
      <w:marRight w:val="0"/>
      <w:marTop w:val="0"/>
      <w:marBottom w:val="0"/>
      <w:divBdr>
        <w:top w:val="none" w:sz="0" w:space="0" w:color="auto"/>
        <w:left w:val="none" w:sz="0" w:space="0" w:color="auto"/>
        <w:bottom w:val="none" w:sz="0" w:space="0" w:color="auto"/>
        <w:right w:val="none" w:sz="0" w:space="0" w:color="auto"/>
      </w:divBdr>
    </w:div>
    <w:div w:id="230039159">
      <w:bodyDiv w:val="1"/>
      <w:marLeft w:val="0"/>
      <w:marRight w:val="0"/>
      <w:marTop w:val="0"/>
      <w:marBottom w:val="0"/>
      <w:divBdr>
        <w:top w:val="none" w:sz="0" w:space="0" w:color="auto"/>
        <w:left w:val="none" w:sz="0" w:space="0" w:color="auto"/>
        <w:bottom w:val="none" w:sz="0" w:space="0" w:color="auto"/>
        <w:right w:val="none" w:sz="0" w:space="0" w:color="auto"/>
      </w:divBdr>
    </w:div>
    <w:div w:id="239407536">
      <w:bodyDiv w:val="1"/>
      <w:marLeft w:val="0"/>
      <w:marRight w:val="0"/>
      <w:marTop w:val="0"/>
      <w:marBottom w:val="0"/>
      <w:divBdr>
        <w:top w:val="none" w:sz="0" w:space="0" w:color="auto"/>
        <w:left w:val="none" w:sz="0" w:space="0" w:color="auto"/>
        <w:bottom w:val="none" w:sz="0" w:space="0" w:color="auto"/>
        <w:right w:val="none" w:sz="0" w:space="0" w:color="auto"/>
      </w:divBdr>
    </w:div>
    <w:div w:id="239995799">
      <w:bodyDiv w:val="1"/>
      <w:marLeft w:val="0"/>
      <w:marRight w:val="0"/>
      <w:marTop w:val="0"/>
      <w:marBottom w:val="0"/>
      <w:divBdr>
        <w:top w:val="none" w:sz="0" w:space="0" w:color="auto"/>
        <w:left w:val="none" w:sz="0" w:space="0" w:color="auto"/>
        <w:bottom w:val="none" w:sz="0" w:space="0" w:color="auto"/>
        <w:right w:val="none" w:sz="0" w:space="0" w:color="auto"/>
      </w:divBdr>
    </w:div>
    <w:div w:id="248731356">
      <w:bodyDiv w:val="1"/>
      <w:marLeft w:val="0"/>
      <w:marRight w:val="0"/>
      <w:marTop w:val="0"/>
      <w:marBottom w:val="0"/>
      <w:divBdr>
        <w:top w:val="none" w:sz="0" w:space="0" w:color="auto"/>
        <w:left w:val="none" w:sz="0" w:space="0" w:color="auto"/>
        <w:bottom w:val="none" w:sz="0" w:space="0" w:color="auto"/>
        <w:right w:val="none" w:sz="0" w:space="0" w:color="auto"/>
      </w:divBdr>
    </w:div>
    <w:div w:id="249775614">
      <w:bodyDiv w:val="1"/>
      <w:marLeft w:val="0"/>
      <w:marRight w:val="0"/>
      <w:marTop w:val="0"/>
      <w:marBottom w:val="0"/>
      <w:divBdr>
        <w:top w:val="none" w:sz="0" w:space="0" w:color="auto"/>
        <w:left w:val="none" w:sz="0" w:space="0" w:color="auto"/>
        <w:bottom w:val="none" w:sz="0" w:space="0" w:color="auto"/>
        <w:right w:val="none" w:sz="0" w:space="0" w:color="auto"/>
      </w:divBdr>
    </w:div>
    <w:div w:id="250939424">
      <w:bodyDiv w:val="1"/>
      <w:marLeft w:val="0"/>
      <w:marRight w:val="0"/>
      <w:marTop w:val="0"/>
      <w:marBottom w:val="0"/>
      <w:divBdr>
        <w:top w:val="none" w:sz="0" w:space="0" w:color="auto"/>
        <w:left w:val="none" w:sz="0" w:space="0" w:color="auto"/>
        <w:bottom w:val="none" w:sz="0" w:space="0" w:color="auto"/>
        <w:right w:val="none" w:sz="0" w:space="0" w:color="auto"/>
      </w:divBdr>
    </w:div>
    <w:div w:id="254022821">
      <w:bodyDiv w:val="1"/>
      <w:marLeft w:val="0"/>
      <w:marRight w:val="0"/>
      <w:marTop w:val="0"/>
      <w:marBottom w:val="0"/>
      <w:divBdr>
        <w:top w:val="none" w:sz="0" w:space="0" w:color="auto"/>
        <w:left w:val="none" w:sz="0" w:space="0" w:color="auto"/>
        <w:bottom w:val="none" w:sz="0" w:space="0" w:color="auto"/>
        <w:right w:val="none" w:sz="0" w:space="0" w:color="auto"/>
      </w:divBdr>
    </w:div>
    <w:div w:id="254705646">
      <w:bodyDiv w:val="1"/>
      <w:marLeft w:val="0"/>
      <w:marRight w:val="0"/>
      <w:marTop w:val="0"/>
      <w:marBottom w:val="0"/>
      <w:divBdr>
        <w:top w:val="none" w:sz="0" w:space="0" w:color="auto"/>
        <w:left w:val="none" w:sz="0" w:space="0" w:color="auto"/>
        <w:bottom w:val="none" w:sz="0" w:space="0" w:color="auto"/>
        <w:right w:val="none" w:sz="0" w:space="0" w:color="auto"/>
      </w:divBdr>
    </w:div>
    <w:div w:id="256521371">
      <w:bodyDiv w:val="1"/>
      <w:marLeft w:val="0"/>
      <w:marRight w:val="0"/>
      <w:marTop w:val="0"/>
      <w:marBottom w:val="0"/>
      <w:divBdr>
        <w:top w:val="none" w:sz="0" w:space="0" w:color="auto"/>
        <w:left w:val="none" w:sz="0" w:space="0" w:color="auto"/>
        <w:bottom w:val="none" w:sz="0" w:space="0" w:color="auto"/>
        <w:right w:val="none" w:sz="0" w:space="0" w:color="auto"/>
      </w:divBdr>
    </w:div>
    <w:div w:id="256526691">
      <w:bodyDiv w:val="1"/>
      <w:marLeft w:val="0"/>
      <w:marRight w:val="0"/>
      <w:marTop w:val="0"/>
      <w:marBottom w:val="0"/>
      <w:divBdr>
        <w:top w:val="none" w:sz="0" w:space="0" w:color="auto"/>
        <w:left w:val="none" w:sz="0" w:space="0" w:color="auto"/>
        <w:bottom w:val="none" w:sz="0" w:space="0" w:color="auto"/>
        <w:right w:val="none" w:sz="0" w:space="0" w:color="auto"/>
      </w:divBdr>
    </w:div>
    <w:div w:id="260575804">
      <w:bodyDiv w:val="1"/>
      <w:marLeft w:val="0"/>
      <w:marRight w:val="0"/>
      <w:marTop w:val="0"/>
      <w:marBottom w:val="0"/>
      <w:divBdr>
        <w:top w:val="none" w:sz="0" w:space="0" w:color="auto"/>
        <w:left w:val="none" w:sz="0" w:space="0" w:color="auto"/>
        <w:bottom w:val="none" w:sz="0" w:space="0" w:color="auto"/>
        <w:right w:val="none" w:sz="0" w:space="0" w:color="auto"/>
      </w:divBdr>
    </w:div>
    <w:div w:id="261570888">
      <w:bodyDiv w:val="1"/>
      <w:marLeft w:val="0"/>
      <w:marRight w:val="0"/>
      <w:marTop w:val="0"/>
      <w:marBottom w:val="0"/>
      <w:divBdr>
        <w:top w:val="none" w:sz="0" w:space="0" w:color="auto"/>
        <w:left w:val="none" w:sz="0" w:space="0" w:color="auto"/>
        <w:bottom w:val="none" w:sz="0" w:space="0" w:color="auto"/>
        <w:right w:val="none" w:sz="0" w:space="0" w:color="auto"/>
      </w:divBdr>
    </w:div>
    <w:div w:id="265189057">
      <w:bodyDiv w:val="1"/>
      <w:marLeft w:val="0"/>
      <w:marRight w:val="0"/>
      <w:marTop w:val="0"/>
      <w:marBottom w:val="0"/>
      <w:divBdr>
        <w:top w:val="none" w:sz="0" w:space="0" w:color="auto"/>
        <w:left w:val="none" w:sz="0" w:space="0" w:color="auto"/>
        <w:bottom w:val="none" w:sz="0" w:space="0" w:color="auto"/>
        <w:right w:val="none" w:sz="0" w:space="0" w:color="auto"/>
      </w:divBdr>
    </w:div>
    <w:div w:id="267087759">
      <w:bodyDiv w:val="1"/>
      <w:marLeft w:val="0"/>
      <w:marRight w:val="0"/>
      <w:marTop w:val="0"/>
      <w:marBottom w:val="0"/>
      <w:divBdr>
        <w:top w:val="none" w:sz="0" w:space="0" w:color="auto"/>
        <w:left w:val="none" w:sz="0" w:space="0" w:color="auto"/>
        <w:bottom w:val="none" w:sz="0" w:space="0" w:color="auto"/>
        <w:right w:val="none" w:sz="0" w:space="0" w:color="auto"/>
      </w:divBdr>
    </w:div>
    <w:div w:id="269582313">
      <w:bodyDiv w:val="1"/>
      <w:marLeft w:val="0"/>
      <w:marRight w:val="0"/>
      <w:marTop w:val="0"/>
      <w:marBottom w:val="0"/>
      <w:divBdr>
        <w:top w:val="none" w:sz="0" w:space="0" w:color="auto"/>
        <w:left w:val="none" w:sz="0" w:space="0" w:color="auto"/>
        <w:bottom w:val="none" w:sz="0" w:space="0" w:color="auto"/>
        <w:right w:val="none" w:sz="0" w:space="0" w:color="auto"/>
      </w:divBdr>
    </w:div>
    <w:div w:id="270016592">
      <w:bodyDiv w:val="1"/>
      <w:marLeft w:val="0"/>
      <w:marRight w:val="0"/>
      <w:marTop w:val="0"/>
      <w:marBottom w:val="0"/>
      <w:divBdr>
        <w:top w:val="none" w:sz="0" w:space="0" w:color="auto"/>
        <w:left w:val="none" w:sz="0" w:space="0" w:color="auto"/>
        <w:bottom w:val="none" w:sz="0" w:space="0" w:color="auto"/>
        <w:right w:val="none" w:sz="0" w:space="0" w:color="auto"/>
      </w:divBdr>
    </w:div>
    <w:div w:id="271790383">
      <w:bodyDiv w:val="1"/>
      <w:marLeft w:val="0"/>
      <w:marRight w:val="0"/>
      <w:marTop w:val="0"/>
      <w:marBottom w:val="0"/>
      <w:divBdr>
        <w:top w:val="none" w:sz="0" w:space="0" w:color="auto"/>
        <w:left w:val="none" w:sz="0" w:space="0" w:color="auto"/>
        <w:bottom w:val="none" w:sz="0" w:space="0" w:color="auto"/>
        <w:right w:val="none" w:sz="0" w:space="0" w:color="auto"/>
      </w:divBdr>
    </w:div>
    <w:div w:id="272636800">
      <w:bodyDiv w:val="1"/>
      <w:marLeft w:val="0"/>
      <w:marRight w:val="0"/>
      <w:marTop w:val="0"/>
      <w:marBottom w:val="0"/>
      <w:divBdr>
        <w:top w:val="none" w:sz="0" w:space="0" w:color="auto"/>
        <w:left w:val="none" w:sz="0" w:space="0" w:color="auto"/>
        <w:bottom w:val="none" w:sz="0" w:space="0" w:color="auto"/>
        <w:right w:val="none" w:sz="0" w:space="0" w:color="auto"/>
      </w:divBdr>
    </w:div>
    <w:div w:id="278537888">
      <w:bodyDiv w:val="1"/>
      <w:marLeft w:val="0"/>
      <w:marRight w:val="0"/>
      <w:marTop w:val="0"/>
      <w:marBottom w:val="0"/>
      <w:divBdr>
        <w:top w:val="none" w:sz="0" w:space="0" w:color="auto"/>
        <w:left w:val="none" w:sz="0" w:space="0" w:color="auto"/>
        <w:bottom w:val="none" w:sz="0" w:space="0" w:color="auto"/>
        <w:right w:val="none" w:sz="0" w:space="0" w:color="auto"/>
      </w:divBdr>
    </w:div>
    <w:div w:id="281302901">
      <w:bodyDiv w:val="1"/>
      <w:marLeft w:val="0"/>
      <w:marRight w:val="0"/>
      <w:marTop w:val="0"/>
      <w:marBottom w:val="0"/>
      <w:divBdr>
        <w:top w:val="none" w:sz="0" w:space="0" w:color="auto"/>
        <w:left w:val="none" w:sz="0" w:space="0" w:color="auto"/>
        <w:bottom w:val="none" w:sz="0" w:space="0" w:color="auto"/>
        <w:right w:val="none" w:sz="0" w:space="0" w:color="auto"/>
      </w:divBdr>
    </w:div>
    <w:div w:id="282031705">
      <w:bodyDiv w:val="1"/>
      <w:marLeft w:val="0"/>
      <w:marRight w:val="0"/>
      <w:marTop w:val="0"/>
      <w:marBottom w:val="0"/>
      <w:divBdr>
        <w:top w:val="none" w:sz="0" w:space="0" w:color="auto"/>
        <w:left w:val="none" w:sz="0" w:space="0" w:color="auto"/>
        <w:bottom w:val="none" w:sz="0" w:space="0" w:color="auto"/>
        <w:right w:val="none" w:sz="0" w:space="0" w:color="auto"/>
      </w:divBdr>
    </w:div>
    <w:div w:id="282854482">
      <w:bodyDiv w:val="1"/>
      <w:marLeft w:val="0"/>
      <w:marRight w:val="0"/>
      <w:marTop w:val="0"/>
      <w:marBottom w:val="0"/>
      <w:divBdr>
        <w:top w:val="none" w:sz="0" w:space="0" w:color="auto"/>
        <w:left w:val="none" w:sz="0" w:space="0" w:color="auto"/>
        <w:bottom w:val="none" w:sz="0" w:space="0" w:color="auto"/>
        <w:right w:val="none" w:sz="0" w:space="0" w:color="auto"/>
      </w:divBdr>
    </w:div>
    <w:div w:id="283469728">
      <w:bodyDiv w:val="1"/>
      <w:marLeft w:val="0"/>
      <w:marRight w:val="0"/>
      <w:marTop w:val="0"/>
      <w:marBottom w:val="0"/>
      <w:divBdr>
        <w:top w:val="none" w:sz="0" w:space="0" w:color="auto"/>
        <w:left w:val="none" w:sz="0" w:space="0" w:color="auto"/>
        <w:bottom w:val="none" w:sz="0" w:space="0" w:color="auto"/>
        <w:right w:val="none" w:sz="0" w:space="0" w:color="auto"/>
      </w:divBdr>
    </w:div>
    <w:div w:id="284579453">
      <w:bodyDiv w:val="1"/>
      <w:marLeft w:val="0"/>
      <w:marRight w:val="0"/>
      <w:marTop w:val="0"/>
      <w:marBottom w:val="0"/>
      <w:divBdr>
        <w:top w:val="none" w:sz="0" w:space="0" w:color="auto"/>
        <w:left w:val="none" w:sz="0" w:space="0" w:color="auto"/>
        <w:bottom w:val="none" w:sz="0" w:space="0" w:color="auto"/>
        <w:right w:val="none" w:sz="0" w:space="0" w:color="auto"/>
      </w:divBdr>
    </w:div>
    <w:div w:id="288824112">
      <w:bodyDiv w:val="1"/>
      <w:marLeft w:val="0"/>
      <w:marRight w:val="0"/>
      <w:marTop w:val="0"/>
      <w:marBottom w:val="0"/>
      <w:divBdr>
        <w:top w:val="none" w:sz="0" w:space="0" w:color="auto"/>
        <w:left w:val="none" w:sz="0" w:space="0" w:color="auto"/>
        <w:bottom w:val="none" w:sz="0" w:space="0" w:color="auto"/>
        <w:right w:val="none" w:sz="0" w:space="0" w:color="auto"/>
      </w:divBdr>
    </w:div>
    <w:div w:id="289894924">
      <w:bodyDiv w:val="1"/>
      <w:marLeft w:val="0"/>
      <w:marRight w:val="0"/>
      <w:marTop w:val="0"/>
      <w:marBottom w:val="0"/>
      <w:divBdr>
        <w:top w:val="none" w:sz="0" w:space="0" w:color="auto"/>
        <w:left w:val="none" w:sz="0" w:space="0" w:color="auto"/>
        <w:bottom w:val="none" w:sz="0" w:space="0" w:color="auto"/>
        <w:right w:val="none" w:sz="0" w:space="0" w:color="auto"/>
      </w:divBdr>
    </w:div>
    <w:div w:id="294340383">
      <w:bodyDiv w:val="1"/>
      <w:marLeft w:val="0"/>
      <w:marRight w:val="0"/>
      <w:marTop w:val="0"/>
      <w:marBottom w:val="0"/>
      <w:divBdr>
        <w:top w:val="none" w:sz="0" w:space="0" w:color="auto"/>
        <w:left w:val="none" w:sz="0" w:space="0" w:color="auto"/>
        <w:bottom w:val="none" w:sz="0" w:space="0" w:color="auto"/>
        <w:right w:val="none" w:sz="0" w:space="0" w:color="auto"/>
      </w:divBdr>
    </w:div>
    <w:div w:id="295644161">
      <w:bodyDiv w:val="1"/>
      <w:marLeft w:val="0"/>
      <w:marRight w:val="0"/>
      <w:marTop w:val="0"/>
      <w:marBottom w:val="0"/>
      <w:divBdr>
        <w:top w:val="none" w:sz="0" w:space="0" w:color="auto"/>
        <w:left w:val="none" w:sz="0" w:space="0" w:color="auto"/>
        <w:bottom w:val="none" w:sz="0" w:space="0" w:color="auto"/>
        <w:right w:val="none" w:sz="0" w:space="0" w:color="auto"/>
      </w:divBdr>
    </w:div>
    <w:div w:id="299961105">
      <w:bodyDiv w:val="1"/>
      <w:marLeft w:val="0"/>
      <w:marRight w:val="0"/>
      <w:marTop w:val="0"/>
      <w:marBottom w:val="0"/>
      <w:divBdr>
        <w:top w:val="none" w:sz="0" w:space="0" w:color="auto"/>
        <w:left w:val="none" w:sz="0" w:space="0" w:color="auto"/>
        <w:bottom w:val="none" w:sz="0" w:space="0" w:color="auto"/>
        <w:right w:val="none" w:sz="0" w:space="0" w:color="auto"/>
      </w:divBdr>
    </w:div>
    <w:div w:id="303658974">
      <w:bodyDiv w:val="1"/>
      <w:marLeft w:val="0"/>
      <w:marRight w:val="0"/>
      <w:marTop w:val="0"/>
      <w:marBottom w:val="0"/>
      <w:divBdr>
        <w:top w:val="none" w:sz="0" w:space="0" w:color="auto"/>
        <w:left w:val="none" w:sz="0" w:space="0" w:color="auto"/>
        <w:bottom w:val="none" w:sz="0" w:space="0" w:color="auto"/>
        <w:right w:val="none" w:sz="0" w:space="0" w:color="auto"/>
      </w:divBdr>
    </w:div>
    <w:div w:id="304357120">
      <w:bodyDiv w:val="1"/>
      <w:marLeft w:val="0"/>
      <w:marRight w:val="0"/>
      <w:marTop w:val="0"/>
      <w:marBottom w:val="0"/>
      <w:divBdr>
        <w:top w:val="none" w:sz="0" w:space="0" w:color="auto"/>
        <w:left w:val="none" w:sz="0" w:space="0" w:color="auto"/>
        <w:bottom w:val="none" w:sz="0" w:space="0" w:color="auto"/>
        <w:right w:val="none" w:sz="0" w:space="0" w:color="auto"/>
      </w:divBdr>
    </w:div>
    <w:div w:id="305204311">
      <w:bodyDiv w:val="1"/>
      <w:marLeft w:val="0"/>
      <w:marRight w:val="0"/>
      <w:marTop w:val="0"/>
      <w:marBottom w:val="0"/>
      <w:divBdr>
        <w:top w:val="none" w:sz="0" w:space="0" w:color="auto"/>
        <w:left w:val="none" w:sz="0" w:space="0" w:color="auto"/>
        <w:bottom w:val="none" w:sz="0" w:space="0" w:color="auto"/>
        <w:right w:val="none" w:sz="0" w:space="0" w:color="auto"/>
      </w:divBdr>
    </w:div>
    <w:div w:id="306788463">
      <w:bodyDiv w:val="1"/>
      <w:marLeft w:val="0"/>
      <w:marRight w:val="0"/>
      <w:marTop w:val="0"/>
      <w:marBottom w:val="0"/>
      <w:divBdr>
        <w:top w:val="none" w:sz="0" w:space="0" w:color="auto"/>
        <w:left w:val="none" w:sz="0" w:space="0" w:color="auto"/>
        <w:bottom w:val="none" w:sz="0" w:space="0" w:color="auto"/>
        <w:right w:val="none" w:sz="0" w:space="0" w:color="auto"/>
      </w:divBdr>
    </w:div>
    <w:div w:id="307974874">
      <w:bodyDiv w:val="1"/>
      <w:marLeft w:val="0"/>
      <w:marRight w:val="0"/>
      <w:marTop w:val="0"/>
      <w:marBottom w:val="0"/>
      <w:divBdr>
        <w:top w:val="none" w:sz="0" w:space="0" w:color="auto"/>
        <w:left w:val="none" w:sz="0" w:space="0" w:color="auto"/>
        <w:bottom w:val="none" w:sz="0" w:space="0" w:color="auto"/>
        <w:right w:val="none" w:sz="0" w:space="0" w:color="auto"/>
      </w:divBdr>
    </w:div>
    <w:div w:id="309792777">
      <w:bodyDiv w:val="1"/>
      <w:marLeft w:val="0"/>
      <w:marRight w:val="0"/>
      <w:marTop w:val="0"/>
      <w:marBottom w:val="0"/>
      <w:divBdr>
        <w:top w:val="none" w:sz="0" w:space="0" w:color="auto"/>
        <w:left w:val="none" w:sz="0" w:space="0" w:color="auto"/>
        <w:bottom w:val="none" w:sz="0" w:space="0" w:color="auto"/>
        <w:right w:val="none" w:sz="0" w:space="0" w:color="auto"/>
      </w:divBdr>
    </w:div>
    <w:div w:id="319387151">
      <w:bodyDiv w:val="1"/>
      <w:marLeft w:val="0"/>
      <w:marRight w:val="0"/>
      <w:marTop w:val="0"/>
      <w:marBottom w:val="0"/>
      <w:divBdr>
        <w:top w:val="none" w:sz="0" w:space="0" w:color="auto"/>
        <w:left w:val="none" w:sz="0" w:space="0" w:color="auto"/>
        <w:bottom w:val="none" w:sz="0" w:space="0" w:color="auto"/>
        <w:right w:val="none" w:sz="0" w:space="0" w:color="auto"/>
      </w:divBdr>
      <w:divsChild>
        <w:div w:id="163470943">
          <w:marLeft w:val="0"/>
          <w:marRight w:val="0"/>
          <w:marTop w:val="0"/>
          <w:marBottom w:val="0"/>
          <w:divBdr>
            <w:top w:val="none" w:sz="0" w:space="12" w:color="auto"/>
            <w:left w:val="none" w:sz="0" w:space="12" w:color="auto"/>
            <w:bottom w:val="none" w:sz="0" w:space="12" w:color="auto"/>
            <w:right w:val="none" w:sz="0" w:space="12" w:color="auto"/>
          </w:divBdr>
        </w:div>
      </w:divsChild>
    </w:div>
    <w:div w:id="320278332">
      <w:bodyDiv w:val="1"/>
      <w:marLeft w:val="0"/>
      <w:marRight w:val="0"/>
      <w:marTop w:val="0"/>
      <w:marBottom w:val="0"/>
      <w:divBdr>
        <w:top w:val="none" w:sz="0" w:space="0" w:color="auto"/>
        <w:left w:val="none" w:sz="0" w:space="0" w:color="auto"/>
        <w:bottom w:val="none" w:sz="0" w:space="0" w:color="auto"/>
        <w:right w:val="none" w:sz="0" w:space="0" w:color="auto"/>
      </w:divBdr>
    </w:div>
    <w:div w:id="330571262">
      <w:bodyDiv w:val="1"/>
      <w:marLeft w:val="0"/>
      <w:marRight w:val="0"/>
      <w:marTop w:val="0"/>
      <w:marBottom w:val="0"/>
      <w:divBdr>
        <w:top w:val="none" w:sz="0" w:space="0" w:color="auto"/>
        <w:left w:val="none" w:sz="0" w:space="0" w:color="auto"/>
        <w:bottom w:val="none" w:sz="0" w:space="0" w:color="auto"/>
        <w:right w:val="none" w:sz="0" w:space="0" w:color="auto"/>
      </w:divBdr>
    </w:div>
    <w:div w:id="339115992">
      <w:bodyDiv w:val="1"/>
      <w:marLeft w:val="0"/>
      <w:marRight w:val="0"/>
      <w:marTop w:val="0"/>
      <w:marBottom w:val="0"/>
      <w:divBdr>
        <w:top w:val="none" w:sz="0" w:space="0" w:color="auto"/>
        <w:left w:val="none" w:sz="0" w:space="0" w:color="auto"/>
        <w:bottom w:val="none" w:sz="0" w:space="0" w:color="auto"/>
        <w:right w:val="none" w:sz="0" w:space="0" w:color="auto"/>
      </w:divBdr>
    </w:div>
    <w:div w:id="345063974">
      <w:bodyDiv w:val="1"/>
      <w:marLeft w:val="0"/>
      <w:marRight w:val="0"/>
      <w:marTop w:val="0"/>
      <w:marBottom w:val="0"/>
      <w:divBdr>
        <w:top w:val="none" w:sz="0" w:space="0" w:color="auto"/>
        <w:left w:val="none" w:sz="0" w:space="0" w:color="auto"/>
        <w:bottom w:val="none" w:sz="0" w:space="0" w:color="auto"/>
        <w:right w:val="none" w:sz="0" w:space="0" w:color="auto"/>
      </w:divBdr>
    </w:div>
    <w:div w:id="351153083">
      <w:bodyDiv w:val="1"/>
      <w:marLeft w:val="0"/>
      <w:marRight w:val="0"/>
      <w:marTop w:val="0"/>
      <w:marBottom w:val="0"/>
      <w:divBdr>
        <w:top w:val="none" w:sz="0" w:space="0" w:color="auto"/>
        <w:left w:val="none" w:sz="0" w:space="0" w:color="auto"/>
        <w:bottom w:val="none" w:sz="0" w:space="0" w:color="auto"/>
        <w:right w:val="none" w:sz="0" w:space="0" w:color="auto"/>
      </w:divBdr>
    </w:div>
    <w:div w:id="358747061">
      <w:bodyDiv w:val="1"/>
      <w:marLeft w:val="0"/>
      <w:marRight w:val="0"/>
      <w:marTop w:val="0"/>
      <w:marBottom w:val="0"/>
      <w:divBdr>
        <w:top w:val="none" w:sz="0" w:space="0" w:color="auto"/>
        <w:left w:val="none" w:sz="0" w:space="0" w:color="auto"/>
        <w:bottom w:val="none" w:sz="0" w:space="0" w:color="auto"/>
        <w:right w:val="none" w:sz="0" w:space="0" w:color="auto"/>
      </w:divBdr>
    </w:div>
    <w:div w:id="363287416">
      <w:bodyDiv w:val="1"/>
      <w:marLeft w:val="0"/>
      <w:marRight w:val="0"/>
      <w:marTop w:val="0"/>
      <w:marBottom w:val="0"/>
      <w:divBdr>
        <w:top w:val="none" w:sz="0" w:space="0" w:color="auto"/>
        <w:left w:val="none" w:sz="0" w:space="0" w:color="auto"/>
        <w:bottom w:val="none" w:sz="0" w:space="0" w:color="auto"/>
        <w:right w:val="none" w:sz="0" w:space="0" w:color="auto"/>
      </w:divBdr>
    </w:div>
    <w:div w:id="364716783">
      <w:bodyDiv w:val="1"/>
      <w:marLeft w:val="0"/>
      <w:marRight w:val="0"/>
      <w:marTop w:val="0"/>
      <w:marBottom w:val="0"/>
      <w:divBdr>
        <w:top w:val="none" w:sz="0" w:space="0" w:color="auto"/>
        <w:left w:val="none" w:sz="0" w:space="0" w:color="auto"/>
        <w:bottom w:val="none" w:sz="0" w:space="0" w:color="auto"/>
        <w:right w:val="none" w:sz="0" w:space="0" w:color="auto"/>
      </w:divBdr>
    </w:div>
    <w:div w:id="365637650">
      <w:bodyDiv w:val="1"/>
      <w:marLeft w:val="0"/>
      <w:marRight w:val="0"/>
      <w:marTop w:val="0"/>
      <w:marBottom w:val="0"/>
      <w:divBdr>
        <w:top w:val="none" w:sz="0" w:space="0" w:color="auto"/>
        <w:left w:val="none" w:sz="0" w:space="0" w:color="auto"/>
        <w:bottom w:val="none" w:sz="0" w:space="0" w:color="auto"/>
        <w:right w:val="none" w:sz="0" w:space="0" w:color="auto"/>
      </w:divBdr>
    </w:div>
    <w:div w:id="367075351">
      <w:bodyDiv w:val="1"/>
      <w:marLeft w:val="0"/>
      <w:marRight w:val="0"/>
      <w:marTop w:val="0"/>
      <w:marBottom w:val="0"/>
      <w:divBdr>
        <w:top w:val="none" w:sz="0" w:space="0" w:color="auto"/>
        <w:left w:val="none" w:sz="0" w:space="0" w:color="auto"/>
        <w:bottom w:val="none" w:sz="0" w:space="0" w:color="auto"/>
        <w:right w:val="none" w:sz="0" w:space="0" w:color="auto"/>
      </w:divBdr>
    </w:div>
    <w:div w:id="367990970">
      <w:bodyDiv w:val="1"/>
      <w:marLeft w:val="0"/>
      <w:marRight w:val="0"/>
      <w:marTop w:val="0"/>
      <w:marBottom w:val="0"/>
      <w:divBdr>
        <w:top w:val="none" w:sz="0" w:space="0" w:color="auto"/>
        <w:left w:val="none" w:sz="0" w:space="0" w:color="auto"/>
        <w:bottom w:val="none" w:sz="0" w:space="0" w:color="auto"/>
        <w:right w:val="none" w:sz="0" w:space="0" w:color="auto"/>
      </w:divBdr>
    </w:div>
    <w:div w:id="369309971">
      <w:bodyDiv w:val="1"/>
      <w:marLeft w:val="0"/>
      <w:marRight w:val="0"/>
      <w:marTop w:val="0"/>
      <w:marBottom w:val="0"/>
      <w:divBdr>
        <w:top w:val="none" w:sz="0" w:space="0" w:color="auto"/>
        <w:left w:val="none" w:sz="0" w:space="0" w:color="auto"/>
        <w:bottom w:val="none" w:sz="0" w:space="0" w:color="auto"/>
        <w:right w:val="none" w:sz="0" w:space="0" w:color="auto"/>
      </w:divBdr>
    </w:div>
    <w:div w:id="369578149">
      <w:bodyDiv w:val="1"/>
      <w:marLeft w:val="0"/>
      <w:marRight w:val="0"/>
      <w:marTop w:val="0"/>
      <w:marBottom w:val="0"/>
      <w:divBdr>
        <w:top w:val="none" w:sz="0" w:space="0" w:color="auto"/>
        <w:left w:val="none" w:sz="0" w:space="0" w:color="auto"/>
        <w:bottom w:val="none" w:sz="0" w:space="0" w:color="auto"/>
        <w:right w:val="none" w:sz="0" w:space="0" w:color="auto"/>
      </w:divBdr>
    </w:div>
    <w:div w:id="371073607">
      <w:bodyDiv w:val="1"/>
      <w:marLeft w:val="0"/>
      <w:marRight w:val="0"/>
      <w:marTop w:val="0"/>
      <w:marBottom w:val="0"/>
      <w:divBdr>
        <w:top w:val="none" w:sz="0" w:space="0" w:color="auto"/>
        <w:left w:val="none" w:sz="0" w:space="0" w:color="auto"/>
        <w:bottom w:val="none" w:sz="0" w:space="0" w:color="auto"/>
        <w:right w:val="none" w:sz="0" w:space="0" w:color="auto"/>
      </w:divBdr>
    </w:div>
    <w:div w:id="373626405">
      <w:bodyDiv w:val="1"/>
      <w:marLeft w:val="0"/>
      <w:marRight w:val="0"/>
      <w:marTop w:val="0"/>
      <w:marBottom w:val="0"/>
      <w:divBdr>
        <w:top w:val="none" w:sz="0" w:space="0" w:color="auto"/>
        <w:left w:val="none" w:sz="0" w:space="0" w:color="auto"/>
        <w:bottom w:val="none" w:sz="0" w:space="0" w:color="auto"/>
        <w:right w:val="none" w:sz="0" w:space="0" w:color="auto"/>
      </w:divBdr>
    </w:div>
    <w:div w:id="378944625">
      <w:bodyDiv w:val="1"/>
      <w:marLeft w:val="0"/>
      <w:marRight w:val="0"/>
      <w:marTop w:val="0"/>
      <w:marBottom w:val="0"/>
      <w:divBdr>
        <w:top w:val="none" w:sz="0" w:space="0" w:color="auto"/>
        <w:left w:val="none" w:sz="0" w:space="0" w:color="auto"/>
        <w:bottom w:val="none" w:sz="0" w:space="0" w:color="auto"/>
        <w:right w:val="none" w:sz="0" w:space="0" w:color="auto"/>
      </w:divBdr>
    </w:div>
    <w:div w:id="387726824">
      <w:bodyDiv w:val="1"/>
      <w:marLeft w:val="0"/>
      <w:marRight w:val="0"/>
      <w:marTop w:val="0"/>
      <w:marBottom w:val="0"/>
      <w:divBdr>
        <w:top w:val="none" w:sz="0" w:space="0" w:color="auto"/>
        <w:left w:val="none" w:sz="0" w:space="0" w:color="auto"/>
        <w:bottom w:val="none" w:sz="0" w:space="0" w:color="auto"/>
        <w:right w:val="none" w:sz="0" w:space="0" w:color="auto"/>
      </w:divBdr>
    </w:div>
    <w:div w:id="392512524">
      <w:bodyDiv w:val="1"/>
      <w:marLeft w:val="0"/>
      <w:marRight w:val="0"/>
      <w:marTop w:val="0"/>
      <w:marBottom w:val="0"/>
      <w:divBdr>
        <w:top w:val="none" w:sz="0" w:space="0" w:color="auto"/>
        <w:left w:val="none" w:sz="0" w:space="0" w:color="auto"/>
        <w:bottom w:val="none" w:sz="0" w:space="0" w:color="auto"/>
        <w:right w:val="none" w:sz="0" w:space="0" w:color="auto"/>
      </w:divBdr>
    </w:div>
    <w:div w:id="402144673">
      <w:bodyDiv w:val="1"/>
      <w:marLeft w:val="0"/>
      <w:marRight w:val="0"/>
      <w:marTop w:val="0"/>
      <w:marBottom w:val="0"/>
      <w:divBdr>
        <w:top w:val="none" w:sz="0" w:space="0" w:color="auto"/>
        <w:left w:val="none" w:sz="0" w:space="0" w:color="auto"/>
        <w:bottom w:val="none" w:sz="0" w:space="0" w:color="auto"/>
        <w:right w:val="none" w:sz="0" w:space="0" w:color="auto"/>
      </w:divBdr>
    </w:div>
    <w:div w:id="402916800">
      <w:bodyDiv w:val="1"/>
      <w:marLeft w:val="0"/>
      <w:marRight w:val="0"/>
      <w:marTop w:val="0"/>
      <w:marBottom w:val="0"/>
      <w:divBdr>
        <w:top w:val="none" w:sz="0" w:space="0" w:color="auto"/>
        <w:left w:val="none" w:sz="0" w:space="0" w:color="auto"/>
        <w:bottom w:val="none" w:sz="0" w:space="0" w:color="auto"/>
        <w:right w:val="none" w:sz="0" w:space="0" w:color="auto"/>
      </w:divBdr>
    </w:div>
    <w:div w:id="406073963">
      <w:bodyDiv w:val="1"/>
      <w:marLeft w:val="0"/>
      <w:marRight w:val="0"/>
      <w:marTop w:val="0"/>
      <w:marBottom w:val="0"/>
      <w:divBdr>
        <w:top w:val="none" w:sz="0" w:space="0" w:color="auto"/>
        <w:left w:val="none" w:sz="0" w:space="0" w:color="auto"/>
        <w:bottom w:val="none" w:sz="0" w:space="0" w:color="auto"/>
        <w:right w:val="none" w:sz="0" w:space="0" w:color="auto"/>
      </w:divBdr>
    </w:div>
    <w:div w:id="407386770">
      <w:bodyDiv w:val="1"/>
      <w:marLeft w:val="0"/>
      <w:marRight w:val="0"/>
      <w:marTop w:val="0"/>
      <w:marBottom w:val="0"/>
      <w:divBdr>
        <w:top w:val="none" w:sz="0" w:space="0" w:color="auto"/>
        <w:left w:val="none" w:sz="0" w:space="0" w:color="auto"/>
        <w:bottom w:val="none" w:sz="0" w:space="0" w:color="auto"/>
        <w:right w:val="none" w:sz="0" w:space="0" w:color="auto"/>
      </w:divBdr>
    </w:div>
    <w:div w:id="413666130">
      <w:bodyDiv w:val="1"/>
      <w:marLeft w:val="0"/>
      <w:marRight w:val="0"/>
      <w:marTop w:val="0"/>
      <w:marBottom w:val="0"/>
      <w:divBdr>
        <w:top w:val="none" w:sz="0" w:space="0" w:color="auto"/>
        <w:left w:val="none" w:sz="0" w:space="0" w:color="auto"/>
        <w:bottom w:val="none" w:sz="0" w:space="0" w:color="auto"/>
        <w:right w:val="none" w:sz="0" w:space="0" w:color="auto"/>
      </w:divBdr>
    </w:div>
    <w:div w:id="419717912">
      <w:bodyDiv w:val="1"/>
      <w:marLeft w:val="0"/>
      <w:marRight w:val="0"/>
      <w:marTop w:val="0"/>
      <w:marBottom w:val="0"/>
      <w:divBdr>
        <w:top w:val="none" w:sz="0" w:space="0" w:color="auto"/>
        <w:left w:val="none" w:sz="0" w:space="0" w:color="auto"/>
        <w:bottom w:val="none" w:sz="0" w:space="0" w:color="auto"/>
        <w:right w:val="none" w:sz="0" w:space="0" w:color="auto"/>
      </w:divBdr>
    </w:div>
    <w:div w:id="424301356">
      <w:bodyDiv w:val="1"/>
      <w:marLeft w:val="0"/>
      <w:marRight w:val="0"/>
      <w:marTop w:val="0"/>
      <w:marBottom w:val="0"/>
      <w:divBdr>
        <w:top w:val="none" w:sz="0" w:space="0" w:color="auto"/>
        <w:left w:val="none" w:sz="0" w:space="0" w:color="auto"/>
        <w:bottom w:val="none" w:sz="0" w:space="0" w:color="auto"/>
        <w:right w:val="none" w:sz="0" w:space="0" w:color="auto"/>
      </w:divBdr>
    </w:div>
    <w:div w:id="426734223">
      <w:bodyDiv w:val="1"/>
      <w:marLeft w:val="0"/>
      <w:marRight w:val="0"/>
      <w:marTop w:val="0"/>
      <w:marBottom w:val="0"/>
      <w:divBdr>
        <w:top w:val="none" w:sz="0" w:space="0" w:color="auto"/>
        <w:left w:val="none" w:sz="0" w:space="0" w:color="auto"/>
        <w:bottom w:val="none" w:sz="0" w:space="0" w:color="auto"/>
        <w:right w:val="none" w:sz="0" w:space="0" w:color="auto"/>
      </w:divBdr>
    </w:div>
    <w:div w:id="428084403">
      <w:bodyDiv w:val="1"/>
      <w:marLeft w:val="0"/>
      <w:marRight w:val="0"/>
      <w:marTop w:val="0"/>
      <w:marBottom w:val="0"/>
      <w:divBdr>
        <w:top w:val="none" w:sz="0" w:space="0" w:color="auto"/>
        <w:left w:val="none" w:sz="0" w:space="0" w:color="auto"/>
        <w:bottom w:val="none" w:sz="0" w:space="0" w:color="auto"/>
        <w:right w:val="none" w:sz="0" w:space="0" w:color="auto"/>
      </w:divBdr>
    </w:div>
    <w:div w:id="428158116">
      <w:bodyDiv w:val="1"/>
      <w:marLeft w:val="0"/>
      <w:marRight w:val="0"/>
      <w:marTop w:val="0"/>
      <w:marBottom w:val="0"/>
      <w:divBdr>
        <w:top w:val="none" w:sz="0" w:space="0" w:color="auto"/>
        <w:left w:val="none" w:sz="0" w:space="0" w:color="auto"/>
        <w:bottom w:val="none" w:sz="0" w:space="0" w:color="auto"/>
        <w:right w:val="none" w:sz="0" w:space="0" w:color="auto"/>
      </w:divBdr>
    </w:div>
    <w:div w:id="436025973">
      <w:bodyDiv w:val="1"/>
      <w:marLeft w:val="0"/>
      <w:marRight w:val="0"/>
      <w:marTop w:val="0"/>
      <w:marBottom w:val="0"/>
      <w:divBdr>
        <w:top w:val="none" w:sz="0" w:space="0" w:color="auto"/>
        <w:left w:val="none" w:sz="0" w:space="0" w:color="auto"/>
        <w:bottom w:val="none" w:sz="0" w:space="0" w:color="auto"/>
        <w:right w:val="none" w:sz="0" w:space="0" w:color="auto"/>
      </w:divBdr>
    </w:div>
    <w:div w:id="442962129">
      <w:bodyDiv w:val="1"/>
      <w:marLeft w:val="0"/>
      <w:marRight w:val="0"/>
      <w:marTop w:val="0"/>
      <w:marBottom w:val="0"/>
      <w:divBdr>
        <w:top w:val="none" w:sz="0" w:space="0" w:color="auto"/>
        <w:left w:val="none" w:sz="0" w:space="0" w:color="auto"/>
        <w:bottom w:val="none" w:sz="0" w:space="0" w:color="auto"/>
        <w:right w:val="none" w:sz="0" w:space="0" w:color="auto"/>
      </w:divBdr>
    </w:div>
    <w:div w:id="451827213">
      <w:bodyDiv w:val="1"/>
      <w:marLeft w:val="0"/>
      <w:marRight w:val="0"/>
      <w:marTop w:val="0"/>
      <w:marBottom w:val="0"/>
      <w:divBdr>
        <w:top w:val="none" w:sz="0" w:space="0" w:color="auto"/>
        <w:left w:val="none" w:sz="0" w:space="0" w:color="auto"/>
        <w:bottom w:val="none" w:sz="0" w:space="0" w:color="auto"/>
        <w:right w:val="none" w:sz="0" w:space="0" w:color="auto"/>
      </w:divBdr>
    </w:div>
    <w:div w:id="456414628">
      <w:bodyDiv w:val="1"/>
      <w:marLeft w:val="0"/>
      <w:marRight w:val="0"/>
      <w:marTop w:val="0"/>
      <w:marBottom w:val="0"/>
      <w:divBdr>
        <w:top w:val="none" w:sz="0" w:space="0" w:color="auto"/>
        <w:left w:val="none" w:sz="0" w:space="0" w:color="auto"/>
        <w:bottom w:val="none" w:sz="0" w:space="0" w:color="auto"/>
        <w:right w:val="none" w:sz="0" w:space="0" w:color="auto"/>
      </w:divBdr>
    </w:div>
    <w:div w:id="460342094">
      <w:bodyDiv w:val="1"/>
      <w:marLeft w:val="0"/>
      <w:marRight w:val="0"/>
      <w:marTop w:val="0"/>
      <w:marBottom w:val="0"/>
      <w:divBdr>
        <w:top w:val="none" w:sz="0" w:space="0" w:color="auto"/>
        <w:left w:val="none" w:sz="0" w:space="0" w:color="auto"/>
        <w:bottom w:val="none" w:sz="0" w:space="0" w:color="auto"/>
        <w:right w:val="none" w:sz="0" w:space="0" w:color="auto"/>
      </w:divBdr>
    </w:div>
    <w:div w:id="462650563">
      <w:bodyDiv w:val="1"/>
      <w:marLeft w:val="0"/>
      <w:marRight w:val="0"/>
      <w:marTop w:val="0"/>
      <w:marBottom w:val="0"/>
      <w:divBdr>
        <w:top w:val="none" w:sz="0" w:space="0" w:color="auto"/>
        <w:left w:val="none" w:sz="0" w:space="0" w:color="auto"/>
        <w:bottom w:val="none" w:sz="0" w:space="0" w:color="auto"/>
        <w:right w:val="none" w:sz="0" w:space="0" w:color="auto"/>
      </w:divBdr>
    </w:div>
    <w:div w:id="463348473">
      <w:bodyDiv w:val="1"/>
      <w:marLeft w:val="0"/>
      <w:marRight w:val="0"/>
      <w:marTop w:val="0"/>
      <w:marBottom w:val="0"/>
      <w:divBdr>
        <w:top w:val="none" w:sz="0" w:space="0" w:color="auto"/>
        <w:left w:val="none" w:sz="0" w:space="0" w:color="auto"/>
        <w:bottom w:val="none" w:sz="0" w:space="0" w:color="auto"/>
        <w:right w:val="none" w:sz="0" w:space="0" w:color="auto"/>
      </w:divBdr>
    </w:div>
    <w:div w:id="473914825">
      <w:bodyDiv w:val="1"/>
      <w:marLeft w:val="0"/>
      <w:marRight w:val="0"/>
      <w:marTop w:val="0"/>
      <w:marBottom w:val="0"/>
      <w:divBdr>
        <w:top w:val="none" w:sz="0" w:space="0" w:color="auto"/>
        <w:left w:val="none" w:sz="0" w:space="0" w:color="auto"/>
        <w:bottom w:val="none" w:sz="0" w:space="0" w:color="auto"/>
        <w:right w:val="none" w:sz="0" w:space="0" w:color="auto"/>
      </w:divBdr>
    </w:div>
    <w:div w:id="474102750">
      <w:bodyDiv w:val="1"/>
      <w:marLeft w:val="0"/>
      <w:marRight w:val="0"/>
      <w:marTop w:val="0"/>
      <w:marBottom w:val="0"/>
      <w:divBdr>
        <w:top w:val="none" w:sz="0" w:space="0" w:color="auto"/>
        <w:left w:val="none" w:sz="0" w:space="0" w:color="auto"/>
        <w:bottom w:val="none" w:sz="0" w:space="0" w:color="auto"/>
        <w:right w:val="none" w:sz="0" w:space="0" w:color="auto"/>
      </w:divBdr>
    </w:div>
    <w:div w:id="478303109">
      <w:bodyDiv w:val="1"/>
      <w:marLeft w:val="0"/>
      <w:marRight w:val="0"/>
      <w:marTop w:val="0"/>
      <w:marBottom w:val="0"/>
      <w:divBdr>
        <w:top w:val="none" w:sz="0" w:space="0" w:color="auto"/>
        <w:left w:val="none" w:sz="0" w:space="0" w:color="auto"/>
        <w:bottom w:val="none" w:sz="0" w:space="0" w:color="auto"/>
        <w:right w:val="none" w:sz="0" w:space="0" w:color="auto"/>
      </w:divBdr>
    </w:div>
    <w:div w:id="478691365">
      <w:bodyDiv w:val="1"/>
      <w:marLeft w:val="0"/>
      <w:marRight w:val="0"/>
      <w:marTop w:val="0"/>
      <w:marBottom w:val="0"/>
      <w:divBdr>
        <w:top w:val="none" w:sz="0" w:space="0" w:color="auto"/>
        <w:left w:val="none" w:sz="0" w:space="0" w:color="auto"/>
        <w:bottom w:val="none" w:sz="0" w:space="0" w:color="auto"/>
        <w:right w:val="none" w:sz="0" w:space="0" w:color="auto"/>
      </w:divBdr>
    </w:div>
    <w:div w:id="480579688">
      <w:bodyDiv w:val="1"/>
      <w:marLeft w:val="0"/>
      <w:marRight w:val="0"/>
      <w:marTop w:val="0"/>
      <w:marBottom w:val="0"/>
      <w:divBdr>
        <w:top w:val="none" w:sz="0" w:space="0" w:color="auto"/>
        <w:left w:val="none" w:sz="0" w:space="0" w:color="auto"/>
        <w:bottom w:val="none" w:sz="0" w:space="0" w:color="auto"/>
        <w:right w:val="none" w:sz="0" w:space="0" w:color="auto"/>
      </w:divBdr>
    </w:div>
    <w:div w:id="482504309">
      <w:bodyDiv w:val="1"/>
      <w:marLeft w:val="0"/>
      <w:marRight w:val="0"/>
      <w:marTop w:val="0"/>
      <w:marBottom w:val="0"/>
      <w:divBdr>
        <w:top w:val="none" w:sz="0" w:space="0" w:color="auto"/>
        <w:left w:val="none" w:sz="0" w:space="0" w:color="auto"/>
        <w:bottom w:val="none" w:sz="0" w:space="0" w:color="auto"/>
        <w:right w:val="none" w:sz="0" w:space="0" w:color="auto"/>
      </w:divBdr>
    </w:div>
    <w:div w:id="486409169">
      <w:bodyDiv w:val="1"/>
      <w:marLeft w:val="0"/>
      <w:marRight w:val="0"/>
      <w:marTop w:val="0"/>
      <w:marBottom w:val="0"/>
      <w:divBdr>
        <w:top w:val="none" w:sz="0" w:space="0" w:color="auto"/>
        <w:left w:val="none" w:sz="0" w:space="0" w:color="auto"/>
        <w:bottom w:val="none" w:sz="0" w:space="0" w:color="auto"/>
        <w:right w:val="none" w:sz="0" w:space="0" w:color="auto"/>
      </w:divBdr>
    </w:div>
    <w:div w:id="488178675">
      <w:bodyDiv w:val="1"/>
      <w:marLeft w:val="0"/>
      <w:marRight w:val="0"/>
      <w:marTop w:val="0"/>
      <w:marBottom w:val="0"/>
      <w:divBdr>
        <w:top w:val="none" w:sz="0" w:space="0" w:color="auto"/>
        <w:left w:val="none" w:sz="0" w:space="0" w:color="auto"/>
        <w:bottom w:val="none" w:sz="0" w:space="0" w:color="auto"/>
        <w:right w:val="none" w:sz="0" w:space="0" w:color="auto"/>
      </w:divBdr>
    </w:div>
    <w:div w:id="488256351">
      <w:bodyDiv w:val="1"/>
      <w:marLeft w:val="0"/>
      <w:marRight w:val="0"/>
      <w:marTop w:val="0"/>
      <w:marBottom w:val="0"/>
      <w:divBdr>
        <w:top w:val="none" w:sz="0" w:space="0" w:color="auto"/>
        <w:left w:val="none" w:sz="0" w:space="0" w:color="auto"/>
        <w:bottom w:val="none" w:sz="0" w:space="0" w:color="auto"/>
        <w:right w:val="none" w:sz="0" w:space="0" w:color="auto"/>
      </w:divBdr>
    </w:div>
    <w:div w:id="488597419">
      <w:bodyDiv w:val="1"/>
      <w:marLeft w:val="0"/>
      <w:marRight w:val="0"/>
      <w:marTop w:val="0"/>
      <w:marBottom w:val="0"/>
      <w:divBdr>
        <w:top w:val="none" w:sz="0" w:space="0" w:color="auto"/>
        <w:left w:val="none" w:sz="0" w:space="0" w:color="auto"/>
        <w:bottom w:val="none" w:sz="0" w:space="0" w:color="auto"/>
        <w:right w:val="none" w:sz="0" w:space="0" w:color="auto"/>
      </w:divBdr>
    </w:div>
    <w:div w:id="497890369">
      <w:bodyDiv w:val="1"/>
      <w:marLeft w:val="0"/>
      <w:marRight w:val="0"/>
      <w:marTop w:val="0"/>
      <w:marBottom w:val="0"/>
      <w:divBdr>
        <w:top w:val="none" w:sz="0" w:space="0" w:color="auto"/>
        <w:left w:val="none" w:sz="0" w:space="0" w:color="auto"/>
        <w:bottom w:val="none" w:sz="0" w:space="0" w:color="auto"/>
        <w:right w:val="none" w:sz="0" w:space="0" w:color="auto"/>
      </w:divBdr>
    </w:div>
    <w:div w:id="501048584">
      <w:bodyDiv w:val="1"/>
      <w:marLeft w:val="0"/>
      <w:marRight w:val="0"/>
      <w:marTop w:val="0"/>
      <w:marBottom w:val="0"/>
      <w:divBdr>
        <w:top w:val="none" w:sz="0" w:space="0" w:color="auto"/>
        <w:left w:val="none" w:sz="0" w:space="0" w:color="auto"/>
        <w:bottom w:val="none" w:sz="0" w:space="0" w:color="auto"/>
        <w:right w:val="none" w:sz="0" w:space="0" w:color="auto"/>
      </w:divBdr>
    </w:div>
    <w:div w:id="501968451">
      <w:bodyDiv w:val="1"/>
      <w:marLeft w:val="0"/>
      <w:marRight w:val="0"/>
      <w:marTop w:val="0"/>
      <w:marBottom w:val="0"/>
      <w:divBdr>
        <w:top w:val="none" w:sz="0" w:space="0" w:color="auto"/>
        <w:left w:val="none" w:sz="0" w:space="0" w:color="auto"/>
        <w:bottom w:val="none" w:sz="0" w:space="0" w:color="auto"/>
        <w:right w:val="none" w:sz="0" w:space="0" w:color="auto"/>
      </w:divBdr>
    </w:div>
    <w:div w:id="503086262">
      <w:bodyDiv w:val="1"/>
      <w:marLeft w:val="0"/>
      <w:marRight w:val="0"/>
      <w:marTop w:val="0"/>
      <w:marBottom w:val="0"/>
      <w:divBdr>
        <w:top w:val="none" w:sz="0" w:space="0" w:color="auto"/>
        <w:left w:val="none" w:sz="0" w:space="0" w:color="auto"/>
        <w:bottom w:val="none" w:sz="0" w:space="0" w:color="auto"/>
        <w:right w:val="none" w:sz="0" w:space="0" w:color="auto"/>
      </w:divBdr>
    </w:div>
    <w:div w:id="512109513">
      <w:bodyDiv w:val="1"/>
      <w:marLeft w:val="0"/>
      <w:marRight w:val="0"/>
      <w:marTop w:val="0"/>
      <w:marBottom w:val="0"/>
      <w:divBdr>
        <w:top w:val="none" w:sz="0" w:space="0" w:color="auto"/>
        <w:left w:val="none" w:sz="0" w:space="0" w:color="auto"/>
        <w:bottom w:val="none" w:sz="0" w:space="0" w:color="auto"/>
        <w:right w:val="none" w:sz="0" w:space="0" w:color="auto"/>
      </w:divBdr>
    </w:div>
    <w:div w:id="512575542">
      <w:bodyDiv w:val="1"/>
      <w:marLeft w:val="0"/>
      <w:marRight w:val="0"/>
      <w:marTop w:val="0"/>
      <w:marBottom w:val="0"/>
      <w:divBdr>
        <w:top w:val="none" w:sz="0" w:space="0" w:color="auto"/>
        <w:left w:val="none" w:sz="0" w:space="0" w:color="auto"/>
        <w:bottom w:val="none" w:sz="0" w:space="0" w:color="auto"/>
        <w:right w:val="none" w:sz="0" w:space="0" w:color="auto"/>
      </w:divBdr>
    </w:div>
    <w:div w:id="518783870">
      <w:bodyDiv w:val="1"/>
      <w:marLeft w:val="0"/>
      <w:marRight w:val="0"/>
      <w:marTop w:val="0"/>
      <w:marBottom w:val="0"/>
      <w:divBdr>
        <w:top w:val="none" w:sz="0" w:space="0" w:color="auto"/>
        <w:left w:val="none" w:sz="0" w:space="0" w:color="auto"/>
        <w:bottom w:val="none" w:sz="0" w:space="0" w:color="auto"/>
        <w:right w:val="none" w:sz="0" w:space="0" w:color="auto"/>
      </w:divBdr>
    </w:div>
    <w:div w:id="526797981">
      <w:bodyDiv w:val="1"/>
      <w:marLeft w:val="0"/>
      <w:marRight w:val="0"/>
      <w:marTop w:val="0"/>
      <w:marBottom w:val="0"/>
      <w:divBdr>
        <w:top w:val="none" w:sz="0" w:space="0" w:color="auto"/>
        <w:left w:val="none" w:sz="0" w:space="0" w:color="auto"/>
        <w:bottom w:val="none" w:sz="0" w:space="0" w:color="auto"/>
        <w:right w:val="none" w:sz="0" w:space="0" w:color="auto"/>
      </w:divBdr>
    </w:div>
    <w:div w:id="526875356">
      <w:bodyDiv w:val="1"/>
      <w:marLeft w:val="0"/>
      <w:marRight w:val="0"/>
      <w:marTop w:val="0"/>
      <w:marBottom w:val="0"/>
      <w:divBdr>
        <w:top w:val="none" w:sz="0" w:space="0" w:color="auto"/>
        <w:left w:val="none" w:sz="0" w:space="0" w:color="auto"/>
        <w:bottom w:val="none" w:sz="0" w:space="0" w:color="auto"/>
        <w:right w:val="none" w:sz="0" w:space="0" w:color="auto"/>
      </w:divBdr>
    </w:div>
    <w:div w:id="530923712">
      <w:bodyDiv w:val="1"/>
      <w:marLeft w:val="0"/>
      <w:marRight w:val="0"/>
      <w:marTop w:val="0"/>
      <w:marBottom w:val="0"/>
      <w:divBdr>
        <w:top w:val="none" w:sz="0" w:space="0" w:color="auto"/>
        <w:left w:val="none" w:sz="0" w:space="0" w:color="auto"/>
        <w:bottom w:val="none" w:sz="0" w:space="0" w:color="auto"/>
        <w:right w:val="none" w:sz="0" w:space="0" w:color="auto"/>
      </w:divBdr>
    </w:div>
    <w:div w:id="538007054">
      <w:bodyDiv w:val="1"/>
      <w:marLeft w:val="0"/>
      <w:marRight w:val="0"/>
      <w:marTop w:val="0"/>
      <w:marBottom w:val="0"/>
      <w:divBdr>
        <w:top w:val="none" w:sz="0" w:space="0" w:color="auto"/>
        <w:left w:val="none" w:sz="0" w:space="0" w:color="auto"/>
        <w:bottom w:val="none" w:sz="0" w:space="0" w:color="auto"/>
        <w:right w:val="none" w:sz="0" w:space="0" w:color="auto"/>
      </w:divBdr>
    </w:div>
    <w:div w:id="538709816">
      <w:bodyDiv w:val="1"/>
      <w:marLeft w:val="0"/>
      <w:marRight w:val="0"/>
      <w:marTop w:val="0"/>
      <w:marBottom w:val="0"/>
      <w:divBdr>
        <w:top w:val="none" w:sz="0" w:space="0" w:color="auto"/>
        <w:left w:val="none" w:sz="0" w:space="0" w:color="auto"/>
        <w:bottom w:val="none" w:sz="0" w:space="0" w:color="auto"/>
        <w:right w:val="none" w:sz="0" w:space="0" w:color="auto"/>
      </w:divBdr>
    </w:div>
    <w:div w:id="539517694">
      <w:bodyDiv w:val="1"/>
      <w:marLeft w:val="0"/>
      <w:marRight w:val="0"/>
      <w:marTop w:val="0"/>
      <w:marBottom w:val="0"/>
      <w:divBdr>
        <w:top w:val="none" w:sz="0" w:space="0" w:color="auto"/>
        <w:left w:val="none" w:sz="0" w:space="0" w:color="auto"/>
        <w:bottom w:val="none" w:sz="0" w:space="0" w:color="auto"/>
        <w:right w:val="none" w:sz="0" w:space="0" w:color="auto"/>
      </w:divBdr>
    </w:div>
    <w:div w:id="539703615">
      <w:bodyDiv w:val="1"/>
      <w:marLeft w:val="0"/>
      <w:marRight w:val="0"/>
      <w:marTop w:val="0"/>
      <w:marBottom w:val="0"/>
      <w:divBdr>
        <w:top w:val="none" w:sz="0" w:space="0" w:color="auto"/>
        <w:left w:val="none" w:sz="0" w:space="0" w:color="auto"/>
        <w:bottom w:val="none" w:sz="0" w:space="0" w:color="auto"/>
        <w:right w:val="none" w:sz="0" w:space="0" w:color="auto"/>
      </w:divBdr>
    </w:div>
    <w:div w:id="540673309">
      <w:bodyDiv w:val="1"/>
      <w:marLeft w:val="0"/>
      <w:marRight w:val="0"/>
      <w:marTop w:val="0"/>
      <w:marBottom w:val="0"/>
      <w:divBdr>
        <w:top w:val="none" w:sz="0" w:space="0" w:color="auto"/>
        <w:left w:val="none" w:sz="0" w:space="0" w:color="auto"/>
        <w:bottom w:val="none" w:sz="0" w:space="0" w:color="auto"/>
        <w:right w:val="none" w:sz="0" w:space="0" w:color="auto"/>
      </w:divBdr>
    </w:div>
    <w:div w:id="549197509">
      <w:bodyDiv w:val="1"/>
      <w:marLeft w:val="0"/>
      <w:marRight w:val="0"/>
      <w:marTop w:val="0"/>
      <w:marBottom w:val="0"/>
      <w:divBdr>
        <w:top w:val="none" w:sz="0" w:space="0" w:color="auto"/>
        <w:left w:val="none" w:sz="0" w:space="0" w:color="auto"/>
        <w:bottom w:val="none" w:sz="0" w:space="0" w:color="auto"/>
        <w:right w:val="none" w:sz="0" w:space="0" w:color="auto"/>
      </w:divBdr>
    </w:div>
    <w:div w:id="559875173">
      <w:bodyDiv w:val="1"/>
      <w:marLeft w:val="0"/>
      <w:marRight w:val="0"/>
      <w:marTop w:val="0"/>
      <w:marBottom w:val="0"/>
      <w:divBdr>
        <w:top w:val="none" w:sz="0" w:space="0" w:color="auto"/>
        <w:left w:val="none" w:sz="0" w:space="0" w:color="auto"/>
        <w:bottom w:val="none" w:sz="0" w:space="0" w:color="auto"/>
        <w:right w:val="none" w:sz="0" w:space="0" w:color="auto"/>
      </w:divBdr>
    </w:div>
    <w:div w:id="561675792">
      <w:bodyDiv w:val="1"/>
      <w:marLeft w:val="0"/>
      <w:marRight w:val="0"/>
      <w:marTop w:val="0"/>
      <w:marBottom w:val="0"/>
      <w:divBdr>
        <w:top w:val="none" w:sz="0" w:space="0" w:color="auto"/>
        <w:left w:val="none" w:sz="0" w:space="0" w:color="auto"/>
        <w:bottom w:val="none" w:sz="0" w:space="0" w:color="auto"/>
        <w:right w:val="none" w:sz="0" w:space="0" w:color="auto"/>
      </w:divBdr>
    </w:div>
    <w:div w:id="562252601">
      <w:bodyDiv w:val="1"/>
      <w:marLeft w:val="0"/>
      <w:marRight w:val="0"/>
      <w:marTop w:val="0"/>
      <w:marBottom w:val="0"/>
      <w:divBdr>
        <w:top w:val="none" w:sz="0" w:space="0" w:color="auto"/>
        <w:left w:val="none" w:sz="0" w:space="0" w:color="auto"/>
        <w:bottom w:val="none" w:sz="0" w:space="0" w:color="auto"/>
        <w:right w:val="none" w:sz="0" w:space="0" w:color="auto"/>
      </w:divBdr>
    </w:div>
    <w:div w:id="563832716">
      <w:bodyDiv w:val="1"/>
      <w:marLeft w:val="0"/>
      <w:marRight w:val="0"/>
      <w:marTop w:val="0"/>
      <w:marBottom w:val="0"/>
      <w:divBdr>
        <w:top w:val="none" w:sz="0" w:space="0" w:color="auto"/>
        <w:left w:val="none" w:sz="0" w:space="0" w:color="auto"/>
        <w:bottom w:val="none" w:sz="0" w:space="0" w:color="auto"/>
        <w:right w:val="none" w:sz="0" w:space="0" w:color="auto"/>
      </w:divBdr>
    </w:div>
    <w:div w:id="566376948">
      <w:bodyDiv w:val="1"/>
      <w:marLeft w:val="0"/>
      <w:marRight w:val="0"/>
      <w:marTop w:val="0"/>
      <w:marBottom w:val="0"/>
      <w:divBdr>
        <w:top w:val="none" w:sz="0" w:space="0" w:color="auto"/>
        <w:left w:val="none" w:sz="0" w:space="0" w:color="auto"/>
        <w:bottom w:val="none" w:sz="0" w:space="0" w:color="auto"/>
        <w:right w:val="none" w:sz="0" w:space="0" w:color="auto"/>
      </w:divBdr>
    </w:div>
    <w:div w:id="567958961">
      <w:bodyDiv w:val="1"/>
      <w:marLeft w:val="0"/>
      <w:marRight w:val="0"/>
      <w:marTop w:val="0"/>
      <w:marBottom w:val="0"/>
      <w:divBdr>
        <w:top w:val="none" w:sz="0" w:space="0" w:color="auto"/>
        <w:left w:val="none" w:sz="0" w:space="0" w:color="auto"/>
        <w:bottom w:val="none" w:sz="0" w:space="0" w:color="auto"/>
        <w:right w:val="none" w:sz="0" w:space="0" w:color="auto"/>
      </w:divBdr>
    </w:div>
    <w:div w:id="575633405">
      <w:bodyDiv w:val="1"/>
      <w:marLeft w:val="0"/>
      <w:marRight w:val="0"/>
      <w:marTop w:val="0"/>
      <w:marBottom w:val="0"/>
      <w:divBdr>
        <w:top w:val="none" w:sz="0" w:space="0" w:color="auto"/>
        <w:left w:val="none" w:sz="0" w:space="0" w:color="auto"/>
        <w:bottom w:val="none" w:sz="0" w:space="0" w:color="auto"/>
        <w:right w:val="none" w:sz="0" w:space="0" w:color="auto"/>
      </w:divBdr>
    </w:div>
    <w:div w:id="577398773">
      <w:bodyDiv w:val="1"/>
      <w:marLeft w:val="0"/>
      <w:marRight w:val="0"/>
      <w:marTop w:val="0"/>
      <w:marBottom w:val="0"/>
      <w:divBdr>
        <w:top w:val="none" w:sz="0" w:space="0" w:color="auto"/>
        <w:left w:val="none" w:sz="0" w:space="0" w:color="auto"/>
        <w:bottom w:val="none" w:sz="0" w:space="0" w:color="auto"/>
        <w:right w:val="none" w:sz="0" w:space="0" w:color="auto"/>
      </w:divBdr>
    </w:div>
    <w:div w:id="578755603">
      <w:bodyDiv w:val="1"/>
      <w:marLeft w:val="0"/>
      <w:marRight w:val="0"/>
      <w:marTop w:val="0"/>
      <w:marBottom w:val="0"/>
      <w:divBdr>
        <w:top w:val="none" w:sz="0" w:space="0" w:color="auto"/>
        <w:left w:val="none" w:sz="0" w:space="0" w:color="auto"/>
        <w:bottom w:val="none" w:sz="0" w:space="0" w:color="auto"/>
        <w:right w:val="none" w:sz="0" w:space="0" w:color="auto"/>
      </w:divBdr>
    </w:div>
    <w:div w:id="583609126">
      <w:bodyDiv w:val="1"/>
      <w:marLeft w:val="0"/>
      <w:marRight w:val="0"/>
      <w:marTop w:val="0"/>
      <w:marBottom w:val="0"/>
      <w:divBdr>
        <w:top w:val="none" w:sz="0" w:space="0" w:color="auto"/>
        <w:left w:val="none" w:sz="0" w:space="0" w:color="auto"/>
        <w:bottom w:val="none" w:sz="0" w:space="0" w:color="auto"/>
        <w:right w:val="none" w:sz="0" w:space="0" w:color="auto"/>
      </w:divBdr>
    </w:div>
    <w:div w:id="584726353">
      <w:bodyDiv w:val="1"/>
      <w:marLeft w:val="0"/>
      <w:marRight w:val="0"/>
      <w:marTop w:val="0"/>
      <w:marBottom w:val="0"/>
      <w:divBdr>
        <w:top w:val="none" w:sz="0" w:space="0" w:color="auto"/>
        <w:left w:val="none" w:sz="0" w:space="0" w:color="auto"/>
        <w:bottom w:val="none" w:sz="0" w:space="0" w:color="auto"/>
        <w:right w:val="none" w:sz="0" w:space="0" w:color="auto"/>
      </w:divBdr>
    </w:div>
    <w:div w:id="593784710">
      <w:bodyDiv w:val="1"/>
      <w:marLeft w:val="0"/>
      <w:marRight w:val="0"/>
      <w:marTop w:val="0"/>
      <w:marBottom w:val="0"/>
      <w:divBdr>
        <w:top w:val="none" w:sz="0" w:space="0" w:color="auto"/>
        <w:left w:val="none" w:sz="0" w:space="0" w:color="auto"/>
        <w:bottom w:val="none" w:sz="0" w:space="0" w:color="auto"/>
        <w:right w:val="none" w:sz="0" w:space="0" w:color="auto"/>
      </w:divBdr>
    </w:div>
    <w:div w:id="595872080">
      <w:bodyDiv w:val="1"/>
      <w:marLeft w:val="0"/>
      <w:marRight w:val="0"/>
      <w:marTop w:val="0"/>
      <w:marBottom w:val="0"/>
      <w:divBdr>
        <w:top w:val="none" w:sz="0" w:space="0" w:color="auto"/>
        <w:left w:val="none" w:sz="0" w:space="0" w:color="auto"/>
        <w:bottom w:val="none" w:sz="0" w:space="0" w:color="auto"/>
        <w:right w:val="none" w:sz="0" w:space="0" w:color="auto"/>
      </w:divBdr>
    </w:div>
    <w:div w:id="602883912">
      <w:bodyDiv w:val="1"/>
      <w:marLeft w:val="0"/>
      <w:marRight w:val="0"/>
      <w:marTop w:val="0"/>
      <w:marBottom w:val="0"/>
      <w:divBdr>
        <w:top w:val="none" w:sz="0" w:space="0" w:color="auto"/>
        <w:left w:val="none" w:sz="0" w:space="0" w:color="auto"/>
        <w:bottom w:val="none" w:sz="0" w:space="0" w:color="auto"/>
        <w:right w:val="none" w:sz="0" w:space="0" w:color="auto"/>
      </w:divBdr>
    </w:div>
    <w:div w:id="603537886">
      <w:bodyDiv w:val="1"/>
      <w:marLeft w:val="0"/>
      <w:marRight w:val="0"/>
      <w:marTop w:val="0"/>
      <w:marBottom w:val="0"/>
      <w:divBdr>
        <w:top w:val="none" w:sz="0" w:space="0" w:color="auto"/>
        <w:left w:val="none" w:sz="0" w:space="0" w:color="auto"/>
        <w:bottom w:val="none" w:sz="0" w:space="0" w:color="auto"/>
        <w:right w:val="none" w:sz="0" w:space="0" w:color="auto"/>
      </w:divBdr>
    </w:div>
    <w:div w:id="609051350">
      <w:bodyDiv w:val="1"/>
      <w:marLeft w:val="0"/>
      <w:marRight w:val="0"/>
      <w:marTop w:val="0"/>
      <w:marBottom w:val="0"/>
      <w:divBdr>
        <w:top w:val="none" w:sz="0" w:space="0" w:color="auto"/>
        <w:left w:val="none" w:sz="0" w:space="0" w:color="auto"/>
        <w:bottom w:val="none" w:sz="0" w:space="0" w:color="auto"/>
        <w:right w:val="none" w:sz="0" w:space="0" w:color="auto"/>
      </w:divBdr>
    </w:div>
    <w:div w:id="612631136">
      <w:bodyDiv w:val="1"/>
      <w:marLeft w:val="0"/>
      <w:marRight w:val="0"/>
      <w:marTop w:val="0"/>
      <w:marBottom w:val="0"/>
      <w:divBdr>
        <w:top w:val="none" w:sz="0" w:space="0" w:color="auto"/>
        <w:left w:val="none" w:sz="0" w:space="0" w:color="auto"/>
        <w:bottom w:val="none" w:sz="0" w:space="0" w:color="auto"/>
        <w:right w:val="none" w:sz="0" w:space="0" w:color="auto"/>
      </w:divBdr>
    </w:div>
    <w:div w:id="613288160">
      <w:bodyDiv w:val="1"/>
      <w:marLeft w:val="0"/>
      <w:marRight w:val="0"/>
      <w:marTop w:val="0"/>
      <w:marBottom w:val="0"/>
      <w:divBdr>
        <w:top w:val="none" w:sz="0" w:space="0" w:color="auto"/>
        <w:left w:val="none" w:sz="0" w:space="0" w:color="auto"/>
        <w:bottom w:val="none" w:sz="0" w:space="0" w:color="auto"/>
        <w:right w:val="none" w:sz="0" w:space="0" w:color="auto"/>
      </w:divBdr>
    </w:div>
    <w:div w:id="619798692">
      <w:bodyDiv w:val="1"/>
      <w:marLeft w:val="0"/>
      <w:marRight w:val="0"/>
      <w:marTop w:val="0"/>
      <w:marBottom w:val="0"/>
      <w:divBdr>
        <w:top w:val="none" w:sz="0" w:space="0" w:color="auto"/>
        <w:left w:val="none" w:sz="0" w:space="0" w:color="auto"/>
        <w:bottom w:val="none" w:sz="0" w:space="0" w:color="auto"/>
        <w:right w:val="none" w:sz="0" w:space="0" w:color="auto"/>
      </w:divBdr>
    </w:div>
    <w:div w:id="622617576">
      <w:bodyDiv w:val="1"/>
      <w:marLeft w:val="0"/>
      <w:marRight w:val="0"/>
      <w:marTop w:val="0"/>
      <w:marBottom w:val="0"/>
      <w:divBdr>
        <w:top w:val="none" w:sz="0" w:space="0" w:color="auto"/>
        <w:left w:val="none" w:sz="0" w:space="0" w:color="auto"/>
        <w:bottom w:val="none" w:sz="0" w:space="0" w:color="auto"/>
        <w:right w:val="none" w:sz="0" w:space="0" w:color="auto"/>
      </w:divBdr>
    </w:div>
    <w:div w:id="623080085">
      <w:bodyDiv w:val="1"/>
      <w:marLeft w:val="0"/>
      <w:marRight w:val="0"/>
      <w:marTop w:val="0"/>
      <w:marBottom w:val="0"/>
      <w:divBdr>
        <w:top w:val="none" w:sz="0" w:space="0" w:color="auto"/>
        <w:left w:val="none" w:sz="0" w:space="0" w:color="auto"/>
        <w:bottom w:val="none" w:sz="0" w:space="0" w:color="auto"/>
        <w:right w:val="none" w:sz="0" w:space="0" w:color="auto"/>
      </w:divBdr>
    </w:div>
    <w:div w:id="630357080">
      <w:bodyDiv w:val="1"/>
      <w:marLeft w:val="0"/>
      <w:marRight w:val="0"/>
      <w:marTop w:val="0"/>
      <w:marBottom w:val="0"/>
      <w:divBdr>
        <w:top w:val="none" w:sz="0" w:space="0" w:color="auto"/>
        <w:left w:val="none" w:sz="0" w:space="0" w:color="auto"/>
        <w:bottom w:val="none" w:sz="0" w:space="0" w:color="auto"/>
        <w:right w:val="none" w:sz="0" w:space="0" w:color="auto"/>
      </w:divBdr>
    </w:div>
    <w:div w:id="639506566">
      <w:bodyDiv w:val="1"/>
      <w:marLeft w:val="0"/>
      <w:marRight w:val="0"/>
      <w:marTop w:val="0"/>
      <w:marBottom w:val="0"/>
      <w:divBdr>
        <w:top w:val="none" w:sz="0" w:space="0" w:color="auto"/>
        <w:left w:val="none" w:sz="0" w:space="0" w:color="auto"/>
        <w:bottom w:val="none" w:sz="0" w:space="0" w:color="auto"/>
        <w:right w:val="none" w:sz="0" w:space="0" w:color="auto"/>
      </w:divBdr>
    </w:div>
    <w:div w:id="642928740">
      <w:bodyDiv w:val="1"/>
      <w:marLeft w:val="0"/>
      <w:marRight w:val="0"/>
      <w:marTop w:val="0"/>
      <w:marBottom w:val="0"/>
      <w:divBdr>
        <w:top w:val="none" w:sz="0" w:space="0" w:color="auto"/>
        <w:left w:val="none" w:sz="0" w:space="0" w:color="auto"/>
        <w:bottom w:val="none" w:sz="0" w:space="0" w:color="auto"/>
        <w:right w:val="none" w:sz="0" w:space="0" w:color="auto"/>
      </w:divBdr>
    </w:div>
    <w:div w:id="650401681">
      <w:bodyDiv w:val="1"/>
      <w:marLeft w:val="0"/>
      <w:marRight w:val="0"/>
      <w:marTop w:val="0"/>
      <w:marBottom w:val="0"/>
      <w:divBdr>
        <w:top w:val="none" w:sz="0" w:space="0" w:color="auto"/>
        <w:left w:val="none" w:sz="0" w:space="0" w:color="auto"/>
        <w:bottom w:val="none" w:sz="0" w:space="0" w:color="auto"/>
        <w:right w:val="none" w:sz="0" w:space="0" w:color="auto"/>
      </w:divBdr>
    </w:div>
    <w:div w:id="651178088">
      <w:bodyDiv w:val="1"/>
      <w:marLeft w:val="0"/>
      <w:marRight w:val="0"/>
      <w:marTop w:val="0"/>
      <w:marBottom w:val="0"/>
      <w:divBdr>
        <w:top w:val="none" w:sz="0" w:space="0" w:color="auto"/>
        <w:left w:val="none" w:sz="0" w:space="0" w:color="auto"/>
        <w:bottom w:val="none" w:sz="0" w:space="0" w:color="auto"/>
        <w:right w:val="none" w:sz="0" w:space="0" w:color="auto"/>
      </w:divBdr>
    </w:div>
    <w:div w:id="652953358">
      <w:bodyDiv w:val="1"/>
      <w:marLeft w:val="0"/>
      <w:marRight w:val="0"/>
      <w:marTop w:val="0"/>
      <w:marBottom w:val="0"/>
      <w:divBdr>
        <w:top w:val="none" w:sz="0" w:space="0" w:color="auto"/>
        <w:left w:val="none" w:sz="0" w:space="0" w:color="auto"/>
        <w:bottom w:val="none" w:sz="0" w:space="0" w:color="auto"/>
        <w:right w:val="none" w:sz="0" w:space="0" w:color="auto"/>
      </w:divBdr>
    </w:div>
    <w:div w:id="653795336">
      <w:bodyDiv w:val="1"/>
      <w:marLeft w:val="0"/>
      <w:marRight w:val="0"/>
      <w:marTop w:val="0"/>
      <w:marBottom w:val="0"/>
      <w:divBdr>
        <w:top w:val="none" w:sz="0" w:space="0" w:color="auto"/>
        <w:left w:val="none" w:sz="0" w:space="0" w:color="auto"/>
        <w:bottom w:val="none" w:sz="0" w:space="0" w:color="auto"/>
        <w:right w:val="none" w:sz="0" w:space="0" w:color="auto"/>
      </w:divBdr>
    </w:div>
    <w:div w:id="657803304">
      <w:bodyDiv w:val="1"/>
      <w:marLeft w:val="0"/>
      <w:marRight w:val="0"/>
      <w:marTop w:val="0"/>
      <w:marBottom w:val="0"/>
      <w:divBdr>
        <w:top w:val="none" w:sz="0" w:space="0" w:color="auto"/>
        <w:left w:val="none" w:sz="0" w:space="0" w:color="auto"/>
        <w:bottom w:val="none" w:sz="0" w:space="0" w:color="auto"/>
        <w:right w:val="none" w:sz="0" w:space="0" w:color="auto"/>
      </w:divBdr>
    </w:div>
    <w:div w:id="662665114">
      <w:bodyDiv w:val="1"/>
      <w:marLeft w:val="0"/>
      <w:marRight w:val="0"/>
      <w:marTop w:val="0"/>
      <w:marBottom w:val="0"/>
      <w:divBdr>
        <w:top w:val="none" w:sz="0" w:space="0" w:color="auto"/>
        <w:left w:val="none" w:sz="0" w:space="0" w:color="auto"/>
        <w:bottom w:val="none" w:sz="0" w:space="0" w:color="auto"/>
        <w:right w:val="none" w:sz="0" w:space="0" w:color="auto"/>
      </w:divBdr>
    </w:div>
    <w:div w:id="665017631">
      <w:bodyDiv w:val="1"/>
      <w:marLeft w:val="0"/>
      <w:marRight w:val="0"/>
      <w:marTop w:val="0"/>
      <w:marBottom w:val="0"/>
      <w:divBdr>
        <w:top w:val="none" w:sz="0" w:space="0" w:color="auto"/>
        <w:left w:val="none" w:sz="0" w:space="0" w:color="auto"/>
        <w:bottom w:val="none" w:sz="0" w:space="0" w:color="auto"/>
        <w:right w:val="none" w:sz="0" w:space="0" w:color="auto"/>
      </w:divBdr>
    </w:div>
    <w:div w:id="667944837">
      <w:bodyDiv w:val="1"/>
      <w:marLeft w:val="0"/>
      <w:marRight w:val="0"/>
      <w:marTop w:val="0"/>
      <w:marBottom w:val="0"/>
      <w:divBdr>
        <w:top w:val="none" w:sz="0" w:space="0" w:color="auto"/>
        <w:left w:val="none" w:sz="0" w:space="0" w:color="auto"/>
        <w:bottom w:val="none" w:sz="0" w:space="0" w:color="auto"/>
        <w:right w:val="none" w:sz="0" w:space="0" w:color="auto"/>
      </w:divBdr>
    </w:div>
    <w:div w:id="668025941">
      <w:bodyDiv w:val="1"/>
      <w:marLeft w:val="0"/>
      <w:marRight w:val="0"/>
      <w:marTop w:val="0"/>
      <w:marBottom w:val="0"/>
      <w:divBdr>
        <w:top w:val="none" w:sz="0" w:space="0" w:color="auto"/>
        <w:left w:val="none" w:sz="0" w:space="0" w:color="auto"/>
        <w:bottom w:val="none" w:sz="0" w:space="0" w:color="auto"/>
        <w:right w:val="none" w:sz="0" w:space="0" w:color="auto"/>
      </w:divBdr>
    </w:div>
    <w:div w:id="673147891">
      <w:bodyDiv w:val="1"/>
      <w:marLeft w:val="0"/>
      <w:marRight w:val="0"/>
      <w:marTop w:val="0"/>
      <w:marBottom w:val="0"/>
      <w:divBdr>
        <w:top w:val="none" w:sz="0" w:space="0" w:color="auto"/>
        <w:left w:val="none" w:sz="0" w:space="0" w:color="auto"/>
        <w:bottom w:val="none" w:sz="0" w:space="0" w:color="auto"/>
        <w:right w:val="none" w:sz="0" w:space="0" w:color="auto"/>
      </w:divBdr>
    </w:div>
    <w:div w:id="675184596">
      <w:bodyDiv w:val="1"/>
      <w:marLeft w:val="0"/>
      <w:marRight w:val="0"/>
      <w:marTop w:val="0"/>
      <w:marBottom w:val="0"/>
      <w:divBdr>
        <w:top w:val="none" w:sz="0" w:space="0" w:color="auto"/>
        <w:left w:val="none" w:sz="0" w:space="0" w:color="auto"/>
        <w:bottom w:val="none" w:sz="0" w:space="0" w:color="auto"/>
        <w:right w:val="none" w:sz="0" w:space="0" w:color="auto"/>
      </w:divBdr>
    </w:div>
    <w:div w:id="682513654">
      <w:bodyDiv w:val="1"/>
      <w:marLeft w:val="0"/>
      <w:marRight w:val="0"/>
      <w:marTop w:val="0"/>
      <w:marBottom w:val="0"/>
      <w:divBdr>
        <w:top w:val="none" w:sz="0" w:space="0" w:color="auto"/>
        <w:left w:val="none" w:sz="0" w:space="0" w:color="auto"/>
        <w:bottom w:val="none" w:sz="0" w:space="0" w:color="auto"/>
        <w:right w:val="none" w:sz="0" w:space="0" w:color="auto"/>
      </w:divBdr>
    </w:div>
    <w:div w:id="688607452">
      <w:bodyDiv w:val="1"/>
      <w:marLeft w:val="0"/>
      <w:marRight w:val="0"/>
      <w:marTop w:val="0"/>
      <w:marBottom w:val="0"/>
      <w:divBdr>
        <w:top w:val="none" w:sz="0" w:space="0" w:color="auto"/>
        <w:left w:val="none" w:sz="0" w:space="0" w:color="auto"/>
        <w:bottom w:val="none" w:sz="0" w:space="0" w:color="auto"/>
        <w:right w:val="none" w:sz="0" w:space="0" w:color="auto"/>
      </w:divBdr>
    </w:div>
    <w:div w:id="691108869">
      <w:bodyDiv w:val="1"/>
      <w:marLeft w:val="0"/>
      <w:marRight w:val="0"/>
      <w:marTop w:val="0"/>
      <w:marBottom w:val="0"/>
      <w:divBdr>
        <w:top w:val="none" w:sz="0" w:space="0" w:color="auto"/>
        <w:left w:val="none" w:sz="0" w:space="0" w:color="auto"/>
        <w:bottom w:val="none" w:sz="0" w:space="0" w:color="auto"/>
        <w:right w:val="none" w:sz="0" w:space="0" w:color="auto"/>
      </w:divBdr>
    </w:div>
    <w:div w:id="691686651">
      <w:bodyDiv w:val="1"/>
      <w:marLeft w:val="0"/>
      <w:marRight w:val="0"/>
      <w:marTop w:val="0"/>
      <w:marBottom w:val="0"/>
      <w:divBdr>
        <w:top w:val="none" w:sz="0" w:space="0" w:color="auto"/>
        <w:left w:val="none" w:sz="0" w:space="0" w:color="auto"/>
        <w:bottom w:val="none" w:sz="0" w:space="0" w:color="auto"/>
        <w:right w:val="none" w:sz="0" w:space="0" w:color="auto"/>
      </w:divBdr>
    </w:div>
    <w:div w:id="692650358">
      <w:bodyDiv w:val="1"/>
      <w:marLeft w:val="0"/>
      <w:marRight w:val="0"/>
      <w:marTop w:val="0"/>
      <w:marBottom w:val="0"/>
      <w:divBdr>
        <w:top w:val="none" w:sz="0" w:space="0" w:color="auto"/>
        <w:left w:val="none" w:sz="0" w:space="0" w:color="auto"/>
        <w:bottom w:val="none" w:sz="0" w:space="0" w:color="auto"/>
        <w:right w:val="none" w:sz="0" w:space="0" w:color="auto"/>
      </w:divBdr>
    </w:div>
    <w:div w:id="695930789">
      <w:bodyDiv w:val="1"/>
      <w:marLeft w:val="0"/>
      <w:marRight w:val="0"/>
      <w:marTop w:val="0"/>
      <w:marBottom w:val="0"/>
      <w:divBdr>
        <w:top w:val="none" w:sz="0" w:space="0" w:color="auto"/>
        <w:left w:val="none" w:sz="0" w:space="0" w:color="auto"/>
        <w:bottom w:val="none" w:sz="0" w:space="0" w:color="auto"/>
        <w:right w:val="none" w:sz="0" w:space="0" w:color="auto"/>
      </w:divBdr>
    </w:div>
    <w:div w:id="700475320">
      <w:bodyDiv w:val="1"/>
      <w:marLeft w:val="0"/>
      <w:marRight w:val="0"/>
      <w:marTop w:val="0"/>
      <w:marBottom w:val="0"/>
      <w:divBdr>
        <w:top w:val="none" w:sz="0" w:space="0" w:color="auto"/>
        <w:left w:val="none" w:sz="0" w:space="0" w:color="auto"/>
        <w:bottom w:val="none" w:sz="0" w:space="0" w:color="auto"/>
        <w:right w:val="none" w:sz="0" w:space="0" w:color="auto"/>
      </w:divBdr>
    </w:div>
    <w:div w:id="712996612">
      <w:bodyDiv w:val="1"/>
      <w:marLeft w:val="0"/>
      <w:marRight w:val="0"/>
      <w:marTop w:val="0"/>
      <w:marBottom w:val="0"/>
      <w:divBdr>
        <w:top w:val="none" w:sz="0" w:space="0" w:color="auto"/>
        <w:left w:val="none" w:sz="0" w:space="0" w:color="auto"/>
        <w:bottom w:val="none" w:sz="0" w:space="0" w:color="auto"/>
        <w:right w:val="none" w:sz="0" w:space="0" w:color="auto"/>
      </w:divBdr>
    </w:div>
    <w:div w:id="732846959">
      <w:bodyDiv w:val="1"/>
      <w:marLeft w:val="0"/>
      <w:marRight w:val="0"/>
      <w:marTop w:val="0"/>
      <w:marBottom w:val="0"/>
      <w:divBdr>
        <w:top w:val="none" w:sz="0" w:space="0" w:color="auto"/>
        <w:left w:val="none" w:sz="0" w:space="0" w:color="auto"/>
        <w:bottom w:val="none" w:sz="0" w:space="0" w:color="auto"/>
        <w:right w:val="none" w:sz="0" w:space="0" w:color="auto"/>
      </w:divBdr>
    </w:div>
    <w:div w:id="734470505">
      <w:bodyDiv w:val="1"/>
      <w:marLeft w:val="0"/>
      <w:marRight w:val="0"/>
      <w:marTop w:val="0"/>
      <w:marBottom w:val="0"/>
      <w:divBdr>
        <w:top w:val="none" w:sz="0" w:space="0" w:color="auto"/>
        <w:left w:val="none" w:sz="0" w:space="0" w:color="auto"/>
        <w:bottom w:val="none" w:sz="0" w:space="0" w:color="auto"/>
        <w:right w:val="none" w:sz="0" w:space="0" w:color="auto"/>
      </w:divBdr>
    </w:div>
    <w:div w:id="740102941">
      <w:bodyDiv w:val="1"/>
      <w:marLeft w:val="0"/>
      <w:marRight w:val="0"/>
      <w:marTop w:val="0"/>
      <w:marBottom w:val="0"/>
      <w:divBdr>
        <w:top w:val="none" w:sz="0" w:space="0" w:color="auto"/>
        <w:left w:val="none" w:sz="0" w:space="0" w:color="auto"/>
        <w:bottom w:val="none" w:sz="0" w:space="0" w:color="auto"/>
        <w:right w:val="none" w:sz="0" w:space="0" w:color="auto"/>
      </w:divBdr>
    </w:div>
    <w:div w:id="742483019">
      <w:bodyDiv w:val="1"/>
      <w:marLeft w:val="0"/>
      <w:marRight w:val="0"/>
      <w:marTop w:val="0"/>
      <w:marBottom w:val="0"/>
      <w:divBdr>
        <w:top w:val="none" w:sz="0" w:space="0" w:color="auto"/>
        <w:left w:val="none" w:sz="0" w:space="0" w:color="auto"/>
        <w:bottom w:val="none" w:sz="0" w:space="0" w:color="auto"/>
        <w:right w:val="none" w:sz="0" w:space="0" w:color="auto"/>
      </w:divBdr>
    </w:div>
    <w:div w:id="743914763">
      <w:bodyDiv w:val="1"/>
      <w:marLeft w:val="0"/>
      <w:marRight w:val="0"/>
      <w:marTop w:val="0"/>
      <w:marBottom w:val="0"/>
      <w:divBdr>
        <w:top w:val="none" w:sz="0" w:space="0" w:color="auto"/>
        <w:left w:val="none" w:sz="0" w:space="0" w:color="auto"/>
        <w:bottom w:val="none" w:sz="0" w:space="0" w:color="auto"/>
        <w:right w:val="none" w:sz="0" w:space="0" w:color="auto"/>
      </w:divBdr>
    </w:div>
    <w:div w:id="744499702">
      <w:bodyDiv w:val="1"/>
      <w:marLeft w:val="0"/>
      <w:marRight w:val="0"/>
      <w:marTop w:val="0"/>
      <w:marBottom w:val="0"/>
      <w:divBdr>
        <w:top w:val="none" w:sz="0" w:space="0" w:color="auto"/>
        <w:left w:val="none" w:sz="0" w:space="0" w:color="auto"/>
        <w:bottom w:val="none" w:sz="0" w:space="0" w:color="auto"/>
        <w:right w:val="none" w:sz="0" w:space="0" w:color="auto"/>
      </w:divBdr>
    </w:div>
    <w:div w:id="749232333">
      <w:bodyDiv w:val="1"/>
      <w:marLeft w:val="0"/>
      <w:marRight w:val="0"/>
      <w:marTop w:val="0"/>
      <w:marBottom w:val="0"/>
      <w:divBdr>
        <w:top w:val="none" w:sz="0" w:space="0" w:color="auto"/>
        <w:left w:val="none" w:sz="0" w:space="0" w:color="auto"/>
        <w:bottom w:val="none" w:sz="0" w:space="0" w:color="auto"/>
        <w:right w:val="none" w:sz="0" w:space="0" w:color="auto"/>
      </w:divBdr>
    </w:div>
    <w:div w:id="751124300">
      <w:bodyDiv w:val="1"/>
      <w:marLeft w:val="0"/>
      <w:marRight w:val="0"/>
      <w:marTop w:val="0"/>
      <w:marBottom w:val="0"/>
      <w:divBdr>
        <w:top w:val="none" w:sz="0" w:space="0" w:color="auto"/>
        <w:left w:val="none" w:sz="0" w:space="0" w:color="auto"/>
        <w:bottom w:val="none" w:sz="0" w:space="0" w:color="auto"/>
        <w:right w:val="none" w:sz="0" w:space="0" w:color="auto"/>
      </w:divBdr>
    </w:div>
    <w:div w:id="759957267">
      <w:bodyDiv w:val="1"/>
      <w:marLeft w:val="0"/>
      <w:marRight w:val="0"/>
      <w:marTop w:val="0"/>
      <w:marBottom w:val="0"/>
      <w:divBdr>
        <w:top w:val="none" w:sz="0" w:space="0" w:color="auto"/>
        <w:left w:val="none" w:sz="0" w:space="0" w:color="auto"/>
        <w:bottom w:val="none" w:sz="0" w:space="0" w:color="auto"/>
        <w:right w:val="none" w:sz="0" w:space="0" w:color="auto"/>
      </w:divBdr>
    </w:div>
    <w:div w:id="760761838">
      <w:bodyDiv w:val="1"/>
      <w:marLeft w:val="0"/>
      <w:marRight w:val="0"/>
      <w:marTop w:val="0"/>
      <w:marBottom w:val="0"/>
      <w:divBdr>
        <w:top w:val="none" w:sz="0" w:space="0" w:color="auto"/>
        <w:left w:val="none" w:sz="0" w:space="0" w:color="auto"/>
        <w:bottom w:val="none" w:sz="0" w:space="0" w:color="auto"/>
        <w:right w:val="none" w:sz="0" w:space="0" w:color="auto"/>
      </w:divBdr>
    </w:div>
    <w:div w:id="761150480">
      <w:bodyDiv w:val="1"/>
      <w:marLeft w:val="0"/>
      <w:marRight w:val="0"/>
      <w:marTop w:val="0"/>
      <w:marBottom w:val="0"/>
      <w:divBdr>
        <w:top w:val="none" w:sz="0" w:space="0" w:color="auto"/>
        <w:left w:val="none" w:sz="0" w:space="0" w:color="auto"/>
        <w:bottom w:val="none" w:sz="0" w:space="0" w:color="auto"/>
        <w:right w:val="none" w:sz="0" w:space="0" w:color="auto"/>
      </w:divBdr>
    </w:div>
    <w:div w:id="762922156">
      <w:bodyDiv w:val="1"/>
      <w:marLeft w:val="0"/>
      <w:marRight w:val="0"/>
      <w:marTop w:val="0"/>
      <w:marBottom w:val="0"/>
      <w:divBdr>
        <w:top w:val="none" w:sz="0" w:space="0" w:color="auto"/>
        <w:left w:val="none" w:sz="0" w:space="0" w:color="auto"/>
        <w:bottom w:val="none" w:sz="0" w:space="0" w:color="auto"/>
        <w:right w:val="none" w:sz="0" w:space="0" w:color="auto"/>
      </w:divBdr>
    </w:div>
    <w:div w:id="766854772">
      <w:bodyDiv w:val="1"/>
      <w:marLeft w:val="0"/>
      <w:marRight w:val="0"/>
      <w:marTop w:val="0"/>
      <w:marBottom w:val="0"/>
      <w:divBdr>
        <w:top w:val="none" w:sz="0" w:space="0" w:color="auto"/>
        <w:left w:val="none" w:sz="0" w:space="0" w:color="auto"/>
        <w:bottom w:val="none" w:sz="0" w:space="0" w:color="auto"/>
        <w:right w:val="none" w:sz="0" w:space="0" w:color="auto"/>
      </w:divBdr>
    </w:div>
    <w:div w:id="767503654">
      <w:bodyDiv w:val="1"/>
      <w:marLeft w:val="0"/>
      <w:marRight w:val="0"/>
      <w:marTop w:val="0"/>
      <w:marBottom w:val="0"/>
      <w:divBdr>
        <w:top w:val="none" w:sz="0" w:space="0" w:color="auto"/>
        <w:left w:val="none" w:sz="0" w:space="0" w:color="auto"/>
        <w:bottom w:val="none" w:sz="0" w:space="0" w:color="auto"/>
        <w:right w:val="none" w:sz="0" w:space="0" w:color="auto"/>
      </w:divBdr>
    </w:div>
    <w:div w:id="776682376">
      <w:bodyDiv w:val="1"/>
      <w:marLeft w:val="0"/>
      <w:marRight w:val="0"/>
      <w:marTop w:val="0"/>
      <w:marBottom w:val="0"/>
      <w:divBdr>
        <w:top w:val="none" w:sz="0" w:space="0" w:color="auto"/>
        <w:left w:val="none" w:sz="0" w:space="0" w:color="auto"/>
        <w:bottom w:val="none" w:sz="0" w:space="0" w:color="auto"/>
        <w:right w:val="none" w:sz="0" w:space="0" w:color="auto"/>
      </w:divBdr>
    </w:div>
    <w:div w:id="781344166">
      <w:bodyDiv w:val="1"/>
      <w:marLeft w:val="0"/>
      <w:marRight w:val="0"/>
      <w:marTop w:val="0"/>
      <w:marBottom w:val="0"/>
      <w:divBdr>
        <w:top w:val="none" w:sz="0" w:space="0" w:color="auto"/>
        <w:left w:val="none" w:sz="0" w:space="0" w:color="auto"/>
        <w:bottom w:val="none" w:sz="0" w:space="0" w:color="auto"/>
        <w:right w:val="none" w:sz="0" w:space="0" w:color="auto"/>
      </w:divBdr>
    </w:div>
    <w:div w:id="781995364">
      <w:bodyDiv w:val="1"/>
      <w:marLeft w:val="0"/>
      <w:marRight w:val="0"/>
      <w:marTop w:val="0"/>
      <w:marBottom w:val="0"/>
      <w:divBdr>
        <w:top w:val="none" w:sz="0" w:space="0" w:color="auto"/>
        <w:left w:val="none" w:sz="0" w:space="0" w:color="auto"/>
        <w:bottom w:val="none" w:sz="0" w:space="0" w:color="auto"/>
        <w:right w:val="none" w:sz="0" w:space="0" w:color="auto"/>
      </w:divBdr>
    </w:div>
    <w:div w:id="782699522">
      <w:bodyDiv w:val="1"/>
      <w:marLeft w:val="0"/>
      <w:marRight w:val="0"/>
      <w:marTop w:val="0"/>
      <w:marBottom w:val="0"/>
      <w:divBdr>
        <w:top w:val="none" w:sz="0" w:space="0" w:color="auto"/>
        <w:left w:val="none" w:sz="0" w:space="0" w:color="auto"/>
        <w:bottom w:val="none" w:sz="0" w:space="0" w:color="auto"/>
        <w:right w:val="none" w:sz="0" w:space="0" w:color="auto"/>
      </w:divBdr>
    </w:div>
    <w:div w:id="786891842">
      <w:bodyDiv w:val="1"/>
      <w:marLeft w:val="0"/>
      <w:marRight w:val="0"/>
      <w:marTop w:val="0"/>
      <w:marBottom w:val="0"/>
      <w:divBdr>
        <w:top w:val="none" w:sz="0" w:space="0" w:color="auto"/>
        <w:left w:val="none" w:sz="0" w:space="0" w:color="auto"/>
        <w:bottom w:val="none" w:sz="0" w:space="0" w:color="auto"/>
        <w:right w:val="none" w:sz="0" w:space="0" w:color="auto"/>
      </w:divBdr>
    </w:div>
    <w:div w:id="790365727">
      <w:bodyDiv w:val="1"/>
      <w:marLeft w:val="0"/>
      <w:marRight w:val="0"/>
      <w:marTop w:val="0"/>
      <w:marBottom w:val="0"/>
      <w:divBdr>
        <w:top w:val="none" w:sz="0" w:space="0" w:color="auto"/>
        <w:left w:val="none" w:sz="0" w:space="0" w:color="auto"/>
        <w:bottom w:val="none" w:sz="0" w:space="0" w:color="auto"/>
        <w:right w:val="none" w:sz="0" w:space="0" w:color="auto"/>
      </w:divBdr>
    </w:div>
    <w:div w:id="796676933">
      <w:bodyDiv w:val="1"/>
      <w:marLeft w:val="0"/>
      <w:marRight w:val="0"/>
      <w:marTop w:val="0"/>
      <w:marBottom w:val="0"/>
      <w:divBdr>
        <w:top w:val="none" w:sz="0" w:space="0" w:color="auto"/>
        <w:left w:val="none" w:sz="0" w:space="0" w:color="auto"/>
        <w:bottom w:val="none" w:sz="0" w:space="0" w:color="auto"/>
        <w:right w:val="none" w:sz="0" w:space="0" w:color="auto"/>
      </w:divBdr>
    </w:div>
    <w:div w:id="800346680">
      <w:bodyDiv w:val="1"/>
      <w:marLeft w:val="0"/>
      <w:marRight w:val="0"/>
      <w:marTop w:val="0"/>
      <w:marBottom w:val="0"/>
      <w:divBdr>
        <w:top w:val="none" w:sz="0" w:space="0" w:color="auto"/>
        <w:left w:val="none" w:sz="0" w:space="0" w:color="auto"/>
        <w:bottom w:val="none" w:sz="0" w:space="0" w:color="auto"/>
        <w:right w:val="none" w:sz="0" w:space="0" w:color="auto"/>
      </w:divBdr>
    </w:div>
    <w:div w:id="805315859">
      <w:bodyDiv w:val="1"/>
      <w:marLeft w:val="0"/>
      <w:marRight w:val="0"/>
      <w:marTop w:val="0"/>
      <w:marBottom w:val="0"/>
      <w:divBdr>
        <w:top w:val="none" w:sz="0" w:space="0" w:color="auto"/>
        <w:left w:val="none" w:sz="0" w:space="0" w:color="auto"/>
        <w:bottom w:val="none" w:sz="0" w:space="0" w:color="auto"/>
        <w:right w:val="none" w:sz="0" w:space="0" w:color="auto"/>
      </w:divBdr>
    </w:div>
    <w:div w:id="809395468">
      <w:bodyDiv w:val="1"/>
      <w:marLeft w:val="0"/>
      <w:marRight w:val="0"/>
      <w:marTop w:val="0"/>
      <w:marBottom w:val="0"/>
      <w:divBdr>
        <w:top w:val="none" w:sz="0" w:space="0" w:color="auto"/>
        <w:left w:val="none" w:sz="0" w:space="0" w:color="auto"/>
        <w:bottom w:val="none" w:sz="0" w:space="0" w:color="auto"/>
        <w:right w:val="none" w:sz="0" w:space="0" w:color="auto"/>
      </w:divBdr>
    </w:div>
    <w:div w:id="812794129">
      <w:bodyDiv w:val="1"/>
      <w:marLeft w:val="0"/>
      <w:marRight w:val="0"/>
      <w:marTop w:val="0"/>
      <w:marBottom w:val="0"/>
      <w:divBdr>
        <w:top w:val="none" w:sz="0" w:space="0" w:color="auto"/>
        <w:left w:val="none" w:sz="0" w:space="0" w:color="auto"/>
        <w:bottom w:val="none" w:sz="0" w:space="0" w:color="auto"/>
        <w:right w:val="none" w:sz="0" w:space="0" w:color="auto"/>
      </w:divBdr>
    </w:div>
    <w:div w:id="813063765">
      <w:bodyDiv w:val="1"/>
      <w:marLeft w:val="0"/>
      <w:marRight w:val="0"/>
      <w:marTop w:val="0"/>
      <w:marBottom w:val="0"/>
      <w:divBdr>
        <w:top w:val="none" w:sz="0" w:space="0" w:color="auto"/>
        <w:left w:val="none" w:sz="0" w:space="0" w:color="auto"/>
        <w:bottom w:val="none" w:sz="0" w:space="0" w:color="auto"/>
        <w:right w:val="none" w:sz="0" w:space="0" w:color="auto"/>
      </w:divBdr>
    </w:div>
    <w:div w:id="815949905">
      <w:bodyDiv w:val="1"/>
      <w:marLeft w:val="0"/>
      <w:marRight w:val="0"/>
      <w:marTop w:val="0"/>
      <w:marBottom w:val="0"/>
      <w:divBdr>
        <w:top w:val="none" w:sz="0" w:space="0" w:color="auto"/>
        <w:left w:val="none" w:sz="0" w:space="0" w:color="auto"/>
        <w:bottom w:val="none" w:sz="0" w:space="0" w:color="auto"/>
        <w:right w:val="none" w:sz="0" w:space="0" w:color="auto"/>
      </w:divBdr>
    </w:div>
    <w:div w:id="827019533">
      <w:bodyDiv w:val="1"/>
      <w:marLeft w:val="0"/>
      <w:marRight w:val="0"/>
      <w:marTop w:val="0"/>
      <w:marBottom w:val="0"/>
      <w:divBdr>
        <w:top w:val="none" w:sz="0" w:space="0" w:color="auto"/>
        <w:left w:val="none" w:sz="0" w:space="0" w:color="auto"/>
        <w:bottom w:val="none" w:sz="0" w:space="0" w:color="auto"/>
        <w:right w:val="none" w:sz="0" w:space="0" w:color="auto"/>
      </w:divBdr>
    </w:div>
    <w:div w:id="836455597">
      <w:bodyDiv w:val="1"/>
      <w:marLeft w:val="0"/>
      <w:marRight w:val="0"/>
      <w:marTop w:val="0"/>
      <w:marBottom w:val="0"/>
      <w:divBdr>
        <w:top w:val="none" w:sz="0" w:space="0" w:color="auto"/>
        <w:left w:val="none" w:sz="0" w:space="0" w:color="auto"/>
        <w:bottom w:val="none" w:sz="0" w:space="0" w:color="auto"/>
        <w:right w:val="none" w:sz="0" w:space="0" w:color="auto"/>
      </w:divBdr>
    </w:div>
    <w:div w:id="838809366">
      <w:bodyDiv w:val="1"/>
      <w:marLeft w:val="0"/>
      <w:marRight w:val="0"/>
      <w:marTop w:val="0"/>
      <w:marBottom w:val="0"/>
      <w:divBdr>
        <w:top w:val="none" w:sz="0" w:space="0" w:color="auto"/>
        <w:left w:val="none" w:sz="0" w:space="0" w:color="auto"/>
        <w:bottom w:val="none" w:sz="0" w:space="0" w:color="auto"/>
        <w:right w:val="none" w:sz="0" w:space="0" w:color="auto"/>
      </w:divBdr>
    </w:div>
    <w:div w:id="839655589">
      <w:bodyDiv w:val="1"/>
      <w:marLeft w:val="0"/>
      <w:marRight w:val="0"/>
      <w:marTop w:val="0"/>
      <w:marBottom w:val="0"/>
      <w:divBdr>
        <w:top w:val="none" w:sz="0" w:space="0" w:color="auto"/>
        <w:left w:val="none" w:sz="0" w:space="0" w:color="auto"/>
        <w:bottom w:val="none" w:sz="0" w:space="0" w:color="auto"/>
        <w:right w:val="none" w:sz="0" w:space="0" w:color="auto"/>
      </w:divBdr>
    </w:div>
    <w:div w:id="844200148">
      <w:bodyDiv w:val="1"/>
      <w:marLeft w:val="0"/>
      <w:marRight w:val="0"/>
      <w:marTop w:val="0"/>
      <w:marBottom w:val="0"/>
      <w:divBdr>
        <w:top w:val="none" w:sz="0" w:space="0" w:color="auto"/>
        <w:left w:val="none" w:sz="0" w:space="0" w:color="auto"/>
        <w:bottom w:val="none" w:sz="0" w:space="0" w:color="auto"/>
        <w:right w:val="none" w:sz="0" w:space="0" w:color="auto"/>
      </w:divBdr>
    </w:div>
    <w:div w:id="852034002">
      <w:bodyDiv w:val="1"/>
      <w:marLeft w:val="0"/>
      <w:marRight w:val="0"/>
      <w:marTop w:val="0"/>
      <w:marBottom w:val="0"/>
      <w:divBdr>
        <w:top w:val="none" w:sz="0" w:space="0" w:color="auto"/>
        <w:left w:val="none" w:sz="0" w:space="0" w:color="auto"/>
        <w:bottom w:val="none" w:sz="0" w:space="0" w:color="auto"/>
        <w:right w:val="none" w:sz="0" w:space="0" w:color="auto"/>
      </w:divBdr>
    </w:div>
    <w:div w:id="865412878">
      <w:bodyDiv w:val="1"/>
      <w:marLeft w:val="0"/>
      <w:marRight w:val="0"/>
      <w:marTop w:val="0"/>
      <w:marBottom w:val="0"/>
      <w:divBdr>
        <w:top w:val="none" w:sz="0" w:space="0" w:color="auto"/>
        <w:left w:val="none" w:sz="0" w:space="0" w:color="auto"/>
        <w:bottom w:val="none" w:sz="0" w:space="0" w:color="auto"/>
        <w:right w:val="none" w:sz="0" w:space="0" w:color="auto"/>
      </w:divBdr>
    </w:div>
    <w:div w:id="879125817">
      <w:bodyDiv w:val="1"/>
      <w:marLeft w:val="0"/>
      <w:marRight w:val="0"/>
      <w:marTop w:val="0"/>
      <w:marBottom w:val="0"/>
      <w:divBdr>
        <w:top w:val="none" w:sz="0" w:space="0" w:color="auto"/>
        <w:left w:val="none" w:sz="0" w:space="0" w:color="auto"/>
        <w:bottom w:val="none" w:sz="0" w:space="0" w:color="auto"/>
        <w:right w:val="none" w:sz="0" w:space="0" w:color="auto"/>
      </w:divBdr>
    </w:div>
    <w:div w:id="885947769">
      <w:bodyDiv w:val="1"/>
      <w:marLeft w:val="0"/>
      <w:marRight w:val="0"/>
      <w:marTop w:val="0"/>
      <w:marBottom w:val="0"/>
      <w:divBdr>
        <w:top w:val="none" w:sz="0" w:space="0" w:color="auto"/>
        <w:left w:val="none" w:sz="0" w:space="0" w:color="auto"/>
        <w:bottom w:val="none" w:sz="0" w:space="0" w:color="auto"/>
        <w:right w:val="none" w:sz="0" w:space="0" w:color="auto"/>
      </w:divBdr>
    </w:div>
    <w:div w:id="886602509">
      <w:bodyDiv w:val="1"/>
      <w:marLeft w:val="0"/>
      <w:marRight w:val="0"/>
      <w:marTop w:val="0"/>
      <w:marBottom w:val="0"/>
      <w:divBdr>
        <w:top w:val="none" w:sz="0" w:space="0" w:color="auto"/>
        <w:left w:val="none" w:sz="0" w:space="0" w:color="auto"/>
        <w:bottom w:val="none" w:sz="0" w:space="0" w:color="auto"/>
        <w:right w:val="none" w:sz="0" w:space="0" w:color="auto"/>
      </w:divBdr>
    </w:div>
    <w:div w:id="889196260">
      <w:bodyDiv w:val="1"/>
      <w:marLeft w:val="0"/>
      <w:marRight w:val="0"/>
      <w:marTop w:val="0"/>
      <w:marBottom w:val="0"/>
      <w:divBdr>
        <w:top w:val="none" w:sz="0" w:space="0" w:color="auto"/>
        <w:left w:val="none" w:sz="0" w:space="0" w:color="auto"/>
        <w:bottom w:val="none" w:sz="0" w:space="0" w:color="auto"/>
        <w:right w:val="none" w:sz="0" w:space="0" w:color="auto"/>
      </w:divBdr>
    </w:div>
    <w:div w:id="893006826">
      <w:bodyDiv w:val="1"/>
      <w:marLeft w:val="0"/>
      <w:marRight w:val="0"/>
      <w:marTop w:val="0"/>
      <w:marBottom w:val="0"/>
      <w:divBdr>
        <w:top w:val="none" w:sz="0" w:space="0" w:color="auto"/>
        <w:left w:val="none" w:sz="0" w:space="0" w:color="auto"/>
        <w:bottom w:val="none" w:sz="0" w:space="0" w:color="auto"/>
        <w:right w:val="none" w:sz="0" w:space="0" w:color="auto"/>
      </w:divBdr>
    </w:div>
    <w:div w:id="901526879">
      <w:bodyDiv w:val="1"/>
      <w:marLeft w:val="0"/>
      <w:marRight w:val="0"/>
      <w:marTop w:val="0"/>
      <w:marBottom w:val="0"/>
      <w:divBdr>
        <w:top w:val="none" w:sz="0" w:space="0" w:color="auto"/>
        <w:left w:val="none" w:sz="0" w:space="0" w:color="auto"/>
        <w:bottom w:val="none" w:sz="0" w:space="0" w:color="auto"/>
        <w:right w:val="none" w:sz="0" w:space="0" w:color="auto"/>
      </w:divBdr>
    </w:div>
    <w:div w:id="902133524">
      <w:bodyDiv w:val="1"/>
      <w:marLeft w:val="0"/>
      <w:marRight w:val="0"/>
      <w:marTop w:val="0"/>
      <w:marBottom w:val="0"/>
      <w:divBdr>
        <w:top w:val="none" w:sz="0" w:space="0" w:color="auto"/>
        <w:left w:val="none" w:sz="0" w:space="0" w:color="auto"/>
        <w:bottom w:val="none" w:sz="0" w:space="0" w:color="auto"/>
        <w:right w:val="none" w:sz="0" w:space="0" w:color="auto"/>
      </w:divBdr>
    </w:div>
    <w:div w:id="902762019">
      <w:bodyDiv w:val="1"/>
      <w:marLeft w:val="0"/>
      <w:marRight w:val="0"/>
      <w:marTop w:val="0"/>
      <w:marBottom w:val="0"/>
      <w:divBdr>
        <w:top w:val="none" w:sz="0" w:space="0" w:color="auto"/>
        <w:left w:val="none" w:sz="0" w:space="0" w:color="auto"/>
        <w:bottom w:val="none" w:sz="0" w:space="0" w:color="auto"/>
        <w:right w:val="none" w:sz="0" w:space="0" w:color="auto"/>
      </w:divBdr>
    </w:div>
    <w:div w:id="905191545">
      <w:bodyDiv w:val="1"/>
      <w:marLeft w:val="0"/>
      <w:marRight w:val="0"/>
      <w:marTop w:val="0"/>
      <w:marBottom w:val="0"/>
      <w:divBdr>
        <w:top w:val="none" w:sz="0" w:space="0" w:color="auto"/>
        <w:left w:val="none" w:sz="0" w:space="0" w:color="auto"/>
        <w:bottom w:val="none" w:sz="0" w:space="0" w:color="auto"/>
        <w:right w:val="none" w:sz="0" w:space="0" w:color="auto"/>
      </w:divBdr>
    </w:div>
    <w:div w:id="906453770">
      <w:bodyDiv w:val="1"/>
      <w:marLeft w:val="0"/>
      <w:marRight w:val="0"/>
      <w:marTop w:val="0"/>
      <w:marBottom w:val="0"/>
      <w:divBdr>
        <w:top w:val="none" w:sz="0" w:space="0" w:color="auto"/>
        <w:left w:val="none" w:sz="0" w:space="0" w:color="auto"/>
        <w:bottom w:val="none" w:sz="0" w:space="0" w:color="auto"/>
        <w:right w:val="none" w:sz="0" w:space="0" w:color="auto"/>
      </w:divBdr>
    </w:div>
    <w:div w:id="908346232">
      <w:bodyDiv w:val="1"/>
      <w:marLeft w:val="0"/>
      <w:marRight w:val="0"/>
      <w:marTop w:val="0"/>
      <w:marBottom w:val="0"/>
      <w:divBdr>
        <w:top w:val="none" w:sz="0" w:space="0" w:color="auto"/>
        <w:left w:val="none" w:sz="0" w:space="0" w:color="auto"/>
        <w:bottom w:val="none" w:sz="0" w:space="0" w:color="auto"/>
        <w:right w:val="none" w:sz="0" w:space="0" w:color="auto"/>
      </w:divBdr>
    </w:div>
    <w:div w:id="911235742">
      <w:bodyDiv w:val="1"/>
      <w:marLeft w:val="0"/>
      <w:marRight w:val="0"/>
      <w:marTop w:val="0"/>
      <w:marBottom w:val="0"/>
      <w:divBdr>
        <w:top w:val="none" w:sz="0" w:space="0" w:color="auto"/>
        <w:left w:val="none" w:sz="0" w:space="0" w:color="auto"/>
        <w:bottom w:val="none" w:sz="0" w:space="0" w:color="auto"/>
        <w:right w:val="none" w:sz="0" w:space="0" w:color="auto"/>
      </w:divBdr>
    </w:div>
    <w:div w:id="922032360">
      <w:bodyDiv w:val="1"/>
      <w:marLeft w:val="0"/>
      <w:marRight w:val="0"/>
      <w:marTop w:val="0"/>
      <w:marBottom w:val="0"/>
      <w:divBdr>
        <w:top w:val="none" w:sz="0" w:space="0" w:color="auto"/>
        <w:left w:val="none" w:sz="0" w:space="0" w:color="auto"/>
        <w:bottom w:val="none" w:sz="0" w:space="0" w:color="auto"/>
        <w:right w:val="none" w:sz="0" w:space="0" w:color="auto"/>
      </w:divBdr>
    </w:div>
    <w:div w:id="922880613">
      <w:bodyDiv w:val="1"/>
      <w:marLeft w:val="0"/>
      <w:marRight w:val="0"/>
      <w:marTop w:val="0"/>
      <w:marBottom w:val="0"/>
      <w:divBdr>
        <w:top w:val="none" w:sz="0" w:space="0" w:color="auto"/>
        <w:left w:val="none" w:sz="0" w:space="0" w:color="auto"/>
        <w:bottom w:val="none" w:sz="0" w:space="0" w:color="auto"/>
        <w:right w:val="none" w:sz="0" w:space="0" w:color="auto"/>
      </w:divBdr>
    </w:div>
    <w:div w:id="923535710">
      <w:bodyDiv w:val="1"/>
      <w:marLeft w:val="0"/>
      <w:marRight w:val="0"/>
      <w:marTop w:val="0"/>
      <w:marBottom w:val="0"/>
      <w:divBdr>
        <w:top w:val="none" w:sz="0" w:space="0" w:color="auto"/>
        <w:left w:val="none" w:sz="0" w:space="0" w:color="auto"/>
        <w:bottom w:val="none" w:sz="0" w:space="0" w:color="auto"/>
        <w:right w:val="none" w:sz="0" w:space="0" w:color="auto"/>
      </w:divBdr>
    </w:div>
    <w:div w:id="923730290">
      <w:bodyDiv w:val="1"/>
      <w:marLeft w:val="0"/>
      <w:marRight w:val="0"/>
      <w:marTop w:val="0"/>
      <w:marBottom w:val="0"/>
      <w:divBdr>
        <w:top w:val="none" w:sz="0" w:space="0" w:color="auto"/>
        <w:left w:val="none" w:sz="0" w:space="0" w:color="auto"/>
        <w:bottom w:val="none" w:sz="0" w:space="0" w:color="auto"/>
        <w:right w:val="none" w:sz="0" w:space="0" w:color="auto"/>
      </w:divBdr>
    </w:div>
    <w:div w:id="923806867">
      <w:bodyDiv w:val="1"/>
      <w:marLeft w:val="0"/>
      <w:marRight w:val="0"/>
      <w:marTop w:val="0"/>
      <w:marBottom w:val="0"/>
      <w:divBdr>
        <w:top w:val="none" w:sz="0" w:space="0" w:color="auto"/>
        <w:left w:val="none" w:sz="0" w:space="0" w:color="auto"/>
        <w:bottom w:val="none" w:sz="0" w:space="0" w:color="auto"/>
        <w:right w:val="none" w:sz="0" w:space="0" w:color="auto"/>
      </w:divBdr>
    </w:div>
    <w:div w:id="927428025">
      <w:bodyDiv w:val="1"/>
      <w:marLeft w:val="0"/>
      <w:marRight w:val="0"/>
      <w:marTop w:val="0"/>
      <w:marBottom w:val="0"/>
      <w:divBdr>
        <w:top w:val="none" w:sz="0" w:space="0" w:color="auto"/>
        <w:left w:val="none" w:sz="0" w:space="0" w:color="auto"/>
        <w:bottom w:val="none" w:sz="0" w:space="0" w:color="auto"/>
        <w:right w:val="none" w:sz="0" w:space="0" w:color="auto"/>
      </w:divBdr>
    </w:div>
    <w:div w:id="930745234">
      <w:bodyDiv w:val="1"/>
      <w:marLeft w:val="0"/>
      <w:marRight w:val="0"/>
      <w:marTop w:val="0"/>
      <w:marBottom w:val="0"/>
      <w:divBdr>
        <w:top w:val="none" w:sz="0" w:space="0" w:color="auto"/>
        <w:left w:val="none" w:sz="0" w:space="0" w:color="auto"/>
        <w:bottom w:val="none" w:sz="0" w:space="0" w:color="auto"/>
        <w:right w:val="none" w:sz="0" w:space="0" w:color="auto"/>
      </w:divBdr>
    </w:div>
    <w:div w:id="932787052">
      <w:bodyDiv w:val="1"/>
      <w:marLeft w:val="0"/>
      <w:marRight w:val="0"/>
      <w:marTop w:val="0"/>
      <w:marBottom w:val="0"/>
      <w:divBdr>
        <w:top w:val="none" w:sz="0" w:space="0" w:color="auto"/>
        <w:left w:val="none" w:sz="0" w:space="0" w:color="auto"/>
        <w:bottom w:val="none" w:sz="0" w:space="0" w:color="auto"/>
        <w:right w:val="none" w:sz="0" w:space="0" w:color="auto"/>
      </w:divBdr>
    </w:div>
    <w:div w:id="935989765">
      <w:bodyDiv w:val="1"/>
      <w:marLeft w:val="0"/>
      <w:marRight w:val="0"/>
      <w:marTop w:val="0"/>
      <w:marBottom w:val="0"/>
      <w:divBdr>
        <w:top w:val="none" w:sz="0" w:space="0" w:color="auto"/>
        <w:left w:val="none" w:sz="0" w:space="0" w:color="auto"/>
        <w:bottom w:val="none" w:sz="0" w:space="0" w:color="auto"/>
        <w:right w:val="none" w:sz="0" w:space="0" w:color="auto"/>
      </w:divBdr>
    </w:div>
    <w:div w:id="937710676">
      <w:bodyDiv w:val="1"/>
      <w:marLeft w:val="0"/>
      <w:marRight w:val="0"/>
      <w:marTop w:val="0"/>
      <w:marBottom w:val="0"/>
      <w:divBdr>
        <w:top w:val="none" w:sz="0" w:space="0" w:color="auto"/>
        <w:left w:val="none" w:sz="0" w:space="0" w:color="auto"/>
        <w:bottom w:val="none" w:sz="0" w:space="0" w:color="auto"/>
        <w:right w:val="none" w:sz="0" w:space="0" w:color="auto"/>
      </w:divBdr>
    </w:div>
    <w:div w:id="937911990">
      <w:bodyDiv w:val="1"/>
      <w:marLeft w:val="0"/>
      <w:marRight w:val="0"/>
      <w:marTop w:val="0"/>
      <w:marBottom w:val="0"/>
      <w:divBdr>
        <w:top w:val="none" w:sz="0" w:space="0" w:color="auto"/>
        <w:left w:val="none" w:sz="0" w:space="0" w:color="auto"/>
        <w:bottom w:val="none" w:sz="0" w:space="0" w:color="auto"/>
        <w:right w:val="none" w:sz="0" w:space="0" w:color="auto"/>
      </w:divBdr>
    </w:div>
    <w:div w:id="941646216">
      <w:bodyDiv w:val="1"/>
      <w:marLeft w:val="0"/>
      <w:marRight w:val="0"/>
      <w:marTop w:val="0"/>
      <w:marBottom w:val="0"/>
      <w:divBdr>
        <w:top w:val="none" w:sz="0" w:space="0" w:color="auto"/>
        <w:left w:val="none" w:sz="0" w:space="0" w:color="auto"/>
        <w:bottom w:val="none" w:sz="0" w:space="0" w:color="auto"/>
        <w:right w:val="none" w:sz="0" w:space="0" w:color="auto"/>
      </w:divBdr>
    </w:div>
    <w:div w:id="943263515">
      <w:bodyDiv w:val="1"/>
      <w:marLeft w:val="0"/>
      <w:marRight w:val="0"/>
      <w:marTop w:val="0"/>
      <w:marBottom w:val="0"/>
      <w:divBdr>
        <w:top w:val="none" w:sz="0" w:space="0" w:color="auto"/>
        <w:left w:val="none" w:sz="0" w:space="0" w:color="auto"/>
        <w:bottom w:val="none" w:sz="0" w:space="0" w:color="auto"/>
        <w:right w:val="none" w:sz="0" w:space="0" w:color="auto"/>
      </w:divBdr>
    </w:div>
    <w:div w:id="944194030">
      <w:bodyDiv w:val="1"/>
      <w:marLeft w:val="0"/>
      <w:marRight w:val="0"/>
      <w:marTop w:val="0"/>
      <w:marBottom w:val="0"/>
      <w:divBdr>
        <w:top w:val="none" w:sz="0" w:space="0" w:color="auto"/>
        <w:left w:val="none" w:sz="0" w:space="0" w:color="auto"/>
        <w:bottom w:val="none" w:sz="0" w:space="0" w:color="auto"/>
        <w:right w:val="none" w:sz="0" w:space="0" w:color="auto"/>
      </w:divBdr>
    </w:div>
    <w:div w:id="944506847">
      <w:bodyDiv w:val="1"/>
      <w:marLeft w:val="0"/>
      <w:marRight w:val="0"/>
      <w:marTop w:val="0"/>
      <w:marBottom w:val="0"/>
      <w:divBdr>
        <w:top w:val="none" w:sz="0" w:space="0" w:color="auto"/>
        <w:left w:val="none" w:sz="0" w:space="0" w:color="auto"/>
        <w:bottom w:val="none" w:sz="0" w:space="0" w:color="auto"/>
        <w:right w:val="none" w:sz="0" w:space="0" w:color="auto"/>
      </w:divBdr>
    </w:div>
    <w:div w:id="949507230">
      <w:bodyDiv w:val="1"/>
      <w:marLeft w:val="0"/>
      <w:marRight w:val="0"/>
      <w:marTop w:val="0"/>
      <w:marBottom w:val="0"/>
      <w:divBdr>
        <w:top w:val="none" w:sz="0" w:space="0" w:color="auto"/>
        <w:left w:val="none" w:sz="0" w:space="0" w:color="auto"/>
        <w:bottom w:val="none" w:sz="0" w:space="0" w:color="auto"/>
        <w:right w:val="none" w:sz="0" w:space="0" w:color="auto"/>
      </w:divBdr>
    </w:div>
    <w:div w:id="950164343">
      <w:bodyDiv w:val="1"/>
      <w:marLeft w:val="0"/>
      <w:marRight w:val="0"/>
      <w:marTop w:val="0"/>
      <w:marBottom w:val="0"/>
      <w:divBdr>
        <w:top w:val="none" w:sz="0" w:space="0" w:color="auto"/>
        <w:left w:val="none" w:sz="0" w:space="0" w:color="auto"/>
        <w:bottom w:val="none" w:sz="0" w:space="0" w:color="auto"/>
        <w:right w:val="none" w:sz="0" w:space="0" w:color="auto"/>
      </w:divBdr>
    </w:div>
    <w:div w:id="964198367">
      <w:bodyDiv w:val="1"/>
      <w:marLeft w:val="0"/>
      <w:marRight w:val="0"/>
      <w:marTop w:val="0"/>
      <w:marBottom w:val="0"/>
      <w:divBdr>
        <w:top w:val="none" w:sz="0" w:space="0" w:color="auto"/>
        <w:left w:val="none" w:sz="0" w:space="0" w:color="auto"/>
        <w:bottom w:val="none" w:sz="0" w:space="0" w:color="auto"/>
        <w:right w:val="none" w:sz="0" w:space="0" w:color="auto"/>
      </w:divBdr>
    </w:div>
    <w:div w:id="977149154">
      <w:bodyDiv w:val="1"/>
      <w:marLeft w:val="0"/>
      <w:marRight w:val="0"/>
      <w:marTop w:val="0"/>
      <w:marBottom w:val="0"/>
      <w:divBdr>
        <w:top w:val="none" w:sz="0" w:space="0" w:color="auto"/>
        <w:left w:val="none" w:sz="0" w:space="0" w:color="auto"/>
        <w:bottom w:val="none" w:sz="0" w:space="0" w:color="auto"/>
        <w:right w:val="none" w:sz="0" w:space="0" w:color="auto"/>
      </w:divBdr>
    </w:div>
    <w:div w:id="977341173">
      <w:bodyDiv w:val="1"/>
      <w:marLeft w:val="0"/>
      <w:marRight w:val="0"/>
      <w:marTop w:val="0"/>
      <w:marBottom w:val="0"/>
      <w:divBdr>
        <w:top w:val="none" w:sz="0" w:space="0" w:color="auto"/>
        <w:left w:val="none" w:sz="0" w:space="0" w:color="auto"/>
        <w:bottom w:val="none" w:sz="0" w:space="0" w:color="auto"/>
        <w:right w:val="none" w:sz="0" w:space="0" w:color="auto"/>
      </w:divBdr>
    </w:div>
    <w:div w:id="985932903">
      <w:bodyDiv w:val="1"/>
      <w:marLeft w:val="0"/>
      <w:marRight w:val="0"/>
      <w:marTop w:val="0"/>
      <w:marBottom w:val="0"/>
      <w:divBdr>
        <w:top w:val="none" w:sz="0" w:space="0" w:color="auto"/>
        <w:left w:val="none" w:sz="0" w:space="0" w:color="auto"/>
        <w:bottom w:val="none" w:sz="0" w:space="0" w:color="auto"/>
        <w:right w:val="none" w:sz="0" w:space="0" w:color="auto"/>
      </w:divBdr>
    </w:div>
    <w:div w:id="998654267">
      <w:bodyDiv w:val="1"/>
      <w:marLeft w:val="0"/>
      <w:marRight w:val="0"/>
      <w:marTop w:val="0"/>
      <w:marBottom w:val="0"/>
      <w:divBdr>
        <w:top w:val="none" w:sz="0" w:space="0" w:color="auto"/>
        <w:left w:val="none" w:sz="0" w:space="0" w:color="auto"/>
        <w:bottom w:val="none" w:sz="0" w:space="0" w:color="auto"/>
        <w:right w:val="none" w:sz="0" w:space="0" w:color="auto"/>
      </w:divBdr>
    </w:div>
    <w:div w:id="999575405">
      <w:bodyDiv w:val="1"/>
      <w:marLeft w:val="0"/>
      <w:marRight w:val="0"/>
      <w:marTop w:val="0"/>
      <w:marBottom w:val="0"/>
      <w:divBdr>
        <w:top w:val="none" w:sz="0" w:space="0" w:color="auto"/>
        <w:left w:val="none" w:sz="0" w:space="0" w:color="auto"/>
        <w:bottom w:val="none" w:sz="0" w:space="0" w:color="auto"/>
        <w:right w:val="none" w:sz="0" w:space="0" w:color="auto"/>
      </w:divBdr>
    </w:div>
    <w:div w:id="1001664468">
      <w:bodyDiv w:val="1"/>
      <w:marLeft w:val="0"/>
      <w:marRight w:val="0"/>
      <w:marTop w:val="0"/>
      <w:marBottom w:val="0"/>
      <w:divBdr>
        <w:top w:val="none" w:sz="0" w:space="0" w:color="auto"/>
        <w:left w:val="none" w:sz="0" w:space="0" w:color="auto"/>
        <w:bottom w:val="none" w:sz="0" w:space="0" w:color="auto"/>
        <w:right w:val="none" w:sz="0" w:space="0" w:color="auto"/>
      </w:divBdr>
    </w:div>
    <w:div w:id="1007975814">
      <w:bodyDiv w:val="1"/>
      <w:marLeft w:val="0"/>
      <w:marRight w:val="0"/>
      <w:marTop w:val="0"/>
      <w:marBottom w:val="0"/>
      <w:divBdr>
        <w:top w:val="none" w:sz="0" w:space="0" w:color="auto"/>
        <w:left w:val="none" w:sz="0" w:space="0" w:color="auto"/>
        <w:bottom w:val="none" w:sz="0" w:space="0" w:color="auto"/>
        <w:right w:val="none" w:sz="0" w:space="0" w:color="auto"/>
      </w:divBdr>
    </w:div>
    <w:div w:id="1008797617">
      <w:bodyDiv w:val="1"/>
      <w:marLeft w:val="0"/>
      <w:marRight w:val="0"/>
      <w:marTop w:val="0"/>
      <w:marBottom w:val="0"/>
      <w:divBdr>
        <w:top w:val="none" w:sz="0" w:space="0" w:color="auto"/>
        <w:left w:val="none" w:sz="0" w:space="0" w:color="auto"/>
        <w:bottom w:val="none" w:sz="0" w:space="0" w:color="auto"/>
        <w:right w:val="none" w:sz="0" w:space="0" w:color="auto"/>
      </w:divBdr>
    </w:div>
    <w:div w:id="1008824095">
      <w:bodyDiv w:val="1"/>
      <w:marLeft w:val="0"/>
      <w:marRight w:val="0"/>
      <w:marTop w:val="0"/>
      <w:marBottom w:val="0"/>
      <w:divBdr>
        <w:top w:val="none" w:sz="0" w:space="0" w:color="auto"/>
        <w:left w:val="none" w:sz="0" w:space="0" w:color="auto"/>
        <w:bottom w:val="none" w:sz="0" w:space="0" w:color="auto"/>
        <w:right w:val="none" w:sz="0" w:space="0" w:color="auto"/>
      </w:divBdr>
    </w:div>
    <w:div w:id="1013647101">
      <w:bodyDiv w:val="1"/>
      <w:marLeft w:val="0"/>
      <w:marRight w:val="0"/>
      <w:marTop w:val="0"/>
      <w:marBottom w:val="0"/>
      <w:divBdr>
        <w:top w:val="none" w:sz="0" w:space="0" w:color="auto"/>
        <w:left w:val="none" w:sz="0" w:space="0" w:color="auto"/>
        <w:bottom w:val="none" w:sz="0" w:space="0" w:color="auto"/>
        <w:right w:val="none" w:sz="0" w:space="0" w:color="auto"/>
      </w:divBdr>
    </w:div>
    <w:div w:id="1014460137">
      <w:bodyDiv w:val="1"/>
      <w:marLeft w:val="0"/>
      <w:marRight w:val="0"/>
      <w:marTop w:val="0"/>
      <w:marBottom w:val="0"/>
      <w:divBdr>
        <w:top w:val="none" w:sz="0" w:space="0" w:color="auto"/>
        <w:left w:val="none" w:sz="0" w:space="0" w:color="auto"/>
        <w:bottom w:val="none" w:sz="0" w:space="0" w:color="auto"/>
        <w:right w:val="none" w:sz="0" w:space="0" w:color="auto"/>
      </w:divBdr>
    </w:div>
    <w:div w:id="1020009719">
      <w:bodyDiv w:val="1"/>
      <w:marLeft w:val="0"/>
      <w:marRight w:val="0"/>
      <w:marTop w:val="0"/>
      <w:marBottom w:val="0"/>
      <w:divBdr>
        <w:top w:val="none" w:sz="0" w:space="0" w:color="auto"/>
        <w:left w:val="none" w:sz="0" w:space="0" w:color="auto"/>
        <w:bottom w:val="none" w:sz="0" w:space="0" w:color="auto"/>
        <w:right w:val="none" w:sz="0" w:space="0" w:color="auto"/>
      </w:divBdr>
    </w:div>
    <w:div w:id="1022055407">
      <w:bodyDiv w:val="1"/>
      <w:marLeft w:val="0"/>
      <w:marRight w:val="0"/>
      <w:marTop w:val="0"/>
      <w:marBottom w:val="0"/>
      <w:divBdr>
        <w:top w:val="none" w:sz="0" w:space="0" w:color="auto"/>
        <w:left w:val="none" w:sz="0" w:space="0" w:color="auto"/>
        <w:bottom w:val="none" w:sz="0" w:space="0" w:color="auto"/>
        <w:right w:val="none" w:sz="0" w:space="0" w:color="auto"/>
      </w:divBdr>
    </w:div>
    <w:div w:id="1033262013">
      <w:bodyDiv w:val="1"/>
      <w:marLeft w:val="0"/>
      <w:marRight w:val="0"/>
      <w:marTop w:val="0"/>
      <w:marBottom w:val="0"/>
      <w:divBdr>
        <w:top w:val="none" w:sz="0" w:space="0" w:color="auto"/>
        <w:left w:val="none" w:sz="0" w:space="0" w:color="auto"/>
        <w:bottom w:val="none" w:sz="0" w:space="0" w:color="auto"/>
        <w:right w:val="none" w:sz="0" w:space="0" w:color="auto"/>
      </w:divBdr>
    </w:div>
    <w:div w:id="1036126134">
      <w:bodyDiv w:val="1"/>
      <w:marLeft w:val="0"/>
      <w:marRight w:val="0"/>
      <w:marTop w:val="0"/>
      <w:marBottom w:val="0"/>
      <w:divBdr>
        <w:top w:val="none" w:sz="0" w:space="0" w:color="auto"/>
        <w:left w:val="none" w:sz="0" w:space="0" w:color="auto"/>
        <w:bottom w:val="none" w:sz="0" w:space="0" w:color="auto"/>
        <w:right w:val="none" w:sz="0" w:space="0" w:color="auto"/>
      </w:divBdr>
    </w:div>
    <w:div w:id="1042175635">
      <w:bodyDiv w:val="1"/>
      <w:marLeft w:val="0"/>
      <w:marRight w:val="0"/>
      <w:marTop w:val="0"/>
      <w:marBottom w:val="0"/>
      <w:divBdr>
        <w:top w:val="none" w:sz="0" w:space="0" w:color="auto"/>
        <w:left w:val="none" w:sz="0" w:space="0" w:color="auto"/>
        <w:bottom w:val="none" w:sz="0" w:space="0" w:color="auto"/>
        <w:right w:val="none" w:sz="0" w:space="0" w:color="auto"/>
      </w:divBdr>
    </w:div>
    <w:div w:id="1044327195">
      <w:bodyDiv w:val="1"/>
      <w:marLeft w:val="0"/>
      <w:marRight w:val="0"/>
      <w:marTop w:val="0"/>
      <w:marBottom w:val="0"/>
      <w:divBdr>
        <w:top w:val="none" w:sz="0" w:space="0" w:color="auto"/>
        <w:left w:val="none" w:sz="0" w:space="0" w:color="auto"/>
        <w:bottom w:val="none" w:sz="0" w:space="0" w:color="auto"/>
        <w:right w:val="none" w:sz="0" w:space="0" w:color="auto"/>
      </w:divBdr>
    </w:div>
    <w:div w:id="1046106432">
      <w:bodyDiv w:val="1"/>
      <w:marLeft w:val="0"/>
      <w:marRight w:val="0"/>
      <w:marTop w:val="0"/>
      <w:marBottom w:val="0"/>
      <w:divBdr>
        <w:top w:val="none" w:sz="0" w:space="0" w:color="auto"/>
        <w:left w:val="none" w:sz="0" w:space="0" w:color="auto"/>
        <w:bottom w:val="none" w:sz="0" w:space="0" w:color="auto"/>
        <w:right w:val="none" w:sz="0" w:space="0" w:color="auto"/>
      </w:divBdr>
    </w:div>
    <w:div w:id="1046248821">
      <w:bodyDiv w:val="1"/>
      <w:marLeft w:val="0"/>
      <w:marRight w:val="0"/>
      <w:marTop w:val="0"/>
      <w:marBottom w:val="0"/>
      <w:divBdr>
        <w:top w:val="none" w:sz="0" w:space="0" w:color="auto"/>
        <w:left w:val="none" w:sz="0" w:space="0" w:color="auto"/>
        <w:bottom w:val="none" w:sz="0" w:space="0" w:color="auto"/>
        <w:right w:val="none" w:sz="0" w:space="0" w:color="auto"/>
      </w:divBdr>
    </w:div>
    <w:div w:id="1059019493">
      <w:bodyDiv w:val="1"/>
      <w:marLeft w:val="0"/>
      <w:marRight w:val="0"/>
      <w:marTop w:val="0"/>
      <w:marBottom w:val="0"/>
      <w:divBdr>
        <w:top w:val="none" w:sz="0" w:space="0" w:color="auto"/>
        <w:left w:val="none" w:sz="0" w:space="0" w:color="auto"/>
        <w:bottom w:val="none" w:sz="0" w:space="0" w:color="auto"/>
        <w:right w:val="none" w:sz="0" w:space="0" w:color="auto"/>
      </w:divBdr>
    </w:div>
    <w:div w:id="1060709834">
      <w:bodyDiv w:val="1"/>
      <w:marLeft w:val="0"/>
      <w:marRight w:val="0"/>
      <w:marTop w:val="0"/>
      <w:marBottom w:val="0"/>
      <w:divBdr>
        <w:top w:val="none" w:sz="0" w:space="0" w:color="auto"/>
        <w:left w:val="none" w:sz="0" w:space="0" w:color="auto"/>
        <w:bottom w:val="none" w:sz="0" w:space="0" w:color="auto"/>
        <w:right w:val="none" w:sz="0" w:space="0" w:color="auto"/>
      </w:divBdr>
    </w:div>
    <w:div w:id="1061635143">
      <w:bodyDiv w:val="1"/>
      <w:marLeft w:val="0"/>
      <w:marRight w:val="0"/>
      <w:marTop w:val="0"/>
      <w:marBottom w:val="0"/>
      <w:divBdr>
        <w:top w:val="none" w:sz="0" w:space="0" w:color="auto"/>
        <w:left w:val="none" w:sz="0" w:space="0" w:color="auto"/>
        <w:bottom w:val="none" w:sz="0" w:space="0" w:color="auto"/>
        <w:right w:val="none" w:sz="0" w:space="0" w:color="auto"/>
      </w:divBdr>
    </w:div>
    <w:div w:id="1063795554">
      <w:bodyDiv w:val="1"/>
      <w:marLeft w:val="0"/>
      <w:marRight w:val="0"/>
      <w:marTop w:val="0"/>
      <w:marBottom w:val="0"/>
      <w:divBdr>
        <w:top w:val="none" w:sz="0" w:space="0" w:color="auto"/>
        <w:left w:val="none" w:sz="0" w:space="0" w:color="auto"/>
        <w:bottom w:val="none" w:sz="0" w:space="0" w:color="auto"/>
        <w:right w:val="none" w:sz="0" w:space="0" w:color="auto"/>
      </w:divBdr>
    </w:div>
    <w:div w:id="1064643983">
      <w:bodyDiv w:val="1"/>
      <w:marLeft w:val="0"/>
      <w:marRight w:val="0"/>
      <w:marTop w:val="0"/>
      <w:marBottom w:val="0"/>
      <w:divBdr>
        <w:top w:val="none" w:sz="0" w:space="0" w:color="auto"/>
        <w:left w:val="none" w:sz="0" w:space="0" w:color="auto"/>
        <w:bottom w:val="none" w:sz="0" w:space="0" w:color="auto"/>
        <w:right w:val="none" w:sz="0" w:space="0" w:color="auto"/>
      </w:divBdr>
    </w:div>
    <w:div w:id="1074667035">
      <w:bodyDiv w:val="1"/>
      <w:marLeft w:val="0"/>
      <w:marRight w:val="0"/>
      <w:marTop w:val="0"/>
      <w:marBottom w:val="0"/>
      <w:divBdr>
        <w:top w:val="none" w:sz="0" w:space="0" w:color="auto"/>
        <w:left w:val="none" w:sz="0" w:space="0" w:color="auto"/>
        <w:bottom w:val="none" w:sz="0" w:space="0" w:color="auto"/>
        <w:right w:val="none" w:sz="0" w:space="0" w:color="auto"/>
      </w:divBdr>
    </w:div>
    <w:div w:id="1076438821">
      <w:bodyDiv w:val="1"/>
      <w:marLeft w:val="0"/>
      <w:marRight w:val="0"/>
      <w:marTop w:val="0"/>
      <w:marBottom w:val="0"/>
      <w:divBdr>
        <w:top w:val="none" w:sz="0" w:space="0" w:color="auto"/>
        <w:left w:val="none" w:sz="0" w:space="0" w:color="auto"/>
        <w:bottom w:val="none" w:sz="0" w:space="0" w:color="auto"/>
        <w:right w:val="none" w:sz="0" w:space="0" w:color="auto"/>
      </w:divBdr>
    </w:div>
    <w:div w:id="1078868026">
      <w:bodyDiv w:val="1"/>
      <w:marLeft w:val="0"/>
      <w:marRight w:val="0"/>
      <w:marTop w:val="0"/>
      <w:marBottom w:val="0"/>
      <w:divBdr>
        <w:top w:val="none" w:sz="0" w:space="0" w:color="auto"/>
        <w:left w:val="none" w:sz="0" w:space="0" w:color="auto"/>
        <w:bottom w:val="none" w:sz="0" w:space="0" w:color="auto"/>
        <w:right w:val="none" w:sz="0" w:space="0" w:color="auto"/>
      </w:divBdr>
    </w:div>
    <w:div w:id="1081098505">
      <w:bodyDiv w:val="1"/>
      <w:marLeft w:val="0"/>
      <w:marRight w:val="0"/>
      <w:marTop w:val="0"/>
      <w:marBottom w:val="0"/>
      <w:divBdr>
        <w:top w:val="none" w:sz="0" w:space="0" w:color="auto"/>
        <w:left w:val="none" w:sz="0" w:space="0" w:color="auto"/>
        <w:bottom w:val="none" w:sz="0" w:space="0" w:color="auto"/>
        <w:right w:val="none" w:sz="0" w:space="0" w:color="auto"/>
      </w:divBdr>
    </w:div>
    <w:div w:id="1085372533">
      <w:bodyDiv w:val="1"/>
      <w:marLeft w:val="0"/>
      <w:marRight w:val="0"/>
      <w:marTop w:val="0"/>
      <w:marBottom w:val="0"/>
      <w:divBdr>
        <w:top w:val="none" w:sz="0" w:space="0" w:color="auto"/>
        <w:left w:val="none" w:sz="0" w:space="0" w:color="auto"/>
        <w:bottom w:val="none" w:sz="0" w:space="0" w:color="auto"/>
        <w:right w:val="none" w:sz="0" w:space="0" w:color="auto"/>
      </w:divBdr>
    </w:div>
    <w:div w:id="1085491126">
      <w:bodyDiv w:val="1"/>
      <w:marLeft w:val="0"/>
      <w:marRight w:val="0"/>
      <w:marTop w:val="0"/>
      <w:marBottom w:val="0"/>
      <w:divBdr>
        <w:top w:val="none" w:sz="0" w:space="0" w:color="auto"/>
        <w:left w:val="none" w:sz="0" w:space="0" w:color="auto"/>
        <w:bottom w:val="none" w:sz="0" w:space="0" w:color="auto"/>
        <w:right w:val="none" w:sz="0" w:space="0" w:color="auto"/>
      </w:divBdr>
    </w:div>
    <w:div w:id="1086926834">
      <w:bodyDiv w:val="1"/>
      <w:marLeft w:val="0"/>
      <w:marRight w:val="0"/>
      <w:marTop w:val="0"/>
      <w:marBottom w:val="0"/>
      <w:divBdr>
        <w:top w:val="none" w:sz="0" w:space="0" w:color="auto"/>
        <w:left w:val="none" w:sz="0" w:space="0" w:color="auto"/>
        <w:bottom w:val="none" w:sz="0" w:space="0" w:color="auto"/>
        <w:right w:val="none" w:sz="0" w:space="0" w:color="auto"/>
      </w:divBdr>
    </w:div>
    <w:div w:id="1092318744">
      <w:bodyDiv w:val="1"/>
      <w:marLeft w:val="0"/>
      <w:marRight w:val="0"/>
      <w:marTop w:val="0"/>
      <w:marBottom w:val="0"/>
      <w:divBdr>
        <w:top w:val="none" w:sz="0" w:space="0" w:color="auto"/>
        <w:left w:val="none" w:sz="0" w:space="0" w:color="auto"/>
        <w:bottom w:val="none" w:sz="0" w:space="0" w:color="auto"/>
        <w:right w:val="none" w:sz="0" w:space="0" w:color="auto"/>
      </w:divBdr>
    </w:div>
    <w:div w:id="1092894135">
      <w:bodyDiv w:val="1"/>
      <w:marLeft w:val="0"/>
      <w:marRight w:val="0"/>
      <w:marTop w:val="0"/>
      <w:marBottom w:val="0"/>
      <w:divBdr>
        <w:top w:val="none" w:sz="0" w:space="0" w:color="auto"/>
        <w:left w:val="none" w:sz="0" w:space="0" w:color="auto"/>
        <w:bottom w:val="none" w:sz="0" w:space="0" w:color="auto"/>
        <w:right w:val="none" w:sz="0" w:space="0" w:color="auto"/>
      </w:divBdr>
    </w:div>
    <w:div w:id="1093471115">
      <w:bodyDiv w:val="1"/>
      <w:marLeft w:val="0"/>
      <w:marRight w:val="0"/>
      <w:marTop w:val="0"/>
      <w:marBottom w:val="0"/>
      <w:divBdr>
        <w:top w:val="none" w:sz="0" w:space="0" w:color="auto"/>
        <w:left w:val="none" w:sz="0" w:space="0" w:color="auto"/>
        <w:bottom w:val="none" w:sz="0" w:space="0" w:color="auto"/>
        <w:right w:val="none" w:sz="0" w:space="0" w:color="auto"/>
      </w:divBdr>
    </w:div>
    <w:div w:id="1097676125">
      <w:bodyDiv w:val="1"/>
      <w:marLeft w:val="0"/>
      <w:marRight w:val="0"/>
      <w:marTop w:val="0"/>
      <w:marBottom w:val="0"/>
      <w:divBdr>
        <w:top w:val="none" w:sz="0" w:space="0" w:color="auto"/>
        <w:left w:val="none" w:sz="0" w:space="0" w:color="auto"/>
        <w:bottom w:val="none" w:sz="0" w:space="0" w:color="auto"/>
        <w:right w:val="none" w:sz="0" w:space="0" w:color="auto"/>
      </w:divBdr>
    </w:div>
    <w:div w:id="1098526028">
      <w:bodyDiv w:val="1"/>
      <w:marLeft w:val="0"/>
      <w:marRight w:val="0"/>
      <w:marTop w:val="0"/>
      <w:marBottom w:val="0"/>
      <w:divBdr>
        <w:top w:val="none" w:sz="0" w:space="0" w:color="auto"/>
        <w:left w:val="none" w:sz="0" w:space="0" w:color="auto"/>
        <w:bottom w:val="none" w:sz="0" w:space="0" w:color="auto"/>
        <w:right w:val="none" w:sz="0" w:space="0" w:color="auto"/>
      </w:divBdr>
    </w:div>
    <w:div w:id="1100687611">
      <w:bodyDiv w:val="1"/>
      <w:marLeft w:val="0"/>
      <w:marRight w:val="0"/>
      <w:marTop w:val="0"/>
      <w:marBottom w:val="0"/>
      <w:divBdr>
        <w:top w:val="none" w:sz="0" w:space="0" w:color="auto"/>
        <w:left w:val="none" w:sz="0" w:space="0" w:color="auto"/>
        <w:bottom w:val="none" w:sz="0" w:space="0" w:color="auto"/>
        <w:right w:val="none" w:sz="0" w:space="0" w:color="auto"/>
      </w:divBdr>
    </w:div>
    <w:div w:id="1116294478">
      <w:bodyDiv w:val="1"/>
      <w:marLeft w:val="0"/>
      <w:marRight w:val="0"/>
      <w:marTop w:val="0"/>
      <w:marBottom w:val="0"/>
      <w:divBdr>
        <w:top w:val="none" w:sz="0" w:space="0" w:color="auto"/>
        <w:left w:val="none" w:sz="0" w:space="0" w:color="auto"/>
        <w:bottom w:val="none" w:sz="0" w:space="0" w:color="auto"/>
        <w:right w:val="none" w:sz="0" w:space="0" w:color="auto"/>
      </w:divBdr>
    </w:div>
    <w:div w:id="1123882181">
      <w:bodyDiv w:val="1"/>
      <w:marLeft w:val="0"/>
      <w:marRight w:val="0"/>
      <w:marTop w:val="0"/>
      <w:marBottom w:val="0"/>
      <w:divBdr>
        <w:top w:val="none" w:sz="0" w:space="0" w:color="auto"/>
        <w:left w:val="none" w:sz="0" w:space="0" w:color="auto"/>
        <w:bottom w:val="none" w:sz="0" w:space="0" w:color="auto"/>
        <w:right w:val="none" w:sz="0" w:space="0" w:color="auto"/>
      </w:divBdr>
    </w:div>
    <w:div w:id="1125544667">
      <w:bodyDiv w:val="1"/>
      <w:marLeft w:val="0"/>
      <w:marRight w:val="0"/>
      <w:marTop w:val="0"/>
      <w:marBottom w:val="0"/>
      <w:divBdr>
        <w:top w:val="none" w:sz="0" w:space="0" w:color="auto"/>
        <w:left w:val="none" w:sz="0" w:space="0" w:color="auto"/>
        <w:bottom w:val="none" w:sz="0" w:space="0" w:color="auto"/>
        <w:right w:val="none" w:sz="0" w:space="0" w:color="auto"/>
      </w:divBdr>
    </w:div>
    <w:div w:id="1127744291">
      <w:bodyDiv w:val="1"/>
      <w:marLeft w:val="0"/>
      <w:marRight w:val="0"/>
      <w:marTop w:val="0"/>
      <w:marBottom w:val="0"/>
      <w:divBdr>
        <w:top w:val="none" w:sz="0" w:space="0" w:color="auto"/>
        <w:left w:val="none" w:sz="0" w:space="0" w:color="auto"/>
        <w:bottom w:val="none" w:sz="0" w:space="0" w:color="auto"/>
        <w:right w:val="none" w:sz="0" w:space="0" w:color="auto"/>
      </w:divBdr>
    </w:div>
    <w:div w:id="1128746222">
      <w:bodyDiv w:val="1"/>
      <w:marLeft w:val="0"/>
      <w:marRight w:val="0"/>
      <w:marTop w:val="0"/>
      <w:marBottom w:val="0"/>
      <w:divBdr>
        <w:top w:val="none" w:sz="0" w:space="0" w:color="auto"/>
        <w:left w:val="none" w:sz="0" w:space="0" w:color="auto"/>
        <w:bottom w:val="none" w:sz="0" w:space="0" w:color="auto"/>
        <w:right w:val="none" w:sz="0" w:space="0" w:color="auto"/>
      </w:divBdr>
    </w:div>
    <w:div w:id="1133523829">
      <w:bodyDiv w:val="1"/>
      <w:marLeft w:val="0"/>
      <w:marRight w:val="0"/>
      <w:marTop w:val="0"/>
      <w:marBottom w:val="0"/>
      <w:divBdr>
        <w:top w:val="none" w:sz="0" w:space="0" w:color="auto"/>
        <w:left w:val="none" w:sz="0" w:space="0" w:color="auto"/>
        <w:bottom w:val="none" w:sz="0" w:space="0" w:color="auto"/>
        <w:right w:val="none" w:sz="0" w:space="0" w:color="auto"/>
      </w:divBdr>
    </w:div>
    <w:div w:id="1137529254">
      <w:bodyDiv w:val="1"/>
      <w:marLeft w:val="0"/>
      <w:marRight w:val="0"/>
      <w:marTop w:val="0"/>
      <w:marBottom w:val="0"/>
      <w:divBdr>
        <w:top w:val="none" w:sz="0" w:space="0" w:color="auto"/>
        <w:left w:val="none" w:sz="0" w:space="0" w:color="auto"/>
        <w:bottom w:val="none" w:sz="0" w:space="0" w:color="auto"/>
        <w:right w:val="none" w:sz="0" w:space="0" w:color="auto"/>
      </w:divBdr>
    </w:div>
    <w:div w:id="1138456976">
      <w:bodyDiv w:val="1"/>
      <w:marLeft w:val="0"/>
      <w:marRight w:val="0"/>
      <w:marTop w:val="0"/>
      <w:marBottom w:val="0"/>
      <w:divBdr>
        <w:top w:val="none" w:sz="0" w:space="0" w:color="auto"/>
        <w:left w:val="none" w:sz="0" w:space="0" w:color="auto"/>
        <w:bottom w:val="none" w:sz="0" w:space="0" w:color="auto"/>
        <w:right w:val="none" w:sz="0" w:space="0" w:color="auto"/>
      </w:divBdr>
    </w:div>
    <w:div w:id="1149900698">
      <w:bodyDiv w:val="1"/>
      <w:marLeft w:val="0"/>
      <w:marRight w:val="0"/>
      <w:marTop w:val="0"/>
      <w:marBottom w:val="0"/>
      <w:divBdr>
        <w:top w:val="none" w:sz="0" w:space="0" w:color="auto"/>
        <w:left w:val="none" w:sz="0" w:space="0" w:color="auto"/>
        <w:bottom w:val="none" w:sz="0" w:space="0" w:color="auto"/>
        <w:right w:val="none" w:sz="0" w:space="0" w:color="auto"/>
      </w:divBdr>
    </w:div>
    <w:div w:id="1152671312">
      <w:bodyDiv w:val="1"/>
      <w:marLeft w:val="0"/>
      <w:marRight w:val="0"/>
      <w:marTop w:val="0"/>
      <w:marBottom w:val="0"/>
      <w:divBdr>
        <w:top w:val="none" w:sz="0" w:space="0" w:color="auto"/>
        <w:left w:val="none" w:sz="0" w:space="0" w:color="auto"/>
        <w:bottom w:val="none" w:sz="0" w:space="0" w:color="auto"/>
        <w:right w:val="none" w:sz="0" w:space="0" w:color="auto"/>
      </w:divBdr>
    </w:div>
    <w:div w:id="1153184353">
      <w:bodyDiv w:val="1"/>
      <w:marLeft w:val="0"/>
      <w:marRight w:val="0"/>
      <w:marTop w:val="0"/>
      <w:marBottom w:val="0"/>
      <w:divBdr>
        <w:top w:val="none" w:sz="0" w:space="0" w:color="auto"/>
        <w:left w:val="none" w:sz="0" w:space="0" w:color="auto"/>
        <w:bottom w:val="none" w:sz="0" w:space="0" w:color="auto"/>
        <w:right w:val="none" w:sz="0" w:space="0" w:color="auto"/>
      </w:divBdr>
    </w:div>
    <w:div w:id="1155754410">
      <w:bodyDiv w:val="1"/>
      <w:marLeft w:val="0"/>
      <w:marRight w:val="0"/>
      <w:marTop w:val="0"/>
      <w:marBottom w:val="0"/>
      <w:divBdr>
        <w:top w:val="none" w:sz="0" w:space="0" w:color="auto"/>
        <w:left w:val="none" w:sz="0" w:space="0" w:color="auto"/>
        <w:bottom w:val="none" w:sz="0" w:space="0" w:color="auto"/>
        <w:right w:val="none" w:sz="0" w:space="0" w:color="auto"/>
      </w:divBdr>
    </w:div>
    <w:div w:id="1173179911">
      <w:bodyDiv w:val="1"/>
      <w:marLeft w:val="0"/>
      <w:marRight w:val="0"/>
      <w:marTop w:val="0"/>
      <w:marBottom w:val="0"/>
      <w:divBdr>
        <w:top w:val="none" w:sz="0" w:space="0" w:color="auto"/>
        <w:left w:val="none" w:sz="0" w:space="0" w:color="auto"/>
        <w:bottom w:val="none" w:sz="0" w:space="0" w:color="auto"/>
        <w:right w:val="none" w:sz="0" w:space="0" w:color="auto"/>
      </w:divBdr>
    </w:div>
    <w:div w:id="1179005628">
      <w:bodyDiv w:val="1"/>
      <w:marLeft w:val="0"/>
      <w:marRight w:val="0"/>
      <w:marTop w:val="0"/>
      <w:marBottom w:val="0"/>
      <w:divBdr>
        <w:top w:val="none" w:sz="0" w:space="0" w:color="auto"/>
        <w:left w:val="none" w:sz="0" w:space="0" w:color="auto"/>
        <w:bottom w:val="none" w:sz="0" w:space="0" w:color="auto"/>
        <w:right w:val="none" w:sz="0" w:space="0" w:color="auto"/>
      </w:divBdr>
    </w:div>
    <w:div w:id="1181818922">
      <w:bodyDiv w:val="1"/>
      <w:marLeft w:val="0"/>
      <w:marRight w:val="0"/>
      <w:marTop w:val="0"/>
      <w:marBottom w:val="0"/>
      <w:divBdr>
        <w:top w:val="none" w:sz="0" w:space="0" w:color="auto"/>
        <w:left w:val="none" w:sz="0" w:space="0" w:color="auto"/>
        <w:bottom w:val="none" w:sz="0" w:space="0" w:color="auto"/>
        <w:right w:val="none" w:sz="0" w:space="0" w:color="auto"/>
      </w:divBdr>
    </w:div>
    <w:div w:id="1187448331">
      <w:bodyDiv w:val="1"/>
      <w:marLeft w:val="0"/>
      <w:marRight w:val="0"/>
      <w:marTop w:val="0"/>
      <w:marBottom w:val="0"/>
      <w:divBdr>
        <w:top w:val="none" w:sz="0" w:space="0" w:color="auto"/>
        <w:left w:val="none" w:sz="0" w:space="0" w:color="auto"/>
        <w:bottom w:val="none" w:sz="0" w:space="0" w:color="auto"/>
        <w:right w:val="none" w:sz="0" w:space="0" w:color="auto"/>
      </w:divBdr>
    </w:div>
    <w:div w:id="1191839988">
      <w:bodyDiv w:val="1"/>
      <w:marLeft w:val="0"/>
      <w:marRight w:val="0"/>
      <w:marTop w:val="0"/>
      <w:marBottom w:val="0"/>
      <w:divBdr>
        <w:top w:val="none" w:sz="0" w:space="0" w:color="auto"/>
        <w:left w:val="none" w:sz="0" w:space="0" w:color="auto"/>
        <w:bottom w:val="none" w:sz="0" w:space="0" w:color="auto"/>
        <w:right w:val="none" w:sz="0" w:space="0" w:color="auto"/>
      </w:divBdr>
    </w:div>
    <w:div w:id="1198858603">
      <w:bodyDiv w:val="1"/>
      <w:marLeft w:val="0"/>
      <w:marRight w:val="0"/>
      <w:marTop w:val="0"/>
      <w:marBottom w:val="0"/>
      <w:divBdr>
        <w:top w:val="none" w:sz="0" w:space="0" w:color="auto"/>
        <w:left w:val="none" w:sz="0" w:space="0" w:color="auto"/>
        <w:bottom w:val="none" w:sz="0" w:space="0" w:color="auto"/>
        <w:right w:val="none" w:sz="0" w:space="0" w:color="auto"/>
      </w:divBdr>
    </w:div>
    <w:div w:id="1211959152">
      <w:bodyDiv w:val="1"/>
      <w:marLeft w:val="0"/>
      <w:marRight w:val="0"/>
      <w:marTop w:val="0"/>
      <w:marBottom w:val="0"/>
      <w:divBdr>
        <w:top w:val="none" w:sz="0" w:space="0" w:color="auto"/>
        <w:left w:val="none" w:sz="0" w:space="0" w:color="auto"/>
        <w:bottom w:val="none" w:sz="0" w:space="0" w:color="auto"/>
        <w:right w:val="none" w:sz="0" w:space="0" w:color="auto"/>
      </w:divBdr>
    </w:div>
    <w:div w:id="1221400790">
      <w:bodyDiv w:val="1"/>
      <w:marLeft w:val="0"/>
      <w:marRight w:val="0"/>
      <w:marTop w:val="0"/>
      <w:marBottom w:val="0"/>
      <w:divBdr>
        <w:top w:val="none" w:sz="0" w:space="0" w:color="auto"/>
        <w:left w:val="none" w:sz="0" w:space="0" w:color="auto"/>
        <w:bottom w:val="none" w:sz="0" w:space="0" w:color="auto"/>
        <w:right w:val="none" w:sz="0" w:space="0" w:color="auto"/>
      </w:divBdr>
    </w:div>
    <w:div w:id="1222256978">
      <w:bodyDiv w:val="1"/>
      <w:marLeft w:val="0"/>
      <w:marRight w:val="0"/>
      <w:marTop w:val="0"/>
      <w:marBottom w:val="0"/>
      <w:divBdr>
        <w:top w:val="none" w:sz="0" w:space="0" w:color="auto"/>
        <w:left w:val="none" w:sz="0" w:space="0" w:color="auto"/>
        <w:bottom w:val="none" w:sz="0" w:space="0" w:color="auto"/>
        <w:right w:val="none" w:sz="0" w:space="0" w:color="auto"/>
      </w:divBdr>
    </w:div>
    <w:div w:id="1223366097">
      <w:bodyDiv w:val="1"/>
      <w:marLeft w:val="0"/>
      <w:marRight w:val="0"/>
      <w:marTop w:val="0"/>
      <w:marBottom w:val="0"/>
      <w:divBdr>
        <w:top w:val="none" w:sz="0" w:space="0" w:color="auto"/>
        <w:left w:val="none" w:sz="0" w:space="0" w:color="auto"/>
        <w:bottom w:val="none" w:sz="0" w:space="0" w:color="auto"/>
        <w:right w:val="none" w:sz="0" w:space="0" w:color="auto"/>
      </w:divBdr>
    </w:div>
    <w:div w:id="1224177961">
      <w:bodyDiv w:val="1"/>
      <w:marLeft w:val="0"/>
      <w:marRight w:val="0"/>
      <w:marTop w:val="0"/>
      <w:marBottom w:val="0"/>
      <w:divBdr>
        <w:top w:val="none" w:sz="0" w:space="0" w:color="auto"/>
        <w:left w:val="none" w:sz="0" w:space="0" w:color="auto"/>
        <w:bottom w:val="none" w:sz="0" w:space="0" w:color="auto"/>
        <w:right w:val="none" w:sz="0" w:space="0" w:color="auto"/>
      </w:divBdr>
    </w:div>
    <w:div w:id="1228612989">
      <w:bodyDiv w:val="1"/>
      <w:marLeft w:val="0"/>
      <w:marRight w:val="0"/>
      <w:marTop w:val="0"/>
      <w:marBottom w:val="0"/>
      <w:divBdr>
        <w:top w:val="none" w:sz="0" w:space="0" w:color="auto"/>
        <w:left w:val="none" w:sz="0" w:space="0" w:color="auto"/>
        <w:bottom w:val="none" w:sz="0" w:space="0" w:color="auto"/>
        <w:right w:val="none" w:sz="0" w:space="0" w:color="auto"/>
      </w:divBdr>
    </w:div>
    <w:div w:id="1231228519">
      <w:bodyDiv w:val="1"/>
      <w:marLeft w:val="0"/>
      <w:marRight w:val="0"/>
      <w:marTop w:val="0"/>
      <w:marBottom w:val="0"/>
      <w:divBdr>
        <w:top w:val="none" w:sz="0" w:space="0" w:color="auto"/>
        <w:left w:val="none" w:sz="0" w:space="0" w:color="auto"/>
        <w:bottom w:val="none" w:sz="0" w:space="0" w:color="auto"/>
        <w:right w:val="none" w:sz="0" w:space="0" w:color="auto"/>
      </w:divBdr>
    </w:div>
    <w:div w:id="1239512979">
      <w:bodyDiv w:val="1"/>
      <w:marLeft w:val="0"/>
      <w:marRight w:val="0"/>
      <w:marTop w:val="0"/>
      <w:marBottom w:val="0"/>
      <w:divBdr>
        <w:top w:val="none" w:sz="0" w:space="0" w:color="auto"/>
        <w:left w:val="none" w:sz="0" w:space="0" w:color="auto"/>
        <w:bottom w:val="none" w:sz="0" w:space="0" w:color="auto"/>
        <w:right w:val="none" w:sz="0" w:space="0" w:color="auto"/>
      </w:divBdr>
    </w:div>
    <w:div w:id="1239947872">
      <w:bodyDiv w:val="1"/>
      <w:marLeft w:val="0"/>
      <w:marRight w:val="0"/>
      <w:marTop w:val="0"/>
      <w:marBottom w:val="0"/>
      <w:divBdr>
        <w:top w:val="none" w:sz="0" w:space="0" w:color="auto"/>
        <w:left w:val="none" w:sz="0" w:space="0" w:color="auto"/>
        <w:bottom w:val="none" w:sz="0" w:space="0" w:color="auto"/>
        <w:right w:val="none" w:sz="0" w:space="0" w:color="auto"/>
      </w:divBdr>
    </w:div>
    <w:div w:id="1241794624">
      <w:bodyDiv w:val="1"/>
      <w:marLeft w:val="0"/>
      <w:marRight w:val="0"/>
      <w:marTop w:val="0"/>
      <w:marBottom w:val="0"/>
      <w:divBdr>
        <w:top w:val="none" w:sz="0" w:space="0" w:color="auto"/>
        <w:left w:val="none" w:sz="0" w:space="0" w:color="auto"/>
        <w:bottom w:val="none" w:sz="0" w:space="0" w:color="auto"/>
        <w:right w:val="none" w:sz="0" w:space="0" w:color="auto"/>
      </w:divBdr>
    </w:div>
    <w:div w:id="1252082436">
      <w:bodyDiv w:val="1"/>
      <w:marLeft w:val="0"/>
      <w:marRight w:val="0"/>
      <w:marTop w:val="0"/>
      <w:marBottom w:val="0"/>
      <w:divBdr>
        <w:top w:val="none" w:sz="0" w:space="0" w:color="auto"/>
        <w:left w:val="none" w:sz="0" w:space="0" w:color="auto"/>
        <w:bottom w:val="none" w:sz="0" w:space="0" w:color="auto"/>
        <w:right w:val="none" w:sz="0" w:space="0" w:color="auto"/>
      </w:divBdr>
    </w:div>
    <w:div w:id="1256355747">
      <w:bodyDiv w:val="1"/>
      <w:marLeft w:val="0"/>
      <w:marRight w:val="0"/>
      <w:marTop w:val="0"/>
      <w:marBottom w:val="0"/>
      <w:divBdr>
        <w:top w:val="none" w:sz="0" w:space="0" w:color="auto"/>
        <w:left w:val="none" w:sz="0" w:space="0" w:color="auto"/>
        <w:bottom w:val="none" w:sz="0" w:space="0" w:color="auto"/>
        <w:right w:val="none" w:sz="0" w:space="0" w:color="auto"/>
      </w:divBdr>
    </w:div>
    <w:div w:id="1257209372">
      <w:bodyDiv w:val="1"/>
      <w:marLeft w:val="0"/>
      <w:marRight w:val="0"/>
      <w:marTop w:val="0"/>
      <w:marBottom w:val="0"/>
      <w:divBdr>
        <w:top w:val="none" w:sz="0" w:space="0" w:color="auto"/>
        <w:left w:val="none" w:sz="0" w:space="0" w:color="auto"/>
        <w:bottom w:val="none" w:sz="0" w:space="0" w:color="auto"/>
        <w:right w:val="none" w:sz="0" w:space="0" w:color="auto"/>
      </w:divBdr>
    </w:div>
    <w:div w:id="1259603666">
      <w:bodyDiv w:val="1"/>
      <w:marLeft w:val="0"/>
      <w:marRight w:val="0"/>
      <w:marTop w:val="0"/>
      <w:marBottom w:val="0"/>
      <w:divBdr>
        <w:top w:val="none" w:sz="0" w:space="0" w:color="auto"/>
        <w:left w:val="none" w:sz="0" w:space="0" w:color="auto"/>
        <w:bottom w:val="none" w:sz="0" w:space="0" w:color="auto"/>
        <w:right w:val="none" w:sz="0" w:space="0" w:color="auto"/>
      </w:divBdr>
    </w:div>
    <w:div w:id="1261327881">
      <w:bodyDiv w:val="1"/>
      <w:marLeft w:val="0"/>
      <w:marRight w:val="0"/>
      <w:marTop w:val="0"/>
      <w:marBottom w:val="0"/>
      <w:divBdr>
        <w:top w:val="none" w:sz="0" w:space="0" w:color="auto"/>
        <w:left w:val="none" w:sz="0" w:space="0" w:color="auto"/>
        <w:bottom w:val="none" w:sz="0" w:space="0" w:color="auto"/>
        <w:right w:val="none" w:sz="0" w:space="0" w:color="auto"/>
      </w:divBdr>
    </w:div>
    <w:div w:id="1264143505">
      <w:bodyDiv w:val="1"/>
      <w:marLeft w:val="0"/>
      <w:marRight w:val="0"/>
      <w:marTop w:val="0"/>
      <w:marBottom w:val="0"/>
      <w:divBdr>
        <w:top w:val="none" w:sz="0" w:space="0" w:color="auto"/>
        <w:left w:val="none" w:sz="0" w:space="0" w:color="auto"/>
        <w:bottom w:val="none" w:sz="0" w:space="0" w:color="auto"/>
        <w:right w:val="none" w:sz="0" w:space="0" w:color="auto"/>
      </w:divBdr>
    </w:div>
    <w:div w:id="1264455004">
      <w:bodyDiv w:val="1"/>
      <w:marLeft w:val="0"/>
      <w:marRight w:val="0"/>
      <w:marTop w:val="0"/>
      <w:marBottom w:val="0"/>
      <w:divBdr>
        <w:top w:val="none" w:sz="0" w:space="0" w:color="auto"/>
        <w:left w:val="none" w:sz="0" w:space="0" w:color="auto"/>
        <w:bottom w:val="none" w:sz="0" w:space="0" w:color="auto"/>
        <w:right w:val="none" w:sz="0" w:space="0" w:color="auto"/>
      </w:divBdr>
    </w:div>
    <w:div w:id="1281765015">
      <w:bodyDiv w:val="1"/>
      <w:marLeft w:val="0"/>
      <w:marRight w:val="0"/>
      <w:marTop w:val="0"/>
      <w:marBottom w:val="0"/>
      <w:divBdr>
        <w:top w:val="none" w:sz="0" w:space="0" w:color="auto"/>
        <w:left w:val="none" w:sz="0" w:space="0" w:color="auto"/>
        <w:bottom w:val="none" w:sz="0" w:space="0" w:color="auto"/>
        <w:right w:val="none" w:sz="0" w:space="0" w:color="auto"/>
      </w:divBdr>
    </w:div>
    <w:div w:id="1283419925">
      <w:bodyDiv w:val="1"/>
      <w:marLeft w:val="0"/>
      <w:marRight w:val="0"/>
      <w:marTop w:val="0"/>
      <w:marBottom w:val="0"/>
      <w:divBdr>
        <w:top w:val="none" w:sz="0" w:space="0" w:color="auto"/>
        <w:left w:val="none" w:sz="0" w:space="0" w:color="auto"/>
        <w:bottom w:val="none" w:sz="0" w:space="0" w:color="auto"/>
        <w:right w:val="none" w:sz="0" w:space="0" w:color="auto"/>
      </w:divBdr>
    </w:div>
    <w:div w:id="1284724136">
      <w:bodyDiv w:val="1"/>
      <w:marLeft w:val="0"/>
      <w:marRight w:val="0"/>
      <w:marTop w:val="0"/>
      <w:marBottom w:val="0"/>
      <w:divBdr>
        <w:top w:val="none" w:sz="0" w:space="0" w:color="auto"/>
        <w:left w:val="none" w:sz="0" w:space="0" w:color="auto"/>
        <w:bottom w:val="none" w:sz="0" w:space="0" w:color="auto"/>
        <w:right w:val="none" w:sz="0" w:space="0" w:color="auto"/>
      </w:divBdr>
    </w:div>
    <w:div w:id="1288242092">
      <w:bodyDiv w:val="1"/>
      <w:marLeft w:val="0"/>
      <w:marRight w:val="0"/>
      <w:marTop w:val="0"/>
      <w:marBottom w:val="0"/>
      <w:divBdr>
        <w:top w:val="none" w:sz="0" w:space="0" w:color="auto"/>
        <w:left w:val="none" w:sz="0" w:space="0" w:color="auto"/>
        <w:bottom w:val="none" w:sz="0" w:space="0" w:color="auto"/>
        <w:right w:val="none" w:sz="0" w:space="0" w:color="auto"/>
      </w:divBdr>
    </w:div>
    <w:div w:id="1289508206">
      <w:bodyDiv w:val="1"/>
      <w:marLeft w:val="0"/>
      <w:marRight w:val="0"/>
      <w:marTop w:val="0"/>
      <w:marBottom w:val="0"/>
      <w:divBdr>
        <w:top w:val="none" w:sz="0" w:space="0" w:color="auto"/>
        <w:left w:val="none" w:sz="0" w:space="0" w:color="auto"/>
        <w:bottom w:val="none" w:sz="0" w:space="0" w:color="auto"/>
        <w:right w:val="none" w:sz="0" w:space="0" w:color="auto"/>
      </w:divBdr>
    </w:div>
    <w:div w:id="1291206440">
      <w:bodyDiv w:val="1"/>
      <w:marLeft w:val="0"/>
      <w:marRight w:val="0"/>
      <w:marTop w:val="0"/>
      <w:marBottom w:val="0"/>
      <w:divBdr>
        <w:top w:val="none" w:sz="0" w:space="0" w:color="auto"/>
        <w:left w:val="none" w:sz="0" w:space="0" w:color="auto"/>
        <w:bottom w:val="none" w:sz="0" w:space="0" w:color="auto"/>
        <w:right w:val="none" w:sz="0" w:space="0" w:color="auto"/>
      </w:divBdr>
    </w:div>
    <w:div w:id="1295982533">
      <w:bodyDiv w:val="1"/>
      <w:marLeft w:val="0"/>
      <w:marRight w:val="0"/>
      <w:marTop w:val="0"/>
      <w:marBottom w:val="0"/>
      <w:divBdr>
        <w:top w:val="none" w:sz="0" w:space="0" w:color="auto"/>
        <w:left w:val="none" w:sz="0" w:space="0" w:color="auto"/>
        <w:bottom w:val="none" w:sz="0" w:space="0" w:color="auto"/>
        <w:right w:val="none" w:sz="0" w:space="0" w:color="auto"/>
      </w:divBdr>
    </w:div>
    <w:div w:id="1298298280">
      <w:bodyDiv w:val="1"/>
      <w:marLeft w:val="0"/>
      <w:marRight w:val="0"/>
      <w:marTop w:val="0"/>
      <w:marBottom w:val="0"/>
      <w:divBdr>
        <w:top w:val="none" w:sz="0" w:space="0" w:color="auto"/>
        <w:left w:val="none" w:sz="0" w:space="0" w:color="auto"/>
        <w:bottom w:val="none" w:sz="0" w:space="0" w:color="auto"/>
        <w:right w:val="none" w:sz="0" w:space="0" w:color="auto"/>
      </w:divBdr>
    </w:div>
    <w:div w:id="1310135522">
      <w:bodyDiv w:val="1"/>
      <w:marLeft w:val="0"/>
      <w:marRight w:val="0"/>
      <w:marTop w:val="0"/>
      <w:marBottom w:val="0"/>
      <w:divBdr>
        <w:top w:val="none" w:sz="0" w:space="0" w:color="auto"/>
        <w:left w:val="none" w:sz="0" w:space="0" w:color="auto"/>
        <w:bottom w:val="none" w:sz="0" w:space="0" w:color="auto"/>
        <w:right w:val="none" w:sz="0" w:space="0" w:color="auto"/>
      </w:divBdr>
    </w:div>
    <w:div w:id="1317345066">
      <w:bodyDiv w:val="1"/>
      <w:marLeft w:val="0"/>
      <w:marRight w:val="0"/>
      <w:marTop w:val="0"/>
      <w:marBottom w:val="0"/>
      <w:divBdr>
        <w:top w:val="none" w:sz="0" w:space="0" w:color="auto"/>
        <w:left w:val="none" w:sz="0" w:space="0" w:color="auto"/>
        <w:bottom w:val="none" w:sz="0" w:space="0" w:color="auto"/>
        <w:right w:val="none" w:sz="0" w:space="0" w:color="auto"/>
      </w:divBdr>
    </w:div>
    <w:div w:id="1322081001">
      <w:bodyDiv w:val="1"/>
      <w:marLeft w:val="0"/>
      <w:marRight w:val="0"/>
      <w:marTop w:val="0"/>
      <w:marBottom w:val="0"/>
      <w:divBdr>
        <w:top w:val="none" w:sz="0" w:space="0" w:color="auto"/>
        <w:left w:val="none" w:sz="0" w:space="0" w:color="auto"/>
        <w:bottom w:val="none" w:sz="0" w:space="0" w:color="auto"/>
        <w:right w:val="none" w:sz="0" w:space="0" w:color="auto"/>
      </w:divBdr>
    </w:div>
    <w:div w:id="1326663453">
      <w:bodyDiv w:val="1"/>
      <w:marLeft w:val="0"/>
      <w:marRight w:val="0"/>
      <w:marTop w:val="0"/>
      <w:marBottom w:val="0"/>
      <w:divBdr>
        <w:top w:val="none" w:sz="0" w:space="0" w:color="auto"/>
        <w:left w:val="none" w:sz="0" w:space="0" w:color="auto"/>
        <w:bottom w:val="none" w:sz="0" w:space="0" w:color="auto"/>
        <w:right w:val="none" w:sz="0" w:space="0" w:color="auto"/>
      </w:divBdr>
    </w:div>
    <w:div w:id="1329014408">
      <w:bodyDiv w:val="1"/>
      <w:marLeft w:val="0"/>
      <w:marRight w:val="0"/>
      <w:marTop w:val="0"/>
      <w:marBottom w:val="0"/>
      <w:divBdr>
        <w:top w:val="none" w:sz="0" w:space="0" w:color="auto"/>
        <w:left w:val="none" w:sz="0" w:space="0" w:color="auto"/>
        <w:bottom w:val="none" w:sz="0" w:space="0" w:color="auto"/>
        <w:right w:val="none" w:sz="0" w:space="0" w:color="auto"/>
      </w:divBdr>
    </w:div>
    <w:div w:id="1334411210">
      <w:bodyDiv w:val="1"/>
      <w:marLeft w:val="0"/>
      <w:marRight w:val="0"/>
      <w:marTop w:val="0"/>
      <w:marBottom w:val="0"/>
      <w:divBdr>
        <w:top w:val="none" w:sz="0" w:space="0" w:color="auto"/>
        <w:left w:val="none" w:sz="0" w:space="0" w:color="auto"/>
        <w:bottom w:val="none" w:sz="0" w:space="0" w:color="auto"/>
        <w:right w:val="none" w:sz="0" w:space="0" w:color="auto"/>
      </w:divBdr>
    </w:div>
    <w:div w:id="1335568710">
      <w:bodyDiv w:val="1"/>
      <w:marLeft w:val="0"/>
      <w:marRight w:val="0"/>
      <w:marTop w:val="0"/>
      <w:marBottom w:val="0"/>
      <w:divBdr>
        <w:top w:val="none" w:sz="0" w:space="0" w:color="auto"/>
        <w:left w:val="none" w:sz="0" w:space="0" w:color="auto"/>
        <w:bottom w:val="none" w:sz="0" w:space="0" w:color="auto"/>
        <w:right w:val="none" w:sz="0" w:space="0" w:color="auto"/>
      </w:divBdr>
    </w:div>
    <w:div w:id="1352292436">
      <w:bodyDiv w:val="1"/>
      <w:marLeft w:val="0"/>
      <w:marRight w:val="0"/>
      <w:marTop w:val="0"/>
      <w:marBottom w:val="0"/>
      <w:divBdr>
        <w:top w:val="none" w:sz="0" w:space="0" w:color="auto"/>
        <w:left w:val="none" w:sz="0" w:space="0" w:color="auto"/>
        <w:bottom w:val="none" w:sz="0" w:space="0" w:color="auto"/>
        <w:right w:val="none" w:sz="0" w:space="0" w:color="auto"/>
      </w:divBdr>
    </w:div>
    <w:div w:id="1365013280">
      <w:bodyDiv w:val="1"/>
      <w:marLeft w:val="0"/>
      <w:marRight w:val="0"/>
      <w:marTop w:val="0"/>
      <w:marBottom w:val="0"/>
      <w:divBdr>
        <w:top w:val="none" w:sz="0" w:space="0" w:color="auto"/>
        <w:left w:val="none" w:sz="0" w:space="0" w:color="auto"/>
        <w:bottom w:val="none" w:sz="0" w:space="0" w:color="auto"/>
        <w:right w:val="none" w:sz="0" w:space="0" w:color="auto"/>
      </w:divBdr>
    </w:div>
    <w:div w:id="1365402925">
      <w:bodyDiv w:val="1"/>
      <w:marLeft w:val="0"/>
      <w:marRight w:val="0"/>
      <w:marTop w:val="0"/>
      <w:marBottom w:val="0"/>
      <w:divBdr>
        <w:top w:val="none" w:sz="0" w:space="0" w:color="auto"/>
        <w:left w:val="none" w:sz="0" w:space="0" w:color="auto"/>
        <w:bottom w:val="none" w:sz="0" w:space="0" w:color="auto"/>
        <w:right w:val="none" w:sz="0" w:space="0" w:color="auto"/>
      </w:divBdr>
    </w:div>
    <w:div w:id="1367684204">
      <w:bodyDiv w:val="1"/>
      <w:marLeft w:val="0"/>
      <w:marRight w:val="0"/>
      <w:marTop w:val="0"/>
      <w:marBottom w:val="0"/>
      <w:divBdr>
        <w:top w:val="none" w:sz="0" w:space="0" w:color="auto"/>
        <w:left w:val="none" w:sz="0" w:space="0" w:color="auto"/>
        <w:bottom w:val="none" w:sz="0" w:space="0" w:color="auto"/>
        <w:right w:val="none" w:sz="0" w:space="0" w:color="auto"/>
      </w:divBdr>
    </w:div>
    <w:div w:id="1380277490">
      <w:bodyDiv w:val="1"/>
      <w:marLeft w:val="0"/>
      <w:marRight w:val="0"/>
      <w:marTop w:val="0"/>
      <w:marBottom w:val="0"/>
      <w:divBdr>
        <w:top w:val="none" w:sz="0" w:space="0" w:color="auto"/>
        <w:left w:val="none" w:sz="0" w:space="0" w:color="auto"/>
        <w:bottom w:val="none" w:sz="0" w:space="0" w:color="auto"/>
        <w:right w:val="none" w:sz="0" w:space="0" w:color="auto"/>
      </w:divBdr>
    </w:div>
    <w:div w:id="1381519384">
      <w:bodyDiv w:val="1"/>
      <w:marLeft w:val="0"/>
      <w:marRight w:val="0"/>
      <w:marTop w:val="0"/>
      <w:marBottom w:val="0"/>
      <w:divBdr>
        <w:top w:val="none" w:sz="0" w:space="0" w:color="auto"/>
        <w:left w:val="none" w:sz="0" w:space="0" w:color="auto"/>
        <w:bottom w:val="none" w:sz="0" w:space="0" w:color="auto"/>
        <w:right w:val="none" w:sz="0" w:space="0" w:color="auto"/>
      </w:divBdr>
    </w:div>
    <w:div w:id="1381903519">
      <w:bodyDiv w:val="1"/>
      <w:marLeft w:val="0"/>
      <w:marRight w:val="0"/>
      <w:marTop w:val="0"/>
      <w:marBottom w:val="0"/>
      <w:divBdr>
        <w:top w:val="none" w:sz="0" w:space="0" w:color="auto"/>
        <w:left w:val="none" w:sz="0" w:space="0" w:color="auto"/>
        <w:bottom w:val="none" w:sz="0" w:space="0" w:color="auto"/>
        <w:right w:val="none" w:sz="0" w:space="0" w:color="auto"/>
      </w:divBdr>
    </w:div>
    <w:div w:id="1382941128">
      <w:bodyDiv w:val="1"/>
      <w:marLeft w:val="0"/>
      <w:marRight w:val="0"/>
      <w:marTop w:val="0"/>
      <w:marBottom w:val="0"/>
      <w:divBdr>
        <w:top w:val="none" w:sz="0" w:space="0" w:color="auto"/>
        <w:left w:val="none" w:sz="0" w:space="0" w:color="auto"/>
        <w:bottom w:val="none" w:sz="0" w:space="0" w:color="auto"/>
        <w:right w:val="none" w:sz="0" w:space="0" w:color="auto"/>
      </w:divBdr>
    </w:div>
    <w:div w:id="1387946526">
      <w:bodyDiv w:val="1"/>
      <w:marLeft w:val="0"/>
      <w:marRight w:val="0"/>
      <w:marTop w:val="0"/>
      <w:marBottom w:val="0"/>
      <w:divBdr>
        <w:top w:val="none" w:sz="0" w:space="0" w:color="auto"/>
        <w:left w:val="none" w:sz="0" w:space="0" w:color="auto"/>
        <w:bottom w:val="none" w:sz="0" w:space="0" w:color="auto"/>
        <w:right w:val="none" w:sz="0" w:space="0" w:color="auto"/>
      </w:divBdr>
    </w:div>
    <w:div w:id="1388530447">
      <w:bodyDiv w:val="1"/>
      <w:marLeft w:val="0"/>
      <w:marRight w:val="0"/>
      <w:marTop w:val="0"/>
      <w:marBottom w:val="0"/>
      <w:divBdr>
        <w:top w:val="none" w:sz="0" w:space="0" w:color="auto"/>
        <w:left w:val="none" w:sz="0" w:space="0" w:color="auto"/>
        <w:bottom w:val="none" w:sz="0" w:space="0" w:color="auto"/>
        <w:right w:val="none" w:sz="0" w:space="0" w:color="auto"/>
      </w:divBdr>
    </w:div>
    <w:div w:id="1388607658">
      <w:bodyDiv w:val="1"/>
      <w:marLeft w:val="0"/>
      <w:marRight w:val="0"/>
      <w:marTop w:val="0"/>
      <w:marBottom w:val="0"/>
      <w:divBdr>
        <w:top w:val="none" w:sz="0" w:space="0" w:color="auto"/>
        <w:left w:val="none" w:sz="0" w:space="0" w:color="auto"/>
        <w:bottom w:val="none" w:sz="0" w:space="0" w:color="auto"/>
        <w:right w:val="none" w:sz="0" w:space="0" w:color="auto"/>
      </w:divBdr>
    </w:div>
    <w:div w:id="1390299316">
      <w:bodyDiv w:val="1"/>
      <w:marLeft w:val="0"/>
      <w:marRight w:val="0"/>
      <w:marTop w:val="0"/>
      <w:marBottom w:val="0"/>
      <w:divBdr>
        <w:top w:val="none" w:sz="0" w:space="0" w:color="auto"/>
        <w:left w:val="none" w:sz="0" w:space="0" w:color="auto"/>
        <w:bottom w:val="none" w:sz="0" w:space="0" w:color="auto"/>
        <w:right w:val="none" w:sz="0" w:space="0" w:color="auto"/>
      </w:divBdr>
    </w:div>
    <w:div w:id="1398897280">
      <w:bodyDiv w:val="1"/>
      <w:marLeft w:val="0"/>
      <w:marRight w:val="0"/>
      <w:marTop w:val="0"/>
      <w:marBottom w:val="0"/>
      <w:divBdr>
        <w:top w:val="none" w:sz="0" w:space="0" w:color="auto"/>
        <w:left w:val="none" w:sz="0" w:space="0" w:color="auto"/>
        <w:bottom w:val="none" w:sz="0" w:space="0" w:color="auto"/>
        <w:right w:val="none" w:sz="0" w:space="0" w:color="auto"/>
      </w:divBdr>
    </w:div>
    <w:div w:id="1399354196">
      <w:bodyDiv w:val="1"/>
      <w:marLeft w:val="0"/>
      <w:marRight w:val="0"/>
      <w:marTop w:val="0"/>
      <w:marBottom w:val="0"/>
      <w:divBdr>
        <w:top w:val="none" w:sz="0" w:space="0" w:color="auto"/>
        <w:left w:val="none" w:sz="0" w:space="0" w:color="auto"/>
        <w:bottom w:val="none" w:sz="0" w:space="0" w:color="auto"/>
        <w:right w:val="none" w:sz="0" w:space="0" w:color="auto"/>
      </w:divBdr>
    </w:div>
    <w:div w:id="1402024761">
      <w:bodyDiv w:val="1"/>
      <w:marLeft w:val="0"/>
      <w:marRight w:val="0"/>
      <w:marTop w:val="0"/>
      <w:marBottom w:val="0"/>
      <w:divBdr>
        <w:top w:val="none" w:sz="0" w:space="0" w:color="auto"/>
        <w:left w:val="none" w:sz="0" w:space="0" w:color="auto"/>
        <w:bottom w:val="none" w:sz="0" w:space="0" w:color="auto"/>
        <w:right w:val="none" w:sz="0" w:space="0" w:color="auto"/>
      </w:divBdr>
    </w:div>
    <w:div w:id="1406536940">
      <w:bodyDiv w:val="1"/>
      <w:marLeft w:val="0"/>
      <w:marRight w:val="0"/>
      <w:marTop w:val="0"/>
      <w:marBottom w:val="0"/>
      <w:divBdr>
        <w:top w:val="none" w:sz="0" w:space="0" w:color="auto"/>
        <w:left w:val="none" w:sz="0" w:space="0" w:color="auto"/>
        <w:bottom w:val="none" w:sz="0" w:space="0" w:color="auto"/>
        <w:right w:val="none" w:sz="0" w:space="0" w:color="auto"/>
      </w:divBdr>
    </w:div>
    <w:div w:id="1419445060">
      <w:bodyDiv w:val="1"/>
      <w:marLeft w:val="0"/>
      <w:marRight w:val="0"/>
      <w:marTop w:val="0"/>
      <w:marBottom w:val="0"/>
      <w:divBdr>
        <w:top w:val="none" w:sz="0" w:space="0" w:color="auto"/>
        <w:left w:val="none" w:sz="0" w:space="0" w:color="auto"/>
        <w:bottom w:val="none" w:sz="0" w:space="0" w:color="auto"/>
        <w:right w:val="none" w:sz="0" w:space="0" w:color="auto"/>
      </w:divBdr>
    </w:div>
    <w:div w:id="1421178091">
      <w:bodyDiv w:val="1"/>
      <w:marLeft w:val="0"/>
      <w:marRight w:val="0"/>
      <w:marTop w:val="0"/>
      <w:marBottom w:val="0"/>
      <w:divBdr>
        <w:top w:val="none" w:sz="0" w:space="0" w:color="auto"/>
        <w:left w:val="none" w:sz="0" w:space="0" w:color="auto"/>
        <w:bottom w:val="none" w:sz="0" w:space="0" w:color="auto"/>
        <w:right w:val="none" w:sz="0" w:space="0" w:color="auto"/>
      </w:divBdr>
    </w:div>
    <w:div w:id="1425152769">
      <w:bodyDiv w:val="1"/>
      <w:marLeft w:val="0"/>
      <w:marRight w:val="0"/>
      <w:marTop w:val="0"/>
      <w:marBottom w:val="0"/>
      <w:divBdr>
        <w:top w:val="none" w:sz="0" w:space="0" w:color="auto"/>
        <w:left w:val="none" w:sz="0" w:space="0" w:color="auto"/>
        <w:bottom w:val="none" w:sz="0" w:space="0" w:color="auto"/>
        <w:right w:val="none" w:sz="0" w:space="0" w:color="auto"/>
      </w:divBdr>
    </w:div>
    <w:div w:id="1427533862">
      <w:bodyDiv w:val="1"/>
      <w:marLeft w:val="0"/>
      <w:marRight w:val="0"/>
      <w:marTop w:val="0"/>
      <w:marBottom w:val="0"/>
      <w:divBdr>
        <w:top w:val="none" w:sz="0" w:space="0" w:color="auto"/>
        <w:left w:val="none" w:sz="0" w:space="0" w:color="auto"/>
        <w:bottom w:val="none" w:sz="0" w:space="0" w:color="auto"/>
        <w:right w:val="none" w:sz="0" w:space="0" w:color="auto"/>
      </w:divBdr>
    </w:div>
    <w:div w:id="1427849824">
      <w:bodyDiv w:val="1"/>
      <w:marLeft w:val="0"/>
      <w:marRight w:val="0"/>
      <w:marTop w:val="0"/>
      <w:marBottom w:val="0"/>
      <w:divBdr>
        <w:top w:val="none" w:sz="0" w:space="0" w:color="auto"/>
        <w:left w:val="none" w:sz="0" w:space="0" w:color="auto"/>
        <w:bottom w:val="none" w:sz="0" w:space="0" w:color="auto"/>
        <w:right w:val="none" w:sz="0" w:space="0" w:color="auto"/>
      </w:divBdr>
    </w:div>
    <w:div w:id="1431005895">
      <w:bodyDiv w:val="1"/>
      <w:marLeft w:val="0"/>
      <w:marRight w:val="0"/>
      <w:marTop w:val="0"/>
      <w:marBottom w:val="0"/>
      <w:divBdr>
        <w:top w:val="none" w:sz="0" w:space="0" w:color="auto"/>
        <w:left w:val="none" w:sz="0" w:space="0" w:color="auto"/>
        <w:bottom w:val="none" w:sz="0" w:space="0" w:color="auto"/>
        <w:right w:val="none" w:sz="0" w:space="0" w:color="auto"/>
      </w:divBdr>
    </w:div>
    <w:div w:id="1435857247">
      <w:bodyDiv w:val="1"/>
      <w:marLeft w:val="0"/>
      <w:marRight w:val="0"/>
      <w:marTop w:val="0"/>
      <w:marBottom w:val="0"/>
      <w:divBdr>
        <w:top w:val="none" w:sz="0" w:space="0" w:color="auto"/>
        <w:left w:val="none" w:sz="0" w:space="0" w:color="auto"/>
        <w:bottom w:val="none" w:sz="0" w:space="0" w:color="auto"/>
        <w:right w:val="none" w:sz="0" w:space="0" w:color="auto"/>
      </w:divBdr>
    </w:div>
    <w:div w:id="1442382280">
      <w:bodyDiv w:val="1"/>
      <w:marLeft w:val="0"/>
      <w:marRight w:val="0"/>
      <w:marTop w:val="0"/>
      <w:marBottom w:val="0"/>
      <w:divBdr>
        <w:top w:val="none" w:sz="0" w:space="0" w:color="auto"/>
        <w:left w:val="none" w:sz="0" w:space="0" w:color="auto"/>
        <w:bottom w:val="none" w:sz="0" w:space="0" w:color="auto"/>
        <w:right w:val="none" w:sz="0" w:space="0" w:color="auto"/>
      </w:divBdr>
    </w:div>
    <w:div w:id="1442870425">
      <w:bodyDiv w:val="1"/>
      <w:marLeft w:val="0"/>
      <w:marRight w:val="0"/>
      <w:marTop w:val="0"/>
      <w:marBottom w:val="0"/>
      <w:divBdr>
        <w:top w:val="none" w:sz="0" w:space="0" w:color="auto"/>
        <w:left w:val="none" w:sz="0" w:space="0" w:color="auto"/>
        <w:bottom w:val="none" w:sz="0" w:space="0" w:color="auto"/>
        <w:right w:val="none" w:sz="0" w:space="0" w:color="auto"/>
      </w:divBdr>
    </w:div>
    <w:div w:id="1451438605">
      <w:bodyDiv w:val="1"/>
      <w:marLeft w:val="0"/>
      <w:marRight w:val="0"/>
      <w:marTop w:val="0"/>
      <w:marBottom w:val="0"/>
      <w:divBdr>
        <w:top w:val="none" w:sz="0" w:space="0" w:color="auto"/>
        <w:left w:val="none" w:sz="0" w:space="0" w:color="auto"/>
        <w:bottom w:val="none" w:sz="0" w:space="0" w:color="auto"/>
        <w:right w:val="none" w:sz="0" w:space="0" w:color="auto"/>
      </w:divBdr>
    </w:div>
    <w:div w:id="1452162282">
      <w:bodyDiv w:val="1"/>
      <w:marLeft w:val="0"/>
      <w:marRight w:val="0"/>
      <w:marTop w:val="0"/>
      <w:marBottom w:val="0"/>
      <w:divBdr>
        <w:top w:val="none" w:sz="0" w:space="0" w:color="auto"/>
        <w:left w:val="none" w:sz="0" w:space="0" w:color="auto"/>
        <w:bottom w:val="none" w:sz="0" w:space="0" w:color="auto"/>
        <w:right w:val="none" w:sz="0" w:space="0" w:color="auto"/>
      </w:divBdr>
    </w:div>
    <w:div w:id="1453130871">
      <w:bodyDiv w:val="1"/>
      <w:marLeft w:val="0"/>
      <w:marRight w:val="0"/>
      <w:marTop w:val="0"/>
      <w:marBottom w:val="0"/>
      <w:divBdr>
        <w:top w:val="none" w:sz="0" w:space="0" w:color="auto"/>
        <w:left w:val="none" w:sz="0" w:space="0" w:color="auto"/>
        <w:bottom w:val="none" w:sz="0" w:space="0" w:color="auto"/>
        <w:right w:val="none" w:sz="0" w:space="0" w:color="auto"/>
      </w:divBdr>
    </w:div>
    <w:div w:id="1453861549">
      <w:bodyDiv w:val="1"/>
      <w:marLeft w:val="0"/>
      <w:marRight w:val="0"/>
      <w:marTop w:val="0"/>
      <w:marBottom w:val="0"/>
      <w:divBdr>
        <w:top w:val="none" w:sz="0" w:space="0" w:color="auto"/>
        <w:left w:val="none" w:sz="0" w:space="0" w:color="auto"/>
        <w:bottom w:val="none" w:sz="0" w:space="0" w:color="auto"/>
        <w:right w:val="none" w:sz="0" w:space="0" w:color="auto"/>
      </w:divBdr>
    </w:div>
    <w:div w:id="1465192668">
      <w:bodyDiv w:val="1"/>
      <w:marLeft w:val="0"/>
      <w:marRight w:val="0"/>
      <w:marTop w:val="0"/>
      <w:marBottom w:val="0"/>
      <w:divBdr>
        <w:top w:val="none" w:sz="0" w:space="0" w:color="auto"/>
        <w:left w:val="none" w:sz="0" w:space="0" w:color="auto"/>
        <w:bottom w:val="none" w:sz="0" w:space="0" w:color="auto"/>
        <w:right w:val="none" w:sz="0" w:space="0" w:color="auto"/>
      </w:divBdr>
    </w:div>
    <w:div w:id="1467547673">
      <w:bodyDiv w:val="1"/>
      <w:marLeft w:val="0"/>
      <w:marRight w:val="0"/>
      <w:marTop w:val="0"/>
      <w:marBottom w:val="0"/>
      <w:divBdr>
        <w:top w:val="none" w:sz="0" w:space="0" w:color="auto"/>
        <w:left w:val="none" w:sz="0" w:space="0" w:color="auto"/>
        <w:bottom w:val="none" w:sz="0" w:space="0" w:color="auto"/>
        <w:right w:val="none" w:sz="0" w:space="0" w:color="auto"/>
      </w:divBdr>
    </w:div>
    <w:div w:id="1470051616">
      <w:bodyDiv w:val="1"/>
      <w:marLeft w:val="0"/>
      <w:marRight w:val="0"/>
      <w:marTop w:val="0"/>
      <w:marBottom w:val="0"/>
      <w:divBdr>
        <w:top w:val="none" w:sz="0" w:space="0" w:color="auto"/>
        <w:left w:val="none" w:sz="0" w:space="0" w:color="auto"/>
        <w:bottom w:val="none" w:sz="0" w:space="0" w:color="auto"/>
        <w:right w:val="none" w:sz="0" w:space="0" w:color="auto"/>
      </w:divBdr>
    </w:div>
    <w:div w:id="1477526121">
      <w:bodyDiv w:val="1"/>
      <w:marLeft w:val="0"/>
      <w:marRight w:val="0"/>
      <w:marTop w:val="0"/>
      <w:marBottom w:val="0"/>
      <w:divBdr>
        <w:top w:val="none" w:sz="0" w:space="0" w:color="auto"/>
        <w:left w:val="none" w:sz="0" w:space="0" w:color="auto"/>
        <w:bottom w:val="none" w:sz="0" w:space="0" w:color="auto"/>
        <w:right w:val="none" w:sz="0" w:space="0" w:color="auto"/>
      </w:divBdr>
    </w:div>
    <w:div w:id="1480686177">
      <w:bodyDiv w:val="1"/>
      <w:marLeft w:val="0"/>
      <w:marRight w:val="0"/>
      <w:marTop w:val="0"/>
      <w:marBottom w:val="0"/>
      <w:divBdr>
        <w:top w:val="none" w:sz="0" w:space="0" w:color="auto"/>
        <w:left w:val="none" w:sz="0" w:space="0" w:color="auto"/>
        <w:bottom w:val="none" w:sz="0" w:space="0" w:color="auto"/>
        <w:right w:val="none" w:sz="0" w:space="0" w:color="auto"/>
      </w:divBdr>
    </w:div>
    <w:div w:id="1483736445">
      <w:bodyDiv w:val="1"/>
      <w:marLeft w:val="0"/>
      <w:marRight w:val="0"/>
      <w:marTop w:val="0"/>
      <w:marBottom w:val="0"/>
      <w:divBdr>
        <w:top w:val="none" w:sz="0" w:space="0" w:color="auto"/>
        <w:left w:val="none" w:sz="0" w:space="0" w:color="auto"/>
        <w:bottom w:val="none" w:sz="0" w:space="0" w:color="auto"/>
        <w:right w:val="none" w:sz="0" w:space="0" w:color="auto"/>
      </w:divBdr>
    </w:div>
    <w:div w:id="1483892754">
      <w:bodyDiv w:val="1"/>
      <w:marLeft w:val="0"/>
      <w:marRight w:val="0"/>
      <w:marTop w:val="0"/>
      <w:marBottom w:val="0"/>
      <w:divBdr>
        <w:top w:val="none" w:sz="0" w:space="0" w:color="auto"/>
        <w:left w:val="none" w:sz="0" w:space="0" w:color="auto"/>
        <w:bottom w:val="none" w:sz="0" w:space="0" w:color="auto"/>
        <w:right w:val="none" w:sz="0" w:space="0" w:color="auto"/>
      </w:divBdr>
    </w:div>
    <w:div w:id="1488858581">
      <w:bodyDiv w:val="1"/>
      <w:marLeft w:val="0"/>
      <w:marRight w:val="0"/>
      <w:marTop w:val="0"/>
      <w:marBottom w:val="0"/>
      <w:divBdr>
        <w:top w:val="none" w:sz="0" w:space="0" w:color="auto"/>
        <w:left w:val="none" w:sz="0" w:space="0" w:color="auto"/>
        <w:bottom w:val="none" w:sz="0" w:space="0" w:color="auto"/>
        <w:right w:val="none" w:sz="0" w:space="0" w:color="auto"/>
      </w:divBdr>
    </w:div>
    <w:div w:id="1501849113">
      <w:bodyDiv w:val="1"/>
      <w:marLeft w:val="0"/>
      <w:marRight w:val="0"/>
      <w:marTop w:val="0"/>
      <w:marBottom w:val="0"/>
      <w:divBdr>
        <w:top w:val="none" w:sz="0" w:space="0" w:color="auto"/>
        <w:left w:val="none" w:sz="0" w:space="0" w:color="auto"/>
        <w:bottom w:val="none" w:sz="0" w:space="0" w:color="auto"/>
        <w:right w:val="none" w:sz="0" w:space="0" w:color="auto"/>
      </w:divBdr>
    </w:div>
    <w:div w:id="1504857780">
      <w:bodyDiv w:val="1"/>
      <w:marLeft w:val="0"/>
      <w:marRight w:val="0"/>
      <w:marTop w:val="0"/>
      <w:marBottom w:val="0"/>
      <w:divBdr>
        <w:top w:val="none" w:sz="0" w:space="0" w:color="auto"/>
        <w:left w:val="none" w:sz="0" w:space="0" w:color="auto"/>
        <w:bottom w:val="none" w:sz="0" w:space="0" w:color="auto"/>
        <w:right w:val="none" w:sz="0" w:space="0" w:color="auto"/>
      </w:divBdr>
    </w:div>
    <w:div w:id="1511214340">
      <w:bodyDiv w:val="1"/>
      <w:marLeft w:val="0"/>
      <w:marRight w:val="0"/>
      <w:marTop w:val="0"/>
      <w:marBottom w:val="0"/>
      <w:divBdr>
        <w:top w:val="none" w:sz="0" w:space="0" w:color="auto"/>
        <w:left w:val="none" w:sz="0" w:space="0" w:color="auto"/>
        <w:bottom w:val="none" w:sz="0" w:space="0" w:color="auto"/>
        <w:right w:val="none" w:sz="0" w:space="0" w:color="auto"/>
      </w:divBdr>
    </w:div>
    <w:div w:id="1512184756">
      <w:bodyDiv w:val="1"/>
      <w:marLeft w:val="0"/>
      <w:marRight w:val="0"/>
      <w:marTop w:val="0"/>
      <w:marBottom w:val="0"/>
      <w:divBdr>
        <w:top w:val="none" w:sz="0" w:space="0" w:color="auto"/>
        <w:left w:val="none" w:sz="0" w:space="0" w:color="auto"/>
        <w:bottom w:val="none" w:sz="0" w:space="0" w:color="auto"/>
        <w:right w:val="none" w:sz="0" w:space="0" w:color="auto"/>
      </w:divBdr>
    </w:div>
    <w:div w:id="1512336572">
      <w:bodyDiv w:val="1"/>
      <w:marLeft w:val="0"/>
      <w:marRight w:val="0"/>
      <w:marTop w:val="0"/>
      <w:marBottom w:val="0"/>
      <w:divBdr>
        <w:top w:val="none" w:sz="0" w:space="0" w:color="auto"/>
        <w:left w:val="none" w:sz="0" w:space="0" w:color="auto"/>
        <w:bottom w:val="none" w:sz="0" w:space="0" w:color="auto"/>
        <w:right w:val="none" w:sz="0" w:space="0" w:color="auto"/>
      </w:divBdr>
    </w:div>
    <w:div w:id="1518932582">
      <w:bodyDiv w:val="1"/>
      <w:marLeft w:val="0"/>
      <w:marRight w:val="0"/>
      <w:marTop w:val="0"/>
      <w:marBottom w:val="0"/>
      <w:divBdr>
        <w:top w:val="none" w:sz="0" w:space="0" w:color="auto"/>
        <w:left w:val="none" w:sz="0" w:space="0" w:color="auto"/>
        <w:bottom w:val="none" w:sz="0" w:space="0" w:color="auto"/>
        <w:right w:val="none" w:sz="0" w:space="0" w:color="auto"/>
      </w:divBdr>
    </w:div>
    <w:div w:id="1522354584">
      <w:bodyDiv w:val="1"/>
      <w:marLeft w:val="0"/>
      <w:marRight w:val="0"/>
      <w:marTop w:val="0"/>
      <w:marBottom w:val="0"/>
      <w:divBdr>
        <w:top w:val="none" w:sz="0" w:space="0" w:color="auto"/>
        <w:left w:val="none" w:sz="0" w:space="0" w:color="auto"/>
        <w:bottom w:val="none" w:sz="0" w:space="0" w:color="auto"/>
        <w:right w:val="none" w:sz="0" w:space="0" w:color="auto"/>
      </w:divBdr>
    </w:div>
    <w:div w:id="1523278149">
      <w:bodyDiv w:val="1"/>
      <w:marLeft w:val="0"/>
      <w:marRight w:val="0"/>
      <w:marTop w:val="0"/>
      <w:marBottom w:val="0"/>
      <w:divBdr>
        <w:top w:val="none" w:sz="0" w:space="0" w:color="auto"/>
        <w:left w:val="none" w:sz="0" w:space="0" w:color="auto"/>
        <w:bottom w:val="none" w:sz="0" w:space="0" w:color="auto"/>
        <w:right w:val="none" w:sz="0" w:space="0" w:color="auto"/>
      </w:divBdr>
    </w:div>
    <w:div w:id="1528447971">
      <w:bodyDiv w:val="1"/>
      <w:marLeft w:val="0"/>
      <w:marRight w:val="0"/>
      <w:marTop w:val="0"/>
      <w:marBottom w:val="0"/>
      <w:divBdr>
        <w:top w:val="none" w:sz="0" w:space="0" w:color="auto"/>
        <w:left w:val="none" w:sz="0" w:space="0" w:color="auto"/>
        <w:bottom w:val="none" w:sz="0" w:space="0" w:color="auto"/>
        <w:right w:val="none" w:sz="0" w:space="0" w:color="auto"/>
      </w:divBdr>
    </w:div>
    <w:div w:id="1528913149">
      <w:bodyDiv w:val="1"/>
      <w:marLeft w:val="0"/>
      <w:marRight w:val="0"/>
      <w:marTop w:val="0"/>
      <w:marBottom w:val="0"/>
      <w:divBdr>
        <w:top w:val="none" w:sz="0" w:space="0" w:color="auto"/>
        <w:left w:val="none" w:sz="0" w:space="0" w:color="auto"/>
        <w:bottom w:val="none" w:sz="0" w:space="0" w:color="auto"/>
        <w:right w:val="none" w:sz="0" w:space="0" w:color="auto"/>
      </w:divBdr>
    </w:div>
    <w:div w:id="1533030696">
      <w:bodyDiv w:val="1"/>
      <w:marLeft w:val="0"/>
      <w:marRight w:val="0"/>
      <w:marTop w:val="0"/>
      <w:marBottom w:val="0"/>
      <w:divBdr>
        <w:top w:val="none" w:sz="0" w:space="0" w:color="auto"/>
        <w:left w:val="none" w:sz="0" w:space="0" w:color="auto"/>
        <w:bottom w:val="none" w:sz="0" w:space="0" w:color="auto"/>
        <w:right w:val="none" w:sz="0" w:space="0" w:color="auto"/>
      </w:divBdr>
    </w:div>
    <w:div w:id="1535339052">
      <w:bodyDiv w:val="1"/>
      <w:marLeft w:val="0"/>
      <w:marRight w:val="0"/>
      <w:marTop w:val="0"/>
      <w:marBottom w:val="0"/>
      <w:divBdr>
        <w:top w:val="none" w:sz="0" w:space="0" w:color="auto"/>
        <w:left w:val="none" w:sz="0" w:space="0" w:color="auto"/>
        <w:bottom w:val="none" w:sz="0" w:space="0" w:color="auto"/>
        <w:right w:val="none" w:sz="0" w:space="0" w:color="auto"/>
      </w:divBdr>
    </w:div>
    <w:div w:id="1535536675">
      <w:bodyDiv w:val="1"/>
      <w:marLeft w:val="0"/>
      <w:marRight w:val="0"/>
      <w:marTop w:val="0"/>
      <w:marBottom w:val="0"/>
      <w:divBdr>
        <w:top w:val="none" w:sz="0" w:space="0" w:color="auto"/>
        <w:left w:val="none" w:sz="0" w:space="0" w:color="auto"/>
        <w:bottom w:val="none" w:sz="0" w:space="0" w:color="auto"/>
        <w:right w:val="none" w:sz="0" w:space="0" w:color="auto"/>
      </w:divBdr>
    </w:div>
    <w:div w:id="1536115915">
      <w:bodyDiv w:val="1"/>
      <w:marLeft w:val="0"/>
      <w:marRight w:val="0"/>
      <w:marTop w:val="0"/>
      <w:marBottom w:val="0"/>
      <w:divBdr>
        <w:top w:val="none" w:sz="0" w:space="0" w:color="auto"/>
        <w:left w:val="none" w:sz="0" w:space="0" w:color="auto"/>
        <w:bottom w:val="none" w:sz="0" w:space="0" w:color="auto"/>
        <w:right w:val="none" w:sz="0" w:space="0" w:color="auto"/>
      </w:divBdr>
    </w:div>
    <w:div w:id="1540584010">
      <w:bodyDiv w:val="1"/>
      <w:marLeft w:val="0"/>
      <w:marRight w:val="0"/>
      <w:marTop w:val="0"/>
      <w:marBottom w:val="0"/>
      <w:divBdr>
        <w:top w:val="none" w:sz="0" w:space="0" w:color="auto"/>
        <w:left w:val="none" w:sz="0" w:space="0" w:color="auto"/>
        <w:bottom w:val="none" w:sz="0" w:space="0" w:color="auto"/>
        <w:right w:val="none" w:sz="0" w:space="0" w:color="auto"/>
      </w:divBdr>
    </w:div>
    <w:div w:id="1546405903">
      <w:bodyDiv w:val="1"/>
      <w:marLeft w:val="0"/>
      <w:marRight w:val="0"/>
      <w:marTop w:val="0"/>
      <w:marBottom w:val="0"/>
      <w:divBdr>
        <w:top w:val="none" w:sz="0" w:space="0" w:color="auto"/>
        <w:left w:val="none" w:sz="0" w:space="0" w:color="auto"/>
        <w:bottom w:val="none" w:sz="0" w:space="0" w:color="auto"/>
        <w:right w:val="none" w:sz="0" w:space="0" w:color="auto"/>
      </w:divBdr>
    </w:div>
    <w:div w:id="1565069130">
      <w:bodyDiv w:val="1"/>
      <w:marLeft w:val="0"/>
      <w:marRight w:val="0"/>
      <w:marTop w:val="0"/>
      <w:marBottom w:val="0"/>
      <w:divBdr>
        <w:top w:val="none" w:sz="0" w:space="0" w:color="auto"/>
        <w:left w:val="none" w:sz="0" w:space="0" w:color="auto"/>
        <w:bottom w:val="none" w:sz="0" w:space="0" w:color="auto"/>
        <w:right w:val="none" w:sz="0" w:space="0" w:color="auto"/>
      </w:divBdr>
    </w:div>
    <w:div w:id="1581402571">
      <w:bodyDiv w:val="1"/>
      <w:marLeft w:val="0"/>
      <w:marRight w:val="0"/>
      <w:marTop w:val="0"/>
      <w:marBottom w:val="0"/>
      <w:divBdr>
        <w:top w:val="none" w:sz="0" w:space="0" w:color="auto"/>
        <w:left w:val="none" w:sz="0" w:space="0" w:color="auto"/>
        <w:bottom w:val="none" w:sz="0" w:space="0" w:color="auto"/>
        <w:right w:val="none" w:sz="0" w:space="0" w:color="auto"/>
      </w:divBdr>
    </w:div>
    <w:div w:id="1582059922">
      <w:bodyDiv w:val="1"/>
      <w:marLeft w:val="0"/>
      <w:marRight w:val="0"/>
      <w:marTop w:val="0"/>
      <w:marBottom w:val="0"/>
      <w:divBdr>
        <w:top w:val="none" w:sz="0" w:space="0" w:color="auto"/>
        <w:left w:val="none" w:sz="0" w:space="0" w:color="auto"/>
        <w:bottom w:val="none" w:sz="0" w:space="0" w:color="auto"/>
        <w:right w:val="none" w:sz="0" w:space="0" w:color="auto"/>
      </w:divBdr>
    </w:div>
    <w:div w:id="1583948335">
      <w:bodyDiv w:val="1"/>
      <w:marLeft w:val="0"/>
      <w:marRight w:val="0"/>
      <w:marTop w:val="0"/>
      <w:marBottom w:val="0"/>
      <w:divBdr>
        <w:top w:val="none" w:sz="0" w:space="0" w:color="auto"/>
        <w:left w:val="none" w:sz="0" w:space="0" w:color="auto"/>
        <w:bottom w:val="none" w:sz="0" w:space="0" w:color="auto"/>
        <w:right w:val="none" w:sz="0" w:space="0" w:color="auto"/>
      </w:divBdr>
    </w:div>
    <w:div w:id="1590192026">
      <w:bodyDiv w:val="1"/>
      <w:marLeft w:val="0"/>
      <w:marRight w:val="0"/>
      <w:marTop w:val="0"/>
      <w:marBottom w:val="0"/>
      <w:divBdr>
        <w:top w:val="none" w:sz="0" w:space="0" w:color="auto"/>
        <w:left w:val="none" w:sz="0" w:space="0" w:color="auto"/>
        <w:bottom w:val="none" w:sz="0" w:space="0" w:color="auto"/>
        <w:right w:val="none" w:sz="0" w:space="0" w:color="auto"/>
      </w:divBdr>
    </w:div>
    <w:div w:id="1595355149">
      <w:bodyDiv w:val="1"/>
      <w:marLeft w:val="0"/>
      <w:marRight w:val="0"/>
      <w:marTop w:val="0"/>
      <w:marBottom w:val="0"/>
      <w:divBdr>
        <w:top w:val="none" w:sz="0" w:space="0" w:color="auto"/>
        <w:left w:val="none" w:sz="0" w:space="0" w:color="auto"/>
        <w:bottom w:val="none" w:sz="0" w:space="0" w:color="auto"/>
        <w:right w:val="none" w:sz="0" w:space="0" w:color="auto"/>
      </w:divBdr>
    </w:div>
    <w:div w:id="1607345482">
      <w:bodyDiv w:val="1"/>
      <w:marLeft w:val="0"/>
      <w:marRight w:val="0"/>
      <w:marTop w:val="0"/>
      <w:marBottom w:val="0"/>
      <w:divBdr>
        <w:top w:val="none" w:sz="0" w:space="0" w:color="auto"/>
        <w:left w:val="none" w:sz="0" w:space="0" w:color="auto"/>
        <w:bottom w:val="none" w:sz="0" w:space="0" w:color="auto"/>
        <w:right w:val="none" w:sz="0" w:space="0" w:color="auto"/>
      </w:divBdr>
    </w:div>
    <w:div w:id="1609044552">
      <w:bodyDiv w:val="1"/>
      <w:marLeft w:val="0"/>
      <w:marRight w:val="0"/>
      <w:marTop w:val="0"/>
      <w:marBottom w:val="0"/>
      <w:divBdr>
        <w:top w:val="none" w:sz="0" w:space="0" w:color="auto"/>
        <w:left w:val="none" w:sz="0" w:space="0" w:color="auto"/>
        <w:bottom w:val="none" w:sz="0" w:space="0" w:color="auto"/>
        <w:right w:val="none" w:sz="0" w:space="0" w:color="auto"/>
      </w:divBdr>
    </w:div>
    <w:div w:id="1612319590">
      <w:bodyDiv w:val="1"/>
      <w:marLeft w:val="0"/>
      <w:marRight w:val="0"/>
      <w:marTop w:val="0"/>
      <w:marBottom w:val="0"/>
      <w:divBdr>
        <w:top w:val="none" w:sz="0" w:space="0" w:color="auto"/>
        <w:left w:val="none" w:sz="0" w:space="0" w:color="auto"/>
        <w:bottom w:val="none" w:sz="0" w:space="0" w:color="auto"/>
        <w:right w:val="none" w:sz="0" w:space="0" w:color="auto"/>
      </w:divBdr>
    </w:div>
    <w:div w:id="1613198975">
      <w:bodyDiv w:val="1"/>
      <w:marLeft w:val="0"/>
      <w:marRight w:val="0"/>
      <w:marTop w:val="0"/>
      <w:marBottom w:val="0"/>
      <w:divBdr>
        <w:top w:val="none" w:sz="0" w:space="0" w:color="auto"/>
        <w:left w:val="none" w:sz="0" w:space="0" w:color="auto"/>
        <w:bottom w:val="none" w:sz="0" w:space="0" w:color="auto"/>
        <w:right w:val="none" w:sz="0" w:space="0" w:color="auto"/>
      </w:divBdr>
    </w:div>
    <w:div w:id="1614246503">
      <w:bodyDiv w:val="1"/>
      <w:marLeft w:val="0"/>
      <w:marRight w:val="0"/>
      <w:marTop w:val="0"/>
      <w:marBottom w:val="0"/>
      <w:divBdr>
        <w:top w:val="none" w:sz="0" w:space="0" w:color="auto"/>
        <w:left w:val="none" w:sz="0" w:space="0" w:color="auto"/>
        <w:bottom w:val="none" w:sz="0" w:space="0" w:color="auto"/>
        <w:right w:val="none" w:sz="0" w:space="0" w:color="auto"/>
      </w:divBdr>
    </w:div>
    <w:div w:id="1618948785">
      <w:bodyDiv w:val="1"/>
      <w:marLeft w:val="0"/>
      <w:marRight w:val="0"/>
      <w:marTop w:val="0"/>
      <w:marBottom w:val="0"/>
      <w:divBdr>
        <w:top w:val="none" w:sz="0" w:space="0" w:color="auto"/>
        <w:left w:val="none" w:sz="0" w:space="0" w:color="auto"/>
        <w:bottom w:val="none" w:sz="0" w:space="0" w:color="auto"/>
        <w:right w:val="none" w:sz="0" w:space="0" w:color="auto"/>
      </w:divBdr>
    </w:div>
    <w:div w:id="1620530696">
      <w:bodyDiv w:val="1"/>
      <w:marLeft w:val="0"/>
      <w:marRight w:val="0"/>
      <w:marTop w:val="0"/>
      <w:marBottom w:val="0"/>
      <w:divBdr>
        <w:top w:val="none" w:sz="0" w:space="0" w:color="auto"/>
        <w:left w:val="none" w:sz="0" w:space="0" w:color="auto"/>
        <w:bottom w:val="none" w:sz="0" w:space="0" w:color="auto"/>
        <w:right w:val="none" w:sz="0" w:space="0" w:color="auto"/>
      </w:divBdr>
    </w:div>
    <w:div w:id="1625579057">
      <w:bodyDiv w:val="1"/>
      <w:marLeft w:val="0"/>
      <w:marRight w:val="0"/>
      <w:marTop w:val="0"/>
      <w:marBottom w:val="0"/>
      <w:divBdr>
        <w:top w:val="none" w:sz="0" w:space="0" w:color="auto"/>
        <w:left w:val="none" w:sz="0" w:space="0" w:color="auto"/>
        <w:bottom w:val="none" w:sz="0" w:space="0" w:color="auto"/>
        <w:right w:val="none" w:sz="0" w:space="0" w:color="auto"/>
      </w:divBdr>
    </w:div>
    <w:div w:id="1632979009">
      <w:bodyDiv w:val="1"/>
      <w:marLeft w:val="0"/>
      <w:marRight w:val="0"/>
      <w:marTop w:val="0"/>
      <w:marBottom w:val="0"/>
      <w:divBdr>
        <w:top w:val="none" w:sz="0" w:space="0" w:color="auto"/>
        <w:left w:val="none" w:sz="0" w:space="0" w:color="auto"/>
        <w:bottom w:val="none" w:sz="0" w:space="0" w:color="auto"/>
        <w:right w:val="none" w:sz="0" w:space="0" w:color="auto"/>
      </w:divBdr>
    </w:div>
    <w:div w:id="1639451191">
      <w:bodyDiv w:val="1"/>
      <w:marLeft w:val="0"/>
      <w:marRight w:val="0"/>
      <w:marTop w:val="0"/>
      <w:marBottom w:val="0"/>
      <w:divBdr>
        <w:top w:val="none" w:sz="0" w:space="0" w:color="auto"/>
        <w:left w:val="none" w:sz="0" w:space="0" w:color="auto"/>
        <w:bottom w:val="none" w:sz="0" w:space="0" w:color="auto"/>
        <w:right w:val="none" w:sz="0" w:space="0" w:color="auto"/>
      </w:divBdr>
    </w:div>
    <w:div w:id="1640450561">
      <w:bodyDiv w:val="1"/>
      <w:marLeft w:val="0"/>
      <w:marRight w:val="0"/>
      <w:marTop w:val="0"/>
      <w:marBottom w:val="0"/>
      <w:divBdr>
        <w:top w:val="none" w:sz="0" w:space="0" w:color="auto"/>
        <w:left w:val="none" w:sz="0" w:space="0" w:color="auto"/>
        <w:bottom w:val="none" w:sz="0" w:space="0" w:color="auto"/>
        <w:right w:val="none" w:sz="0" w:space="0" w:color="auto"/>
      </w:divBdr>
    </w:div>
    <w:div w:id="1645306222">
      <w:bodyDiv w:val="1"/>
      <w:marLeft w:val="0"/>
      <w:marRight w:val="0"/>
      <w:marTop w:val="0"/>
      <w:marBottom w:val="0"/>
      <w:divBdr>
        <w:top w:val="none" w:sz="0" w:space="0" w:color="auto"/>
        <w:left w:val="none" w:sz="0" w:space="0" w:color="auto"/>
        <w:bottom w:val="none" w:sz="0" w:space="0" w:color="auto"/>
        <w:right w:val="none" w:sz="0" w:space="0" w:color="auto"/>
      </w:divBdr>
    </w:div>
    <w:div w:id="1650941597">
      <w:bodyDiv w:val="1"/>
      <w:marLeft w:val="0"/>
      <w:marRight w:val="0"/>
      <w:marTop w:val="0"/>
      <w:marBottom w:val="0"/>
      <w:divBdr>
        <w:top w:val="none" w:sz="0" w:space="0" w:color="auto"/>
        <w:left w:val="none" w:sz="0" w:space="0" w:color="auto"/>
        <w:bottom w:val="none" w:sz="0" w:space="0" w:color="auto"/>
        <w:right w:val="none" w:sz="0" w:space="0" w:color="auto"/>
      </w:divBdr>
    </w:div>
    <w:div w:id="1655256910">
      <w:bodyDiv w:val="1"/>
      <w:marLeft w:val="0"/>
      <w:marRight w:val="0"/>
      <w:marTop w:val="0"/>
      <w:marBottom w:val="0"/>
      <w:divBdr>
        <w:top w:val="none" w:sz="0" w:space="0" w:color="auto"/>
        <w:left w:val="none" w:sz="0" w:space="0" w:color="auto"/>
        <w:bottom w:val="none" w:sz="0" w:space="0" w:color="auto"/>
        <w:right w:val="none" w:sz="0" w:space="0" w:color="auto"/>
      </w:divBdr>
    </w:div>
    <w:div w:id="1655714647">
      <w:bodyDiv w:val="1"/>
      <w:marLeft w:val="0"/>
      <w:marRight w:val="0"/>
      <w:marTop w:val="0"/>
      <w:marBottom w:val="0"/>
      <w:divBdr>
        <w:top w:val="none" w:sz="0" w:space="0" w:color="auto"/>
        <w:left w:val="none" w:sz="0" w:space="0" w:color="auto"/>
        <w:bottom w:val="none" w:sz="0" w:space="0" w:color="auto"/>
        <w:right w:val="none" w:sz="0" w:space="0" w:color="auto"/>
      </w:divBdr>
    </w:div>
    <w:div w:id="1667704601">
      <w:bodyDiv w:val="1"/>
      <w:marLeft w:val="0"/>
      <w:marRight w:val="0"/>
      <w:marTop w:val="0"/>
      <w:marBottom w:val="0"/>
      <w:divBdr>
        <w:top w:val="none" w:sz="0" w:space="0" w:color="auto"/>
        <w:left w:val="none" w:sz="0" w:space="0" w:color="auto"/>
        <w:bottom w:val="none" w:sz="0" w:space="0" w:color="auto"/>
        <w:right w:val="none" w:sz="0" w:space="0" w:color="auto"/>
      </w:divBdr>
    </w:div>
    <w:div w:id="1669988618">
      <w:bodyDiv w:val="1"/>
      <w:marLeft w:val="0"/>
      <w:marRight w:val="0"/>
      <w:marTop w:val="0"/>
      <w:marBottom w:val="0"/>
      <w:divBdr>
        <w:top w:val="none" w:sz="0" w:space="0" w:color="auto"/>
        <w:left w:val="none" w:sz="0" w:space="0" w:color="auto"/>
        <w:bottom w:val="none" w:sz="0" w:space="0" w:color="auto"/>
        <w:right w:val="none" w:sz="0" w:space="0" w:color="auto"/>
      </w:divBdr>
    </w:div>
    <w:div w:id="1679385314">
      <w:bodyDiv w:val="1"/>
      <w:marLeft w:val="0"/>
      <w:marRight w:val="0"/>
      <w:marTop w:val="0"/>
      <w:marBottom w:val="0"/>
      <w:divBdr>
        <w:top w:val="none" w:sz="0" w:space="0" w:color="auto"/>
        <w:left w:val="none" w:sz="0" w:space="0" w:color="auto"/>
        <w:bottom w:val="none" w:sz="0" w:space="0" w:color="auto"/>
        <w:right w:val="none" w:sz="0" w:space="0" w:color="auto"/>
      </w:divBdr>
    </w:div>
    <w:div w:id="1681002651">
      <w:bodyDiv w:val="1"/>
      <w:marLeft w:val="0"/>
      <w:marRight w:val="0"/>
      <w:marTop w:val="0"/>
      <w:marBottom w:val="0"/>
      <w:divBdr>
        <w:top w:val="none" w:sz="0" w:space="0" w:color="auto"/>
        <w:left w:val="none" w:sz="0" w:space="0" w:color="auto"/>
        <w:bottom w:val="none" w:sz="0" w:space="0" w:color="auto"/>
        <w:right w:val="none" w:sz="0" w:space="0" w:color="auto"/>
      </w:divBdr>
    </w:div>
    <w:div w:id="1681808881">
      <w:bodyDiv w:val="1"/>
      <w:marLeft w:val="0"/>
      <w:marRight w:val="0"/>
      <w:marTop w:val="0"/>
      <w:marBottom w:val="0"/>
      <w:divBdr>
        <w:top w:val="none" w:sz="0" w:space="0" w:color="auto"/>
        <w:left w:val="none" w:sz="0" w:space="0" w:color="auto"/>
        <w:bottom w:val="none" w:sz="0" w:space="0" w:color="auto"/>
        <w:right w:val="none" w:sz="0" w:space="0" w:color="auto"/>
      </w:divBdr>
    </w:div>
    <w:div w:id="1693919201">
      <w:bodyDiv w:val="1"/>
      <w:marLeft w:val="0"/>
      <w:marRight w:val="0"/>
      <w:marTop w:val="0"/>
      <w:marBottom w:val="0"/>
      <w:divBdr>
        <w:top w:val="none" w:sz="0" w:space="0" w:color="auto"/>
        <w:left w:val="none" w:sz="0" w:space="0" w:color="auto"/>
        <w:bottom w:val="none" w:sz="0" w:space="0" w:color="auto"/>
        <w:right w:val="none" w:sz="0" w:space="0" w:color="auto"/>
      </w:divBdr>
    </w:div>
    <w:div w:id="1696616222">
      <w:bodyDiv w:val="1"/>
      <w:marLeft w:val="0"/>
      <w:marRight w:val="0"/>
      <w:marTop w:val="0"/>
      <w:marBottom w:val="0"/>
      <w:divBdr>
        <w:top w:val="none" w:sz="0" w:space="0" w:color="auto"/>
        <w:left w:val="none" w:sz="0" w:space="0" w:color="auto"/>
        <w:bottom w:val="none" w:sz="0" w:space="0" w:color="auto"/>
        <w:right w:val="none" w:sz="0" w:space="0" w:color="auto"/>
      </w:divBdr>
    </w:div>
    <w:div w:id="1700812903">
      <w:bodyDiv w:val="1"/>
      <w:marLeft w:val="0"/>
      <w:marRight w:val="0"/>
      <w:marTop w:val="0"/>
      <w:marBottom w:val="0"/>
      <w:divBdr>
        <w:top w:val="none" w:sz="0" w:space="0" w:color="auto"/>
        <w:left w:val="none" w:sz="0" w:space="0" w:color="auto"/>
        <w:bottom w:val="none" w:sz="0" w:space="0" w:color="auto"/>
        <w:right w:val="none" w:sz="0" w:space="0" w:color="auto"/>
      </w:divBdr>
    </w:div>
    <w:div w:id="1704361803">
      <w:bodyDiv w:val="1"/>
      <w:marLeft w:val="0"/>
      <w:marRight w:val="0"/>
      <w:marTop w:val="0"/>
      <w:marBottom w:val="0"/>
      <w:divBdr>
        <w:top w:val="none" w:sz="0" w:space="0" w:color="auto"/>
        <w:left w:val="none" w:sz="0" w:space="0" w:color="auto"/>
        <w:bottom w:val="none" w:sz="0" w:space="0" w:color="auto"/>
        <w:right w:val="none" w:sz="0" w:space="0" w:color="auto"/>
      </w:divBdr>
    </w:div>
    <w:div w:id="1708874843">
      <w:bodyDiv w:val="1"/>
      <w:marLeft w:val="0"/>
      <w:marRight w:val="0"/>
      <w:marTop w:val="0"/>
      <w:marBottom w:val="0"/>
      <w:divBdr>
        <w:top w:val="none" w:sz="0" w:space="0" w:color="auto"/>
        <w:left w:val="none" w:sz="0" w:space="0" w:color="auto"/>
        <w:bottom w:val="none" w:sz="0" w:space="0" w:color="auto"/>
        <w:right w:val="none" w:sz="0" w:space="0" w:color="auto"/>
      </w:divBdr>
    </w:div>
    <w:div w:id="1710492555">
      <w:bodyDiv w:val="1"/>
      <w:marLeft w:val="0"/>
      <w:marRight w:val="0"/>
      <w:marTop w:val="0"/>
      <w:marBottom w:val="0"/>
      <w:divBdr>
        <w:top w:val="none" w:sz="0" w:space="0" w:color="auto"/>
        <w:left w:val="none" w:sz="0" w:space="0" w:color="auto"/>
        <w:bottom w:val="none" w:sz="0" w:space="0" w:color="auto"/>
        <w:right w:val="none" w:sz="0" w:space="0" w:color="auto"/>
      </w:divBdr>
    </w:div>
    <w:div w:id="1711146032">
      <w:bodyDiv w:val="1"/>
      <w:marLeft w:val="0"/>
      <w:marRight w:val="0"/>
      <w:marTop w:val="0"/>
      <w:marBottom w:val="0"/>
      <w:divBdr>
        <w:top w:val="none" w:sz="0" w:space="0" w:color="auto"/>
        <w:left w:val="none" w:sz="0" w:space="0" w:color="auto"/>
        <w:bottom w:val="none" w:sz="0" w:space="0" w:color="auto"/>
        <w:right w:val="none" w:sz="0" w:space="0" w:color="auto"/>
      </w:divBdr>
    </w:div>
    <w:div w:id="1720396281">
      <w:bodyDiv w:val="1"/>
      <w:marLeft w:val="0"/>
      <w:marRight w:val="0"/>
      <w:marTop w:val="0"/>
      <w:marBottom w:val="0"/>
      <w:divBdr>
        <w:top w:val="none" w:sz="0" w:space="0" w:color="auto"/>
        <w:left w:val="none" w:sz="0" w:space="0" w:color="auto"/>
        <w:bottom w:val="none" w:sz="0" w:space="0" w:color="auto"/>
        <w:right w:val="none" w:sz="0" w:space="0" w:color="auto"/>
      </w:divBdr>
    </w:div>
    <w:div w:id="1722289092">
      <w:bodyDiv w:val="1"/>
      <w:marLeft w:val="0"/>
      <w:marRight w:val="0"/>
      <w:marTop w:val="0"/>
      <w:marBottom w:val="0"/>
      <w:divBdr>
        <w:top w:val="none" w:sz="0" w:space="0" w:color="auto"/>
        <w:left w:val="none" w:sz="0" w:space="0" w:color="auto"/>
        <w:bottom w:val="none" w:sz="0" w:space="0" w:color="auto"/>
        <w:right w:val="none" w:sz="0" w:space="0" w:color="auto"/>
      </w:divBdr>
    </w:div>
    <w:div w:id="1723942640">
      <w:bodyDiv w:val="1"/>
      <w:marLeft w:val="0"/>
      <w:marRight w:val="0"/>
      <w:marTop w:val="0"/>
      <w:marBottom w:val="0"/>
      <w:divBdr>
        <w:top w:val="none" w:sz="0" w:space="0" w:color="auto"/>
        <w:left w:val="none" w:sz="0" w:space="0" w:color="auto"/>
        <w:bottom w:val="none" w:sz="0" w:space="0" w:color="auto"/>
        <w:right w:val="none" w:sz="0" w:space="0" w:color="auto"/>
      </w:divBdr>
    </w:div>
    <w:div w:id="1728146020">
      <w:bodyDiv w:val="1"/>
      <w:marLeft w:val="0"/>
      <w:marRight w:val="0"/>
      <w:marTop w:val="0"/>
      <w:marBottom w:val="0"/>
      <w:divBdr>
        <w:top w:val="none" w:sz="0" w:space="0" w:color="auto"/>
        <w:left w:val="none" w:sz="0" w:space="0" w:color="auto"/>
        <w:bottom w:val="none" w:sz="0" w:space="0" w:color="auto"/>
        <w:right w:val="none" w:sz="0" w:space="0" w:color="auto"/>
      </w:divBdr>
    </w:div>
    <w:div w:id="1729185233">
      <w:bodyDiv w:val="1"/>
      <w:marLeft w:val="0"/>
      <w:marRight w:val="0"/>
      <w:marTop w:val="0"/>
      <w:marBottom w:val="0"/>
      <w:divBdr>
        <w:top w:val="none" w:sz="0" w:space="0" w:color="auto"/>
        <w:left w:val="none" w:sz="0" w:space="0" w:color="auto"/>
        <w:bottom w:val="none" w:sz="0" w:space="0" w:color="auto"/>
        <w:right w:val="none" w:sz="0" w:space="0" w:color="auto"/>
      </w:divBdr>
    </w:div>
    <w:div w:id="1734347282">
      <w:bodyDiv w:val="1"/>
      <w:marLeft w:val="0"/>
      <w:marRight w:val="0"/>
      <w:marTop w:val="0"/>
      <w:marBottom w:val="0"/>
      <w:divBdr>
        <w:top w:val="none" w:sz="0" w:space="0" w:color="auto"/>
        <w:left w:val="none" w:sz="0" w:space="0" w:color="auto"/>
        <w:bottom w:val="none" w:sz="0" w:space="0" w:color="auto"/>
        <w:right w:val="none" w:sz="0" w:space="0" w:color="auto"/>
      </w:divBdr>
    </w:div>
    <w:div w:id="1753888588">
      <w:bodyDiv w:val="1"/>
      <w:marLeft w:val="0"/>
      <w:marRight w:val="0"/>
      <w:marTop w:val="0"/>
      <w:marBottom w:val="0"/>
      <w:divBdr>
        <w:top w:val="none" w:sz="0" w:space="0" w:color="auto"/>
        <w:left w:val="none" w:sz="0" w:space="0" w:color="auto"/>
        <w:bottom w:val="none" w:sz="0" w:space="0" w:color="auto"/>
        <w:right w:val="none" w:sz="0" w:space="0" w:color="auto"/>
      </w:divBdr>
    </w:div>
    <w:div w:id="1758362886">
      <w:bodyDiv w:val="1"/>
      <w:marLeft w:val="0"/>
      <w:marRight w:val="0"/>
      <w:marTop w:val="0"/>
      <w:marBottom w:val="0"/>
      <w:divBdr>
        <w:top w:val="none" w:sz="0" w:space="0" w:color="auto"/>
        <w:left w:val="none" w:sz="0" w:space="0" w:color="auto"/>
        <w:bottom w:val="none" w:sz="0" w:space="0" w:color="auto"/>
        <w:right w:val="none" w:sz="0" w:space="0" w:color="auto"/>
      </w:divBdr>
    </w:div>
    <w:div w:id="1758751930">
      <w:bodyDiv w:val="1"/>
      <w:marLeft w:val="0"/>
      <w:marRight w:val="0"/>
      <w:marTop w:val="0"/>
      <w:marBottom w:val="0"/>
      <w:divBdr>
        <w:top w:val="none" w:sz="0" w:space="0" w:color="auto"/>
        <w:left w:val="none" w:sz="0" w:space="0" w:color="auto"/>
        <w:bottom w:val="none" w:sz="0" w:space="0" w:color="auto"/>
        <w:right w:val="none" w:sz="0" w:space="0" w:color="auto"/>
      </w:divBdr>
    </w:div>
    <w:div w:id="1763060647">
      <w:bodyDiv w:val="1"/>
      <w:marLeft w:val="0"/>
      <w:marRight w:val="0"/>
      <w:marTop w:val="0"/>
      <w:marBottom w:val="0"/>
      <w:divBdr>
        <w:top w:val="none" w:sz="0" w:space="0" w:color="auto"/>
        <w:left w:val="none" w:sz="0" w:space="0" w:color="auto"/>
        <w:bottom w:val="none" w:sz="0" w:space="0" w:color="auto"/>
        <w:right w:val="none" w:sz="0" w:space="0" w:color="auto"/>
      </w:divBdr>
    </w:div>
    <w:div w:id="1765150889">
      <w:bodyDiv w:val="1"/>
      <w:marLeft w:val="0"/>
      <w:marRight w:val="0"/>
      <w:marTop w:val="0"/>
      <w:marBottom w:val="0"/>
      <w:divBdr>
        <w:top w:val="none" w:sz="0" w:space="0" w:color="auto"/>
        <w:left w:val="none" w:sz="0" w:space="0" w:color="auto"/>
        <w:bottom w:val="none" w:sz="0" w:space="0" w:color="auto"/>
        <w:right w:val="none" w:sz="0" w:space="0" w:color="auto"/>
      </w:divBdr>
    </w:div>
    <w:div w:id="1771273713">
      <w:bodyDiv w:val="1"/>
      <w:marLeft w:val="0"/>
      <w:marRight w:val="0"/>
      <w:marTop w:val="0"/>
      <w:marBottom w:val="0"/>
      <w:divBdr>
        <w:top w:val="none" w:sz="0" w:space="0" w:color="auto"/>
        <w:left w:val="none" w:sz="0" w:space="0" w:color="auto"/>
        <w:bottom w:val="none" w:sz="0" w:space="0" w:color="auto"/>
        <w:right w:val="none" w:sz="0" w:space="0" w:color="auto"/>
      </w:divBdr>
    </w:div>
    <w:div w:id="1773551943">
      <w:bodyDiv w:val="1"/>
      <w:marLeft w:val="0"/>
      <w:marRight w:val="0"/>
      <w:marTop w:val="0"/>
      <w:marBottom w:val="0"/>
      <w:divBdr>
        <w:top w:val="none" w:sz="0" w:space="0" w:color="auto"/>
        <w:left w:val="none" w:sz="0" w:space="0" w:color="auto"/>
        <w:bottom w:val="none" w:sz="0" w:space="0" w:color="auto"/>
        <w:right w:val="none" w:sz="0" w:space="0" w:color="auto"/>
      </w:divBdr>
    </w:div>
    <w:div w:id="1774008513">
      <w:bodyDiv w:val="1"/>
      <w:marLeft w:val="0"/>
      <w:marRight w:val="0"/>
      <w:marTop w:val="0"/>
      <w:marBottom w:val="0"/>
      <w:divBdr>
        <w:top w:val="none" w:sz="0" w:space="0" w:color="auto"/>
        <w:left w:val="none" w:sz="0" w:space="0" w:color="auto"/>
        <w:bottom w:val="none" w:sz="0" w:space="0" w:color="auto"/>
        <w:right w:val="none" w:sz="0" w:space="0" w:color="auto"/>
      </w:divBdr>
    </w:div>
    <w:div w:id="1775402292">
      <w:bodyDiv w:val="1"/>
      <w:marLeft w:val="0"/>
      <w:marRight w:val="0"/>
      <w:marTop w:val="0"/>
      <w:marBottom w:val="0"/>
      <w:divBdr>
        <w:top w:val="none" w:sz="0" w:space="0" w:color="auto"/>
        <w:left w:val="none" w:sz="0" w:space="0" w:color="auto"/>
        <w:bottom w:val="none" w:sz="0" w:space="0" w:color="auto"/>
        <w:right w:val="none" w:sz="0" w:space="0" w:color="auto"/>
      </w:divBdr>
    </w:div>
    <w:div w:id="1783841765">
      <w:bodyDiv w:val="1"/>
      <w:marLeft w:val="0"/>
      <w:marRight w:val="0"/>
      <w:marTop w:val="0"/>
      <w:marBottom w:val="0"/>
      <w:divBdr>
        <w:top w:val="none" w:sz="0" w:space="0" w:color="auto"/>
        <w:left w:val="none" w:sz="0" w:space="0" w:color="auto"/>
        <w:bottom w:val="none" w:sz="0" w:space="0" w:color="auto"/>
        <w:right w:val="none" w:sz="0" w:space="0" w:color="auto"/>
      </w:divBdr>
    </w:div>
    <w:div w:id="1784839879">
      <w:bodyDiv w:val="1"/>
      <w:marLeft w:val="0"/>
      <w:marRight w:val="0"/>
      <w:marTop w:val="0"/>
      <w:marBottom w:val="0"/>
      <w:divBdr>
        <w:top w:val="none" w:sz="0" w:space="0" w:color="auto"/>
        <w:left w:val="none" w:sz="0" w:space="0" w:color="auto"/>
        <w:bottom w:val="none" w:sz="0" w:space="0" w:color="auto"/>
        <w:right w:val="none" w:sz="0" w:space="0" w:color="auto"/>
      </w:divBdr>
    </w:div>
    <w:div w:id="1786003955">
      <w:bodyDiv w:val="1"/>
      <w:marLeft w:val="0"/>
      <w:marRight w:val="0"/>
      <w:marTop w:val="0"/>
      <w:marBottom w:val="0"/>
      <w:divBdr>
        <w:top w:val="none" w:sz="0" w:space="0" w:color="auto"/>
        <w:left w:val="none" w:sz="0" w:space="0" w:color="auto"/>
        <w:bottom w:val="none" w:sz="0" w:space="0" w:color="auto"/>
        <w:right w:val="none" w:sz="0" w:space="0" w:color="auto"/>
      </w:divBdr>
    </w:div>
    <w:div w:id="1787651229">
      <w:bodyDiv w:val="1"/>
      <w:marLeft w:val="0"/>
      <w:marRight w:val="0"/>
      <w:marTop w:val="0"/>
      <w:marBottom w:val="0"/>
      <w:divBdr>
        <w:top w:val="none" w:sz="0" w:space="0" w:color="auto"/>
        <w:left w:val="none" w:sz="0" w:space="0" w:color="auto"/>
        <w:bottom w:val="none" w:sz="0" w:space="0" w:color="auto"/>
        <w:right w:val="none" w:sz="0" w:space="0" w:color="auto"/>
      </w:divBdr>
    </w:div>
    <w:div w:id="1790782325">
      <w:bodyDiv w:val="1"/>
      <w:marLeft w:val="0"/>
      <w:marRight w:val="0"/>
      <w:marTop w:val="0"/>
      <w:marBottom w:val="0"/>
      <w:divBdr>
        <w:top w:val="none" w:sz="0" w:space="0" w:color="auto"/>
        <w:left w:val="none" w:sz="0" w:space="0" w:color="auto"/>
        <w:bottom w:val="none" w:sz="0" w:space="0" w:color="auto"/>
        <w:right w:val="none" w:sz="0" w:space="0" w:color="auto"/>
      </w:divBdr>
    </w:div>
    <w:div w:id="1791779663">
      <w:bodyDiv w:val="1"/>
      <w:marLeft w:val="0"/>
      <w:marRight w:val="0"/>
      <w:marTop w:val="0"/>
      <w:marBottom w:val="0"/>
      <w:divBdr>
        <w:top w:val="none" w:sz="0" w:space="0" w:color="auto"/>
        <w:left w:val="none" w:sz="0" w:space="0" w:color="auto"/>
        <w:bottom w:val="none" w:sz="0" w:space="0" w:color="auto"/>
        <w:right w:val="none" w:sz="0" w:space="0" w:color="auto"/>
      </w:divBdr>
    </w:div>
    <w:div w:id="1799835030">
      <w:bodyDiv w:val="1"/>
      <w:marLeft w:val="0"/>
      <w:marRight w:val="0"/>
      <w:marTop w:val="0"/>
      <w:marBottom w:val="0"/>
      <w:divBdr>
        <w:top w:val="none" w:sz="0" w:space="0" w:color="auto"/>
        <w:left w:val="none" w:sz="0" w:space="0" w:color="auto"/>
        <w:bottom w:val="none" w:sz="0" w:space="0" w:color="auto"/>
        <w:right w:val="none" w:sz="0" w:space="0" w:color="auto"/>
      </w:divBdr>
    </w:div>
    <w:div w:id="1802385112">
      <w:bodyDiv w:val="1"/>
      <w:marLeft w:val="0"/>
      <w:marRight w:val="0"/>
      <w:marTop w:val="0"/>
      <w:marBottom w:val="0"/>
      <w:divBdr>
        <w:top w:val="none" w:sz="0" w:space="0" w:color="auto"/>
        <w:left w:val="none" w:sz="0" w:space="0" w:color="auto"/>
        <w:bottom w:val="none" w:sz="0" w:space="0" w:color="auto"/>
        <w:right w:val="none" w:sz="0" w:space="0" w:color="auto"/>
      </w:divBdr>
    </w:div>
    <w:div w:id="1803882199">
      <w:bodyDiv w:val="1"/>
      <w:marLeft w:val="0"/>
      <w:marRight w:val="0"/>
      <w:marTop w:val="0"/>
      <w:marBottom w:val="0"/>
      <w:divBdr>
        <w:top w:val="none" w:sz="0" w:space="0" w:color="auto"/>
        <w:left w:val="none" w:sz="0" w:space="0" w:color="auto"/>
        <w:bottom w:val="none" w:sz="0" w:space="0" w:color="auto"/>
        <w:right w:val="none" w:sz="0" w:space="0" w:color="auto"/>
      </w:divBdr>
    </w:div>
    <w:div w:id="1818648963">
      <w:bodyDiv w:val="1"/>
      <w:marLeft w:val="0"/>
      <w:marRight w:val="0"/>
      <w:marTop w:val="0"/>
      <w:marBottom w:val="0"/>
      <w:divBdr>
        <w:top w:val="none" w:sz="0" w:space="0" w:color="auto"/>
        <w:left w:val="none" w:sz="0" w:space="0" w:color="auto"/>
        <w:bottom w:val="none" w:sz="0" w:space="0" w:color="auto"/>
        <w:right w:val="none" w:sz="0" w:space="0" w:color="auto"/>
      </w:divBdr>
    </w:div>
    <w:div w:id="1821995079">
      <w:bodyDiv w:val="1"/>
      <w:marLeft w:val="0"/>
      <w:marRight w:val="0"/>
      <w:marTop w:val="0"/>
      <w:marBottom w:val="0"/>
      <w:divBdr>
        <w:top w:val="none" w:sz="0" w:space="0" w:color="auto"/>
        <w:left w:val="none" w:sz="0" w:space="0" w:color="auto"/>
        <w:bottom w:val="none" w:sz="0" w:space="0" w:color="auto"/>
        <w:right w:val="none" w:sz="0" w:space="0" w:color="auto"/>
      </w:divBdr>
    </w:div>
    <w:div w:id="1822429681">
      <w:bodyDiv w:val="1"/>
      <w:marLeft w:val="0"/>
      <w:marRight w:val="0"/>
      <w:marTop w:val="0"/>
      <w:marBottom w:val="0"/>
      <w:divBdr>
        <w:top w:val="none" w:sz="0" w:space="0" w:color="auto"/>
        <w:left w:val="none" w:sz="0" w:space="0" w:color="auto"/>
        <w:bottom w:val="none" w:sz="0" w:space="0" w:color="auto"/>
        <w:right w:val="none" w:sz="0" w:space="0" w:color="auto"/>
      </w:divBdr>
    </w:div>
    <w:div w:id="1824471682">
      <w:bodyDiv w:val="1"/>
      <w:marLeft w:val="0"/>
      <w:marRight w:val="0"/>
      <w:marTop w:val="0"/>
      <w:marBottom w:val="0"/>
      <w:divBdr>
        <w:top w:val="none" w:sz="0" w:space="0" w:color="auto"/>
        <w:left w:val="none" w:sz="0" w:space="0" w:color="auto"/>
        <w:bottom w:val="none" w:sz="0" w:space="0" w:color="auto"/>
        <w:right w:val="none" w:sz="0" w:space="0" w:color="auto"/>
      </w:divBdr>
    </w:div>
    <w:div w:id="1828008670">
      <w:bodyDiv w:val="1"/>
      <w:marLeft w:val="0"/>
      <w:marRight w:val="0"/>
      <w:marTop w:val="0"/>
      <w:marBottom w:val="0"/>
      <w:divBdr>
        <w:top w:val="none" w:sz="0" w:space="0" w:color="auto"/>
        <w:left w:val="none" w:sz="0" w:space="0" w:color="auto"/>
        <w:bottom w:val="none" w:sz="0" w:space="0" w:color="auto"/>
        <w:right w:val="none" w:sz="0" w:space="0" w:color="auto"/>
      </w:divBdr>
    </w:div>
    <w:div w:id="1832789926">
      <w:bodyDiv w:val="1"/>
      <w:marLeft w:val="0"/>
      <w:marRight w:val="0"/>
      <w:marTop w:val="0"/>
      <w:marBottom w:val="0"/>
      <w:divBdr>
        <w:top w:val="none" w:sz="0" w:space="0" w:color="auto"/>
        <w:left w:val="none" w:sz="0" w:space="0" w:color="auto"/>
        <w:bottom w:val="none" w:sz="0" w:space="0" w:color="auto"/>
        <w:right w:val="none" w:sz="0" w:space="0" w:color="auto"/>
      </w:divBdr>
    </w:div>
    <w:div w:id="1837914136">
      <w:bodyDiv w:val="1"/>
      <w:marLeft w:val="0"/>
      <w:marRight w:val="0"/>
      <w:marTop w:val="0"/>
      <w:marBottom w:val="0"/>
      <w:divBdr>
        <w:top w:val="none" w:sz="0" w:space="0" w:color="auto"/>
        <w:left w:val="none" w:sz="0" w:space="0" w:color="auto"/>
        <w:bottom w:val="none" w:sz="0" w:space="0" w:color="auto"/>
        <w:right w:val="none" w:sz="0" w:space="0" w:color="auto"/>
      </w:divBdr>
    </w:div>
    <w:div w:id="1838108211">
      <w:bodyDiv w:val="1"/>
      <w:marLeft w:val="0"/>
      <w:marRight w:val="0"/>
      <w:marTop w:val="0"/>
      <w:marBottom w:val="0"/>
      <w:divBdr>
        <w:top w:val="none" w:sz="0" w:space="0" w:color="auto"/>
        <w:left w:val="none" w:sz="0" w:space="0" w:color="auto"/>
        <w:bottom w:val="none" w:sz="0" w:space="0" w:color="auto"/>
        <w:right w:val="none" w:sz="0" w:space="0" w:color="auto"/>
      </w:divBdr>
    </w:div>
    <w:div w:id="1838183616">
      <w:bodyDiv w:val="1"/>
      <w:marLeft w:val="0"/>
      <w:marRight w:val="0"/>
      <w:marTop w:val="0"/>
      <w:marBottom w:val="0"/>
      <w:divBdr>
        <w:top w:val="none" w:sz="0" w:space="0" w:color="auto"/>
        <w:left w:val="none" w:sz="0" w:space="0" w:color="auto"/>
        <w:bottom w:val="none" w:sz="0" w:space="0" w:color="auto"/>
        <w:right w:val="none" w:sz="0" w:space="0" w:color="auto"/>
      </w:divBdr>
    </w:div>
    <w:div w:id="1846237743">
      <w:bodyDiv w:val="1"/>
      <w:marLeft w:val="0"/>
      <w:marRight w:val="0"/>
      <w:marTop w:val="0"/>
      <w:marBottom w:val="0"/>
      <w:divBdr>
        <w:top w:val="none" w:sz="0" w:space="0" w:color="auto"/>
        <w:left w:val="none" w:sz="0" w:space="0" w:color="auto"/>
        <w:bottom w:val="none" w:sz="0" w:space="0" w:color="auto"/>
        <w:right w:val="none" w:sz="0" w:space="0" w:color="auto"/>
      </w:divBdr>
    </w:div>
    <w:div w:id="1847556165">
      <w:bodyDiv w:val="1"/>
      <w:marLeft w:val="0"/>
      <w:marRight w:val="0"/>
      <w:marTop w:val="0"/>
      <w:marBottom w:val="0"/>
      <w:divBdr>
        <w:top w:val="none" w:sz="0" w:space="0" w:color="auto"/>
        <w:left w:val="none" w:sz="0" w:space="0" w:color="auto"/>
        <w:bottom w:val="none" w:sz="0" w:space="0" w:color="auto"/>
        <w:right w:val="none" w:sz="0" w:space="0" w:color="auto"/>
      </w:divBdr>
    </w:div>
    <w:div w:id="1860463925">
      <w:bodyDiv w:val="1"/>
      <w:marLeft w:val="0"/>
      <w:marRight w:val="0"/>
      <w:marTop w:val="0"/>
      <w:marBottom w:val="0"/>
      <w:divBdr>
        <w:top w:val="none" w:sz="0" w:space="0" w:color="auto"/>
        <w:left w:val="none" w:sz="0" w:space="0" w:color="auto"/>
        <w:bottom w:val="none" w:sz="0" w:space="0" w:color="auto"/>
        <w:right w:val="none" w:sz="0" w:space="0" w:color="auto"/>
      </w:divBdr>
    </w:div>
    <w:div w:id="1863130974">
      <w:bodyDiv w:val="1"/>
      <w:marLeft w:val="0"/>
      <w:marRight w:val="0"/>
      <w:marTop w:val="0"/>
      <w:marBottom w:val="0"/>
      <w:divBdr>
        <w:top w:val="none" w:sz="0" w:space="0" w:color="auto"/>
        <w:left w:val="none" w:sz="0" w:space="0" w:color="auto"/>
        <w:bottom w:val="none" w:sz="0" w:space="0" w:color="auto"/>
        <w:right w:val="none" w:sz="0" w:space="0" w:color="auto"/>
      </w:divBdr>
    </w:div>
    <w:div w:id="1867669877">
      <w:bodyDiv w:val="1"/>
      <w:marLeft w:val="0"/>
      <w:marRight w:val="0"/>
      <w:marTop w:val="0"/>
      <w:marBottom w:val="0"/>
      <w:divBdr>
        <w:top w:val="none" w:sz="0" w:space="0" w:color="auto"/>
        <w:left w:val="none" w:sz="0" w:space="0" w:color="auto"/>
        <w:bottom w:val="none" w:sz="0" w:space="0" w:color="auto"/>
        <w:right w:val="none" w:sz="0" w:space="0" w:color="auto"/>
      </w:divBdr>
    </w:div>
    <w:div w:id="1869483552">
      <w:bodyDiv w:val="1"/>
      <w:marLeft w:val="0"/>
      <w:marRight w:val="0"/>
      <w:marTop w:val="0"/>
      <w:marBottom w:val="0"/>
      <w:divBdr>
        <w:top w:val="none" w:sz="0" w:space="0" w:color="auto"/>
        <w:left w:val="none" w:sz="0" w:space="0" w:color="auto"/>
        <w:bottom w:val="none" w:sz="0" w:space="0" w:color="auto"/>
        <w:right w:val="none" w:sz="0" w:space="0" w:color="auto"/>
      </w:divBdr>
    </w:div>
    <w:div w:id="1870144335">
      <w:bodyDiv w:val="1"/>
      <w:marLeft w:val="0"/>
      <w:marRight w:val="0"/>
      <w:marTop w:val="0"/>
      <w:marBottom w:val="0"/>
      <w:divBdr>
        <w:top w:val="none" w:sz="0" w:space="0" w:color="auto"/>
        <w:left w:val="none" w:sz="0" w:space="0" w:color="auto"/>
        <w:bottom w:val="none" w:sz="0" w:space="0" w:color="auto"/>
        <w:right w:val="none" w:sz="0" w:space="0" w:color="auto"/>
      </w:divBdr>
    </w:div>
    <w:div w:id="1882865430">
      <w:bodyDiv w:val="1"/>
      <w:marLeft w:val="0"/>
      <w:marRight w:val="0"/>
      <w:marTop w:val="0"/>
      <w:marBottom w:val="0"/>
      <w:divBdr>
        <w:top w:val="none" w:sz="0" w:space="0" w:color="auto"/>
        <w:left w:val="none" w:sz="0" w:space="0" w:color="auto"/>
        <w:bottom w:val="none" w:sz="0" w:space="0" w:color="auto"/>
        <w:right w:val="none" w:sz="0" w:space="0" w:color="auto"/>
      </w:divBdr>
    </w:div>
    <w:div w:id="1883055482">
      <w:bodyDiv w:val="1"/>
      <w:marLeft w:val="0"/>
      <w:marRight w:val="0"/>
      <w:marTop w:val="0"/>
      <w:marBottom w:val="0"/>
      <w:divBdr>
        <w:top w:val="none" w:sz="0" w:space="0" w:color="auto"/>
        <w:left w:val="none" w:sz="0" w:space="0" w:color="auto"/>
        <w:bottom w:val="none" w:sz="0" w:space="0" w:color="auto"/>
        <w:right w:val="none" w:sz="0" w:space="0" w:color="auto"/>
      </w:divBdr>
    </w:div>
    <w:div w:id="1890460998">
      <w:bodyDiv w:val="1"/>
      <w:marLeft w:val="0"/>
      <w:marRight w:val="0"/>
      <w:marTop w:val="0"/>
      <w:marBottom w:val="0"/>
      <w:divBdr>
        <w:top w:val="none" w:sz="0" w:space="0" w:color="auto"/>
        <w:left w:val="none" w:sz="0" w:space="0" w:color="auto"/>
        <w:bottom w:val="none" w:sz="0" w:space="0" w:color="auto"/>
        <w:right w:val="none" w:sz="0" w:space="0" w:color="auto"/>
      </w:divBdr>
    </w:div>
    <w:div w:id="1893033600">
      <w:bodyDiv w:val="1"/>
      <w:marLeft w:val="0"/>
      <w:marRight w:val="0"/>
      <w:marTop w:val="0"/>
      <w:marBottom w:val="0"/>
      <w:divBdr>
        <w:top w:val="none" w:sz="0" w:space="0" w:color="auto"/>
        <w:left w:val="none" w:sz="0" w:space="0" w:color="auto"/>
        <w:bottom w:val="none" w:sz="0" w:space="0" w:color="auto"/>
        <w:right w:val="none" w:sz="0" w:space="0" w:color="auto"/>
      </w:divBdr>
    </w:div>
    <w:div w:id="1895041499">
      <w:bodyDiv w:val="1"/>
      <w:marLeft w:val="0"/>
      <w:marRight w:val="0"/>
      <w:marTop w:val="0"/>
      <w:marBottom w:val="0"/>
      <w:divBdr>
        <w:top w:val="none" w:sz="0" w:space="0" w:color="auto"/>
        <w:left w:val="none" w:sz="0" w:space="0" w:color="auto"/>
        <w:bottom w:val="none" w:sz="0" w:space="0" w:color="auto"/>
        <w:right w:val="none" w:sz="0" w:space="0" w:color="auto"/>
      </w:divBdr>
    </w:div>
    <w:div w:id="1898591199">
      <w:bodyDiv w:val="1"/>
      <w:marLeft w:val="0"/>
      <w:marRight w:val="0"/>
      <w:marTop w:val="0"/>
      <w:marBottom w:val="0"/>
      <w:divBdr>
        <w:top w:val="none" w:sz="0" w:space="0" w:color="auto"/>
        <w:left w:val="none" w:sz="0" w:space="0" w:color="auto"/>
        <w:bottom w:val="none" w:sz="0" w:space="0" w:color="auto"/>
        <w:right w:val="none" w:sz="0" w:space="0" w:color="auto"/>
      </w:divBdr>
    </w:div>
    <w:div w:id="1908300419">
      <w:bodyDiv w:val="1"/>
      <w:marLeft w:val="0"/>
      <w:marRight w:val="0"/>
      <w:marTop w:val="0"/>
      <w:marBottom w:val="0"/>
      <w:divBdr>
        <w:top w:val="none" w:sz="0" w:space="0" w:color="auto"/>
        <w:left w:val="none" w:sz="0" w:space="0" w:color="auto"/>
        <w:bottom w:val="none" w:sz="0" w:space="0" w:color="auto"/>
        <w:right w:val="none" w:sz="0" w:space="0" w:color="auto"/>
      </w:divBdr>
    </w:div>
    <w:div w:id="1912961206">
      <w:bodyDiv w:val="1"/>
      <w:marLeft w:val="0"/>
      <w:marRight w:val="0"/>
      <w:marTop w:val="0"/>
      <w:marBottom w:val="0"/>
      <w:divBdr>
        <w:top w:val="none" w:sz="0" w:space="0" w:color="auto"/>
        <w:left w:val="none" w:sz="0" w:space="0" w:color="auto"/>
        <w:bottom w:val="none" w:sz="0" w:space="0" w:color="auto"/>
        <w:right w:val="none" w:sz="0" w:space="0" w:color="auto"/>
      </w:divBdr>
    </w:div>
    <w:div w:id="1918054879">
      <w:bodyDiv w:val="1"/>
      <w:marLeft w:val="0"/>
      <w:marRight w:val="0"/>
      <w:marTop w:val="0"/>
      <w:marBottom w:val="0"/>
      <w:divBdr>
        <w:top w:val="none" w:sz="0" w:space="0" w:color="auto"/>
        <w:left w:val="none" w:sz="0" w:space="0" w:color="auto"/>
        <w:bottom w:val="none" w:sz="0" w:space="0" w:color="auto"/>
        <w:right w:val="none" w:sz="0" w:space="0" w:color="auto"/>
      </w:divBdr>
    </w:div>
    <w:div w:id="1932081184">
      <w:bodyDiv w:val="1"/>
      <w:marLeft w:val="0"/>
      <w:marRight w:val="0"/>
      <w:marTop w:val="0"/>
      <w:marBottom w:val="0"/>
      <w:divBdr>
        <w:top w:val="none" w:sz="0" w:space="0" w:color="auto"/>
        <w:left w:val="none" w:sz="0" w:space="0" w:color="auto"/>
        <w:bottom w:val="none" w:sz="0" w:space="0" w:color="auto"/>
        <w:right w:val="none" w:sz="0" w:space="0" w:color="auto"/>
      </w:divBdr>
    </w:div>
    <w:div w:id="1932741581">
      <w:bodyDiv w:val="1"/>
      <w:marLeft w:val="0"/>
      <w:marRight w:val="0"/>
      <w:marTop w:val="0"/>
      <w:marBottom w:val="0"/>
      <w:divBdr>
        <w:top w:val="none" w:sz="0" w:space="0" w:color="auto"/>
        <w:left w:val="none" w:sz="0" w:space="0" w:color="auto"/>
        <w:bottom w:val="none" w:sz="0" w:space="0" w:color="auto"/>
        <w:right w:val="none" w:sz="0" w:space="0" w:color="auto"/>
      </w:divBdr>
    </w:div>
    <w:div w:id="1933010544">
      <w:bodyDiv w:val="1"/>
      <w:marLeft w:val="0"/>
      <w:marRight w:val="0"/>
      <w:marTop w:val="0"/>
      <w:marBottom w:val="0"/>
      <w:divBdr>
        <w:top w:val="none" w:sz="0" w:space="0" w:color="auto"/>
        <w:left w:val="none" w:sz="0" w:space="0" w:color="auto"/>
        <w:bottom w:val="none" w:sz="0" w:space="0" w:color="auto"/>
        <w:right w:val="none" w:sz="0" w:space="0" w:color="auto"/>
      </w:divBdr>
    </w:div>
    <w:div w:id="1936479305">
      <w:bodyDiv w:val="1"/>
      <w:marLeft w:val="0"/>
      <w:marRight w:val="0"/>
      <w:marTop w:val="0"/>
      <w:marBottom w:val="0"/>
      <w:divBdr>
        <w:top w:val="none" w:sz="0" w:space="0" w:color="auto"/>
        <w:left w:val="none" w:sz="0" w:space="0" w:color="auto"/>
        <w:bottom w:val="none" w:sz="0" w:space="0" w:color="auto"/>
        <w:right w:val="none" w:sz="0" w:space="0" w:color="auto"/>
      </w:divBdr>
    </w:div>
    <w:div w:id="1936861679">
      <w:bodyDiv w:val="1"/>
      <w:marLeft w:val="0"/>
      <w:marRight w:val="0"/>
      <w:marTop w:val="0"/>
      <w:marBottom w:val="0"/>
      <w:divBdr>
        <w:top w:val="none" w:sz="0" w:space="0" w:color="auto"/>
        <w:left w:val="none" w:sz="0" w:space="0" w:color="auto"/>
        <w:bottom w:val="none" w:sz="0" w:space="0" w:color="auto"/>
        <w:right w:val="none" w:sz="0" w:space="0" w:color="auto"/>
      </w:divBdr>
    </w:div>
    <w:div w:id="1937664301">
      <w:bodyDiv w:val="1"/>
      <w:marLeft w:val="0"/>
      <w:marRight w:val="0"/>
      <w:marTop w:val="0"/>
      <w:marBottom w:val="0"/>
      <w:divBdr>
        <w:top w:val="none" w:sz="0" w:space="0" w:color="auto"/>
        <w:left w:val="none" w:sz="0" w:space="0" w:color="auto"/>
        <w:bottom w:val="none" w:sz="0" w:space="0" w:color="auto"/>
        <w:right w:val="none" w:sz="0" w:space="0" w:color="auto"/>
      </w:divBdr>
    </w:div>
    <w:div w:id="1950044063">
      <w:bodyDiv w:val="1"/>
      <w:marLeft w:val="0"/>
      <w:marRight w:val="0"/>
      <w:marTop w:val="0"/>
      <w:marBottom w:val="0"/>
      <w:divBdr>
        <w:top w:val="none" w:sz="0" w:space="0" w:color="auto"/>
        <w:left w:val="none" w:sz="0" w:space="0" w:color="auto"/>
        <w:bottom w:val="none" w:sz="0" w:space="0" w:color="auto"/>
        <w:right w:val="none" w:sz="0" w:space="0" w:color="auto"/>
      </w:divBdr>
    </w:div>
    <w:div w:id="1951624287">
      <w:bodyDiv w:val="1"/>
      <w:marLeft w:val="0"/>
      <w:marRight w:val="0"/>
      <w:marTop w:val="0"/>
      <w:marBottom w:val="0"/>
      <w:divBdr>
        <w:top w:val="none" w:sz="0" w:space="0" w:color="auto"/>
        <w:left w:val="none" w:sz="0" w:space="0" w:color="auto"/>
        <w:bottom w:val="none" w:sz="0" w:space="0" w:color="auto"/>
        <w:right w:val="none" w:sz="0" w:space="0" w:color="auto"/>
      </w:divBdr>
    </w:div>
    <w:div w:id="1954824001">
      <w:bodyDiv w:val="1"/>
      <w:marLeft w:val="0"/>
      <w:marRight w:val="0"/>
      <w:marTop w:val="0"/>
      <w:marBottom w:val="0"/>
      <w:divBdr>
        <w:top w:val="none" w:sz="0" w:space="0" w:color="auto"/>
        <w:left w:val="none" w:sz="0" w:space="0" w:color="auto"/>
        <w:bottom w:val="none" w:sz="0" w:space="0" w:color="auto"/>
        <w:right w:val="none" w:sz="0" w:space="0" w:color="auto"/>
      </w:divBdr>
    </w:div>
    <w:div w:id="1958757078">
      <w:bodyDiv w:val="1"/>
      <w:marLeft w:val="0"/>
      <w:marRight w:val="0"/>
      <w:marTop w:val="0"/>
      <w:marBottom w:val="0"/>
      <w:divBdr>
        <w:top w:val="none" w:sz="0" w:space="0" w:color="auto"/>
        <w:left w:val="none" w:sz="0" w:space="0" w:color="auto"/>
        <w:bottom w:val="none" w:sz="0" w:space="0" w:color="auto"/>
        <w:right w:val="none" w:sz="0" w:space="0" w:color="auto"/>
      </w:divBdr>
    </w:div>
    <w:div w:id="1965892451">
      <w:bodyDiv w:val="1"/>
      <w:marLeft w:val="0"/>
      <w:marRight w:val="0"/>
      <w:marTop w:val="0"/>
      <w:marBottom w:val="0"/>
      <w:divBdr>
        <w:top w:val="none" w:sz="0" w:space="0" w:color="auto"/>
        <w:left w:val="none" w:sz="0" w:space="0" w:color="auto"/>
        <w:bottom w:val="none" w:sz="0" w:space="0" w:color="auto"/>
        <w:right w:val="none" w:sz="0" w:space="0" w:color="auto"/>
      </w:divBdr>
    </w:div>
    <w:div w:id="1968074699">
      <w:bodyDiv w:val="1"/>
      <w:marLeft w:val="0"/>
      <w:marRight w:val="0"/>
      <w:marTop w:val="0"/>
      <w:marBottom w:val="0"/>
      <w:divBdr>
        <w:top w:val="none" w:sz="0" w:space="0" w:color="auto"/>
        <w:left w:val="none" w:sz="0" w:space="0" w:color="auto"/>
        <w:bottom w:val="none" w:sz="0" w:space="0" w:color="auto"/>
        <w:right w:val="none" w:sz="0" w:space="0" w:color="auto"/>
      </w:divBdr>
    </w:div>
    <w:div w:id="1968929410">
      <w:bodyDiv w:val="1"/>
      <w:marLeft w:val="0"/>
      <w:marRight w:val="0"/>
      <w:marTop w:val="0"/>
      <w:marBottom w:val="0"/>
      <w:divBdr>
        <w:top w:val="none" w:sz="0" w:space="0" w:color="auto"/>
        <w:left w:val="none" w:sz="0" w:space="0" w:color="auto"/>
        <w:bottom w:val="none" w:sz="0" w:space="0" w:color="auto"/>
        <w:right w:val="none" w:sz="0" w:space="0" w:color="auto"/>
      </w:divBdr>
    </w:div>
    <w:div w:id="1969125546">
      <w:bodyDiv w:val="1"/>
      <w:marLeft w:val="0"/>
      <w:marRight w:val="0"/>
      <w:marTop w:val="0"/>
      <w:marBottom w:val="0"/>
      <w:divBdr>
        <w:top w:val="none" w:sz="0" w:space="0" w:color="auto"/>
        <w:left w:val="none" w:sz="0" w:space="0" w:color="auto"/>
        <w:bottom w:val="none" w:sz="0" w:space="0" w:color="auto"/>
        <w:right w:val="none" w:sz="0" w:space="0" w:color="auto"/>
      </w:divBdr>
    </w:div>
    <w:div w:id="1970166524">
      <w:bodyDiv w:val="1"/>
      <w:marLeft w:val="0"/>
      <w:marRight w:val="0"/>
      <w:marTop w:val="0"/>
      <w:marBottom w:val="0"/>
      <w:divBdr>
        <w:top w:val="none" w:sz="0" w:space="0" w:color="auto"/>
        <w:left w:val="none" w:sz="0" w:space="0" w:color="auto"/>
        <w:bottom w:val="none" w:sz="0" w:space="0" w:color="auto"/>
        <w:right w:val="none" w:sz="0" w:space="0" w:color="auto"/>
      </w:divBdr>
    </w:div>
    <w:div w:id="1973174172">
      <w:bodyDiv w:val="1"/>
      <w:marLeft w:val="0"/>
      <w:marRight w:val="0"/>
      <w:marTop w:val="0"/>
      <w:marBottom w:val="0"/>
      <w:divBdr>
        <w:top w:val="none" w:sz="0" w:space="0" w:color="auto"/>
        <w:left w:val="none" w:sz="0" w:space="0" w:color="auto"/>
        <w:bottom w:val="none" w:sz="0" w:space="0" w:color="auto"/>
        <w:right w:val="none" w:sz="0" w:space="0" w:color="auto"/>
      </w:divBdr>
    </w:div>
    <w:div w:id="1977948151">
      <w:bodyDiv w:val="1"/>
      <w:marLeft w:val="0"/>
      <w:marRight w:val="0"/>
      <w:marTop w:val="0"/>
      <w:marBottom w:val="0"/>
      <w:divBdr>
        <w:top w:val="none" w:sz="0" w:space="0" w:color="auto"/>
        <w:left w:val="none" w:sz="0" w:space="0" w:color="auto"/>
        <w:bottom w:val="none" w:sz="0" w:space="0" w:color="auto"/>
        <w:right w:val="none" w:sz="0" w:space="0" w:color="auto"/>
      </w:divBdr>
    </w:div>
    <w:div w:id="1979915366">
      <w:bodyDiv w:val="1"/>
      <w:marLeft w:val="0"/>
      <w:marRight w:val="0"/>
      <w:marTop w:val="0"/>
      <w:marBottom w:val="0"/>
      <w:divBdr>
        <w:top w:val="none" w:sz="0" w:space="0" w:color="auto"/>
        <w:left w:val="none" w:sz="0" w:space="0" w:color="auto"/>
        <w:bottom w:val="none" w:sz="0" w:space="0" w:color="auto"/>
        <w:right w:val="none" w:sz="0" w:space="0" w:color="auto"/>
      </w:divBdr>
    </w:div>
    <w:div w:id="1982035851">
      <w:bodyDiv w:val="1"/>
      <w:marLeft w:val="0"/>
      <w:marRight w:val="0"/>
      <w:marTop w:val="0"/>
      <w:marBottom w:val="0"/>
      <w:divBdr>
        <w:top w:val="none" w:sz="0" w:space="0" w:color="auto"/>
        <w:left w:val="none" w:sz="0" w:space="0" w:color="auto"/>
        <w:bottom w:val="none" w:sz="0" w:space="0" w:color="auto"/>
        <w:right w:val="none" w:sz="0" w:space="0" w:color="auto"/>
      </w:divBdr>
    </w:div>
    <w:div w:id="1996640837">
      <w:bodyDiv w:val="1"/>
      <w:marLeft w:val="0"/>
      <w:marRight w:val="0"/>
      <w:marTop w:val="0"/>
      <w:marBottom w:val="0"/>
      <w:divBdr>
        <w:top w:val="none" w:sz="0" w:space="0" w:color="auto"/>
        <w:left w:val="none" w:sz="0" w:space="0" w:color="auto"/>
        <w:bottom w:val="none" w:sz="0" w:space="0" w:color="auto"/>
        <w:right w:val="none" w:sz="0" w:space="0" w:color="auto"/>
      </w:divBdr>
    </w:div>
    <w:div w:id="2009864924">
      <w:bodyDiv w:val="1"/>
      <w:marLeft w:val="0"/>
      <w:marRight w:val="0"/>
      <w:marTop w:val="0"/>
      <w:marBottom w:val="0"/>
      <w:divBdr>
        <w:top w:val="none" w:sz="0" w:space="0" w:color="auto"/>
        <w:left w:val="none" w:sz="0" w:space="0" w:color="auto"/>
        <w:bottom w:val="none" w:sz="0" w:space="0" w:color="auto"/>
        <w:right w:val="none" w:sz="0" w:space="0" w:color="auto"/>
      </w:divBdr>
    </w:div>
    <w:div w:id="2013799255">
      <w:bodyDiv w:val="1"/>
      <w:marLeft w:val="0"/>
      <w:marRight w:val="0"/>
      <w:marTop w:val="0"/>
      <w:marBottom w:val="0"/>
      <w:divBdr>
        <w:top w:val="none" w:sz="0" w:space="0" w:color="auto"/>
        <w:left w:val="none" w:sz="0" w:space="0" w:color="auto"/>
        <w:bottom w:val="none" w:sz="0" w:space="0" w:color="auto"/>
        <w:right w:val="none" w:sz="0" w:space="0" w:color="auto"/>
      </w:divBdr>
    </w:div>
    <w:div w:id="2015912153">
      <w:bodyDiv w:val="1"/>
      <w:marLeft w:val="0"/>
      <w:marRight w:val="0"/>
      <w:marTop w:val="0"/>
      <w:marBottom w:val="0"/>
      <w:divBdr>
        <w:top w:val="none" w:sz="0" w:space="0" w:color="auto"/>
        <w:left w:val="none" w:sz="0" w:space="0" w:color="auto"/>
        <w:bottom w:val="none" w:sz="0" w:space="0" w:color="auto"/>
        <w:right w:val="none" w:sz="0" w:space="0" w:color="auto"/>
      </w:divBdr>
    </w:div>
    <w:div w:id="2024823428">
      <w:bodyDiv w:val="1"/>
      <w:marLeft w:val="0"/>
      <w:marRight w:val="0"/>
      <w:marTop w:val="0"/>
      <w:marBottom w:val="0"/>
      <w:divBdr>
        <w:top w:val="none" w:sz="0" w:space="0" w:color="auto"/>
        <w:left w:val="none" w:sz="0" w:space="0" w:color="auto"/>
        <w:bottom w:val="none" w:sz="0" w:space="0" w:color="auto"/>
        <w:right w:val="none" w:sz="0" w:space="0" w:color="auto"/>
      </w:divBdr>
    </w:div>
    <w:div w:id="2038576469">
      <w:bodyDiv w:val="1"/>
      <w:marLeft w:val="0"/>
      <w:marRight w:val="0"/>
      <w:marTop w:val="0"/>
      <w:marBottom w:val="0"/>
      <w:divBdr>
        <w:top w:val="none" w:sz="0" w:space="0" w:color="auto"/>
        <w:left w:val="none" w:sz="0" w:space="0" w:color="auto"/>
        <w:bottom w:val="none" w:sz="0" w:space="0" w:color="auto"/>
        <w:right w:val="none" w:sz="0" w:space="0" w:color="auto"/>
      </w:divBdr>
    </w:div>
    <w:div w:id="2051107899">
      <w:bodyDiv w:val="1"/>
      <w:marLeft w:val="0"/>
      <w:marRight w:val="0"/>
      <w:marTop w:val="0"/>
      <w:marBottom w:val="0"/>
      <w:divBdr>
        <w:top w:val="none" w:sz="0" w:space="0" w:color="auto"/>
        <w:left w:val="none" w:sz="0" w:space="0" w:color="auto"/>
        <w:bottom w:val="none" w:sz="0" w:space="0" w:color="auto"/>
        <w:right w:val="none" w:sz="0" w:space="0" w:color="auto"/>
      </w:divBdr>
    </w:div>
    <w:div w:id="2059669506">
      <w:bodyDiv w:val="1"/>
      <w:marLeft w:val="0"/>
      <w:marRight w:val="0"/>
      <w:marTop w:val="0"/>
      <w:marBottom w:val="0"/>
      <w:divBdr>
        <w:top w:val="none" w:sz="0" w:space="0" w:color="auto"/>
        <w:left w:val="none" w:sz="0" w:space="0" w:color="auto"/>
        <w:bottom w:val="none" w:sz="0" w:space="0" w:color="auto"/>
        <w:right w:val="none" w:sz="0" w:space="0" w:color="auto"/>
      </w:divBdr>
    </w:div>
    <w:div w:id="2062055147">
      <w:bodyDiv w:val="1"/>
      <w:marLeft w:val="0"/>
      <w:marRight w:val="0"/>
      <w:marTop w:val="0"/>
      <w:marBottom w:val="0"/>
      <w:divBdr>
        <w:top w:val="none" w:sz="0" w:space="0" w:color="auto"/>
        <w:left w:val="none" w:sz="0" w:space="0" w:color="auto"/>
        <w:bottom w:val="none" w:sz="0" w:space="0" w:color="auto"/>
        <w:right w:val="none" w:sz="0" w:space="0" w:color="auto"/>
      </w:divBdr>
    </w:div>
    <w:div w:id="2063866706">
      <w:bodyDiv w:val="1"/>
      <w:marLeft w:val="0"/>
      <w:marRight w:val="0"/>
      <w:marTop w:val="0"/>
      <w:marBottom w:val="0"/>
      <w:divBdr>
        <w:top w:val="none" w:sz="0" w:space="0" w:color="auto"/>
        <w:left w:val="none" w:sz="0" w:space="0" w:color="auto"/>
        <w:bottom w:val="none" w:sz="0" w:space="0" w:color="auto"/>
        <w:right w:val="none" w:sz="0" w:space="0" w:color="auto"/>
      </w:divBdr>
    </w:div>
    <w:div w:id="2064208787">
      <w:bodyDiv w:val="1"/>
      <w:marLeft w:val="0"/>
      <w:marRight w:val="0"/>
      <w:marTop w:val="0"/>
      <w:marBottom w:val="0"/>
      <w:divBdr>
        <w:top w:val="none" w:sz="0" w:space="0" w:color="auto"/>
        <w:left w:val="none" w:sz="0" w:space="0" w:color="auto"/>
        <w:bottom w:val="none" w:sz="0" w:space="0" w:color="auto"/>
        <w:right w:val="none" w:sz="0" w:space="0" w:color="auto"/>
      </w:divBdr>
    </w:div>
    <w:div w:id="2070225273">
      <w:bodyDiv w:val="1"/>
      <w:marLeft w:val="0"/>
      <w:marRight w:val="0"/>
      <w:marTop w:val="0"/>
      <w:marBottom w:val="0"/>
      <w:divBdr>
        <w:top w:val="none" w:sz="0" w:space="0" w:color="auto"/>
        <w:left w:val="none" w:sz="0" w:space="0" w:color="auto"/>
        <w:bottom w:val="none" w:sz="0" w:space="0" w:color="auto"/>
        <w:right w:val="none" w:sz="0" w:space="0" w:color="auto"/>
      </w:divBdr>
    </w:div>
    <w:div w:id="2071344827">
      <w:bodyDiv w:val="1"/>
      <w:marLeft w:val="0"/>
      <w:marRight w:val="0"/>
      <w:marTop w:val="0"/>
      <w:marBottom w:val="0"/>
      <w:divBdr>
        <w:top w:val="none" w:sz="0" w:space="0" w:color="auto"/>
        <w:left w:val="none" w:sz="0" w:space="0" w:color="auto"/>
        <w:bottom w:val="none" w:sz="0" w:space="0" w:color="auto"/>
        <w:right w:val="none" w:sz="0" w:space="0" w:color="auto"/>
      </w:divBdr>
    </w:div>
    <w:div w:id="2073769454">
      <w:bodyDiv w:val="1"/>
      <w:marLeft w:val="0"/>
      <w:marRight w:val="0"/>
      <w:marTop w:val="0"/>
      <w:marBottom w:val="0"/>
      <w:divBdr>
        <w:top w:val="none" w:sz="0" w:space="0" w:color="auto"/>
        <w:left w:val="none" w:sz="0" w:space="0" w:color="auto"/>
        <w:bottom w:val="none" w:sz="0" w:space="0" w:color="auto"/>
        <w:right w:val="none" w:sz="0" w:space="0" w:color="auto"/>
      </w:divBdr>
    </w:div>
    <w:div w:id="2074156981">
      <w:bodyDiv w:val="1"/>
      <w:marLeft w:val="0"/>
      <w:marRight w:val="0"/>
      <w:marTop w:val="0"/>
      <w:marBottom w:val="0"/>
      <w:divBdr>
        <w:top w:val="none" w:sz="0" w:space="0" w:color="auto"/>
        <w:left w:val="none" w:sz="0" w:space="0" w:color="auto"/>
        <w:bottom w:val="none" w:sz="0" w:space="0" w:color="auto"/>
        <w:right w:val="none" w:sz="0" w:space="0" w:color="auto"/>
      </w:divBdr>
    </w:div>
    <w:div w:id="2079672809">
      <w:bodyDiv w:val="1"/>
      <w:marLeft w:val="0"/>
      <w:marRight w:val="0"/>
      <w:marTop w:val="0"/>
      <w:marBottom w:val="0"/>
      <w:divBdr>
        <w:top w:val="none" w:sz="0" w:space="0" w:color="auto"/>
        <w:left w:val="none" w:sz="0" w:space="0" w:color="auto"/>
        <w:bottom w:val="none" w:sz="0" w:space="0" w:color="auto"/>
        <w:right w:val="none" w:sz="0" w:space="0" w:color="auto"/>
      </w:divBdr>
    </w:div>
    <w:div w:id="2083597902">
      <w:bodyDiv w:val="1"/>
      <w:marLeft w:val="0"/>
      <w:marRight w:val="0"/>
      <w:marTop w:val="0"/>
      <w:marBottom w:val="0"/>
      <w:divBdr>
        <w:top w:val="none" w:sz="0" w:space="0" w:color="auto"/>
        <w:left w:val="none" w:sz="0" w:space="0" w:color="auto"/>
        <w:bottom w:val="none" w:sz="0" w:space="0" w:color="auto"/>
        <w:right w:val="none" w:sz="0" w:space="0" w:color="auto"/>
      </w:divBdr>
    </w:div>
    <w:div w:id="2088182814">
      <w:bodyDiv w:val="1"/>
      <w:marLeft w:val="0"/>
      <w:marRight w:val="0"/>
      <w:marTop w:val="0"/>
      <w:marBottom w:val="0"/>
      <w:divBdr>
        <w:top w:val="none" w:sz="0" w:space="0" w:color="auto"/>
        <w:left w:val="none" w:sz="0" w:space="0" w:color="auto"/>
        <w:bottom w:val="none" w:sz="0" w:space="0" w:color="auto"/>
        <w:right w:val="none" w:sz="0" w:space="0" w:color="auto"/>
      </w:divBdr>
    </w:div>
    <w:div w:id="2090612744">
      <w:bodyDiv w:val="1"/>
      <w:marLeft w:val="0"/>
      <w:marRight w:val="0"/>
      <w:marTop w:val="0"/>
      <w:marBottom w:val="0"/>
      <w:divBdr>
        <w:top w:val="none" w:sz="0" w:space="0" w:color="auto"/>
        <w:left w:val="none" w:sz="0" w:space="0" w:color="auto"/>
        <w:bottom w:val="none" w:sz="0" w:space="0" w:color="auto"/>
        <w:right w:val="none" w:sz="0" w:space="0" w:color="auto"/>
      </w:divBdr>
    </w:div>
    <w:div w:id="2093886873">
      <w:bodyDiv w:val="1"/>
      <w:marLeft w:val="0"/>
      <w:marRight w:val="0"/>
      <w:marTop w:val="0"/>
      <w:marBottom w:val="0"/>
      <w:divBdr>
        <w:top w:val="none" w:sz="0" w:space="0" w:color="auto"/>
        <w:left w:val="none" w:sz="0" w:space="0" w:color="auto"/>
        <w:bottom w:val="none" w:sz="0" w:space="0" w:color="auto"/>
        <w:right w:val="none" w:sz="0" w:space="0" w:color="auto"/>
      </w:divBdr>
    </w:div>
    <w:div w:id="2095201215">
      <w:bodyDiv w:val="1"/>
      <w:marLeft w:val="0"/>
      <w:marRight w:val="0"/>
      <w:marTop w:val="0"/>
      <w:marBottom w:val="0"/>
      <w:divBdr>
        <w:top w:val="none" w:sz="0" w:space="0" w:color="auto"/>
        <w:left w:val="none" w:sz="0" w:space="0" w:color="auto"/>
        <w:bottom w:val="none" w:sz="0" w:space="0" w:color="auto"/>
        <w:right w:val="none" w:sz="0" w:space="0" w:color="auto"/>
      </w:divBdr>
    </w:div>
    <w:div w:id="2098280140">
      <w:bodyDiv w:val="1"/>
      <w:marLeft w:val="0"/>
      <w:marRight w:val="0"/>
      <w:marTop w:val="0"/>
      <w:marBottom w:val="0"/>
      <w:divBdr>
        <w:top w:val="none" w:sz="0" w:space="0" w:color="auto"/>
        <w:left w:val="none" w:sz="0" w:space="0" w:color="auto"/>
        <w:bottom w:val="none" w:sz="0" w:space="0" w:color="auto"/>
        <w:right w:val="none" w:sz="0" w:space="0" w:color="auto"/>
      </w:divBdr>
    </w:div>
    <w:div w:id="2104254404">
      <w:bodyDiv w:val="1"/>
      <w:marLeft w:val="0"/>
      <w:marRight w:val="0"/>
      <w:marTop w:val="0"/>
      <w:marBottom w:val="0"/>
      <w:divBdr>
        <w:top w:val="none" w:sz="0" w:space="0" w:color="auto"/>
        <w:left w:val="none" w:sz="0" w:space="0" w:color="auto"/>
        <w:bottom w:val="none" w:sz="0" w:space="0" w:color="auto"/>
        <w:right w:val="none" w:sz="0" w:space="0" w:color="auto"/>
      </w:divBdr>
    </w:div>
    <w:div w:id="2109083837">
      <w:bodyDiv w:val="1"/>
      <w:marLeft w:val="0"/>
      <w:marRight w:val="0"/>
      <w:marTop w:val="0"/>
      <w:marBottom w:val="0"/>
      <w:divBdr>
        <w:top w:val="none" w:sz="0" w:space="0" w:color="auto"/>
        <w:left w:val="none" w:sz="0" w:space="0" w:color="auto"/>
        <w:bottom w:val="none" w:sz="0" w:space="0" w:color="auto"/>
        <w:right w:val="none" w:sz="0" w:space="0" w:color="auto"/>
      </w:divBdr>
    </w:div>
    <w:div w:id="2109423667">
      <w:bodyDiv w:val="1"/>
      <w:marLeft w:val="0"/>
      <w:marRight w:val="0"/>
      <w:marTop w:val="0"/>
      <w:marBottom w:val="0"/>
      <w:divBdr>
        <w:top w:val="none" w:sz="0" w:space="0" w:color="auto"/>
        <w:left w:val="none" w:sz="0" w:space="0" w:color="auto"/>
        <w:bottom w:val="none" w:sz="0" w:space="0" w:color="auto"/>
        <w:right w:val="none" w:sz="0" w:space="0" w:color="auto"/>
      </w:divBdr>
    </w:div>
    <w:div w:id="2110732339">
      <w:bodyDiv w:val="1"/>
      <w:marLeft w:val="0"/>
      <w:marRight w:val="0"/>
      <w:marTop w:val="0"/>
      <w:marBottom w:val="0"/>
      <w:divBdr>
        <w:top w:val="none" w:sz="0" w:space="0" w:color="auto"/>
        <w:left w:val="none" w:sz="0" w:space="0" w:color="auto"/>
        <w:bottom w:val="none" w:sz="0" w:space="0" w:color="auto"/>
        <w:right w:val="none" w:sz="0" w:space="0" w:color="auto"/>
      </w:divBdr>
    </w:div>
    <w:div w:id="2121947012">
      <w:bodyDiv w:val="1"/>
      <w:marLeft w:val="0"/>
      <w:marRight w:val="0"/>
      <w:marTop w:val="0"/>
      <w:marBottom w:val="0"/>
      <w:divBdr>
        <w:top w:val="none" w:sz="0" w:space="0" w:color="auto"/>
        <w:left w:val="none" w:sz="0" w:space="0" w:color="auto"/>
        <w:bottom w:val="none" w:sz="0" w:space="0" w:color="auto"/>
        <w:right w:val="none" w:sz="0" w:space="0" w:color="auto"/>
      </w:divBdr>
    </w:div>
    <w:div w:id="2122065348">
      <w:bodyDiv w:val="1"/>
      <w:marLeft w:val="0"/>
      <w:marRight w:val="0"/>
      <w:marTop w:val="0"/>
      <w:marBottom w:val="0"/>
      <w:divBdr>
        <w:top w:val="none" w:sz="0" w:space="0" w:color="auto"/>
        <w:left w:val="none" w:sz="0" w:space="0" w:color="auto"/>
        <w:bottom w:val="none" w:sz="0" w:space="0" w:color="auto"/>
        <w:right w:val="none" w:sz="0" w:space="0" w:color="auto"/>
      </w:divBdr>
    </w:div>
    <w:div w:id="2123960324">
      <w:bodyDiv w:val="1"/>
      <w:marLeft w:val="0"/>
      <w:marRight w:val="0"/>
      <w:marTop w:val="0"/>
      <w:marBottom w:val="0"/>
      <w:divBdr>
        <w:top w:val="none" w:sz="0" w:space="0" w:color="auto"/>
        <w:left w:val="none" w:sz="0" w:space="0" w:color="auto"/>
        <w:bottom w:val="none" w:sz="0" w:space="0" w:color="auto"/>
        <w:right w:val="none" w:sz="0" w:space="0" w:color="auto"/>
      </w:divBdr>
    </w:div>
    <w:div w:id="2125223690">
      <w:bodyDiv w:val="1"/>
      <w:marLeft w:val="0"/>
      <w:marRight w:val="0"/>
      <w:marTop w:val="0"/>
      <w:marBottom w:val="0"/>
      <w:divBdr>
        <w:top w:val="none" w:sz="0" w:space="0" w:color="auto"/>
        <w:left w:val="none" w:sz="0" w:space="0" w:color="auto"/>
        <w:bottom w:val="none" w:sz="0" w:space="0" w:color="auto"/>
        <w:right w:val="none" w:sz="0" w:space="0" w:color="auto"/>
      </w:divBdr>
    </w:div>
    <w:div w:id="2135102477">
      <w:bodyDiv w:val="1"/>
      <w:marLeft w:val="0"/>
      <w:marRight w:val="0"/>
      <w:marTop w:val="0"/>
      <w:marBottom w:val="0"/>
      <w:divBdr>
        <w:top w:val="none" w:sz="0" w:space="0" w:color="auto"/>
        <w:left w:val="none" w:sz="0" w:space="0" w:color="auto"/>
        <w:bottom w:val="none" w:sz="0" w:space="0" w:color="auto"/>
        <w:right w:val="none" w:sz="0" w:space="0" w:color="auto"/>
      </w:divBdr>
    </w:div>
    <w:div w:id="2140878680">
      <w:bodyDiv w:val="1"/>
      <w:marLeft w:val="0"/>
      <w:marRight w:val="0"/>
      <w:marTop w:val="0"/>
      <w:marBottom w:val="0"/>
      <w:divBdr>
        <w:top w:val="none" w:sz="0" w:space="0" w:color="auto"/>
        <w:left w:val="none" w:sz="0" w:space="0" w:color="auto"/>
        <w:bottom w:val="none" w:sz="0" w:space="0" w:color="auto"/>
        <w:right w:val="none" w:sz="0" w:space="0" w:color="auto"/>
      </w:divBdr>
    </w:div>
    <w:div w:id="2141653659">
      <w:bodyDiv w:val="1"/>
      <w:marLeft w:val="0"/>
      <w:marRight w:val="0"/>
      <w:marTop w:val="0"/>
      <w:marBottom w:val="0"/>
      <w:divBdr>
        <w:top w:val="none" w:sz="0" w:space="0" w:color="auto"/>
        <w:left w:val="none" w:sz="0" w:space="0" w:color="auto"/>
        <w:bottom w:val="none" w:sz="0" w:space="0" w:color="auto"/>
        <w:right w:val="none" w:sz="0" w:space="0" w:color="auto"/>
      </w:divBdr>
    </w:div>
    <w:div w:id="2143961205">
      <w:bodyDiv w:val="1"/>
      <w:marLeft w:val="0"/>
      <w:marRight w:val="0"/>
      <w:marTop w:val="0"/>
      <w:marBottom w:val="0"/>
      <w:divBdr>
        <w:top w:val="none" w:sz="0" w:space="0" w:color="auto"/>
        <w:left w:val="none" w:sz="0" w:space="0" w:color="auto"/>
        <w:bottom w:val="none" w:sz="0" w:space="0" w:color="auto"/>
        <w:right w:val="none" w:sz="0" w:space="0" w:color="auto"/>
      </w:divBdr>
    </w:div>
    <w:div w:id="2144228672">
      <w:bodyDiv w:val="1"/>
      <w:marLeft w:val="0"/>
      <w:marRight w:val="0"/>
      <w:marTop w:val="0"/>
      <w:marBottom w:val="0"/>
      <w:divBdr>
        <w:top w:val="none" w:sz="0" w:space="0" w:color="auto"/>
        <w:left w:val="none" w:sz="0" w:space="0" w:color="auto"/>
        <w:bottom w:val="none" w:sz="0" w:space="0" w:color="auto"/>
        <w:right w:val="none" w:sz="0" w:space="0" w:color="auto"/>
      </w:divBdr>
    </w:div>
    <w:div w:id="214508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wmf"/><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5.w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1.wmf"/><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A6F4A-AF4C-42F6-8CE0-F38A5F3EB636}">
  <ds:schemaRefs>
    <ds:schemaRef ds:uri="http://schemas.openxmlformats.org/officeDocument/2006/bibliography"/>
  </ds:schemaRefs>
</ds:datastoreItem>
</file>

<file path=customXml/itemProps2.xml><?xml version="1.0" encoding="utf-8"?>
<ds:datastoreItem xmlns:ds="http://schemas.openxmlformats.org/officeDocument/2006/customXml" ds:itemID="{6F70E604-42F0-41AB-82AC-613915D08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92</Pages>
  <Words>27754</Words>
  <Characters>158204</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jburwen</dc:creator>
  <cp:lastModifiedBy>Kathryn E Smith</cp:lastModifiedBy>
  <cp:revision>3</cp:revision>
  <cp:lastPrinted>2012-05-29T21:24:00Z</cp:lastPrinted>
  <dcterms:created xsi:type="dcterms:W3CDTF">2012-05-30T21:11:00Z</dcterms:created>
  <dcterms:modified xsi:type="dcterms:W3CDTF">2012-05-31T19:23:00Z</dcterms:modified>
</cp:coreProperties>
</file>