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charts/chart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314" w:rsidRDefault="008B5314">
      <w:pPr>
        <w:pStyle w:val="TableFigureCaption"/>
      </w:pPr>
    </w:p>
    <w:p w:rsidR="002A6B02" w:rsidRDefault="002A6B02"/>
    <w:p w:rsidR="002A6B02" w:rsidRDefault="002A6B02" w:rsidP="00AB380F">
      <w:pPr>
        <w:tabs>
          <w:tab w:val="left" w:pos="8550"/>
        </w:tabs>
      </w:pPr>
    </w:p>
    <w:p w:rsidR="002A6B02" w:rsidRDefault="002A6B02"/>
    <w:p w:rsidR="002A6B02" w:rsidRDefault="008E540D" w:rsidP="00AB380F">
      <w:r>
        <w:rPr>
          <w:noProof/>
        </w:rPr>
        <w:pict>
          <v:shapetype id="_x0000_t202" coordsize="21600,21600" o:spt="202" path="m,l,21600r21600,l21600,xe">
            <v:stroke joinstyle="miter"/>
            <v:path gradientshapeok="t" o:connecttype="rect"/>
          </v:shapetype>
          <v:shape id="Text Box 4" o:spid="_x0000_s1026" type="#_x0000_t202" style="position:absolute;margin-left:131.3pt;margin-top:24.9pt;width:345.55pt;height:146.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eGtg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" filled="f" stroked="f">
            <v:textbox>
              <w:txbxContent>
                <w:p w:rsidR="004D6CC3" w:rsidRDefault="004D6CC3" w:rsidP="00AB380F">
                  <w:pPr>
                    <w:pStyle w:val="TitleProposal"/>
                    <w:rPr>
                      <w:rFonts w:ascii="Arial Black" w:hAnsi="Arial Black"/>
                      <w:color w:val="auto"/>
                    </w:rPr>
                  </w:pPr>
                  <w:r w:rsidRPr="003A4BA1">
                    <w:rPr>
                      <w:rFonts w:ascii="Arial Black" w:hAnsi="Arial Black"/>
                      <w:color w:val="auto"/>
                    </w:rPr>
                    <w:t xml:space="preserve">2011 </w:t>
                  </w:r>
                  <w:r>
                    <w:rPr>
                      <w:rFonts w:ascii="Arial Black" w:hAnsi="Arial Black"/>
                      <w:color w:val="auto"/>
                    </w:rPr>
                    <w:t>Statewide Evaluation of California Aggregator Demand Response Programs</w:t>
                  </w:r>
                </w:p>
                <w:p w:rsidR="004D6CC3" w:rsidRDefault="004D6CC3" w:rsidP="00AB380F">
                  <w:pPr>
                    <w:pStyle w:val="TitleProposal"/>
                    <w:rPr>
                      <w:rFonts w:ascii="Arial Black" w:hAnsi="Arial Black"/>
                      <w:color w:val="auto"/>
                    </w:rPr>
                  </w:pPr>
                  <w:r>
                    <w:rPr>
                      <w:rFonts w:ascii="Arial Black" w:hAnsi="Arial Black"/>
                      <w:color w:val="auto"/>
                    </w:rPr>
                    <w:t>Volume II: Baseline Calculation Rules and Accuracy</w:t>
                  </w:r>
                </w:p>
                <w:p w:rsidR="004D6CC3" w:rsidRPr="00657C27" w:rsidRDefault="004D6CC3" w:rsidP="00D42F67">
                  <w:pPr>
                    <w:pStyle w:val="TitleProposal"/>
                    <w:rPr>
                      <w:rFonts w:ascii="Arial Black" w:hAnsi="Arial Black"/>
                      <w:i/>
                      <w:color w:val="auto"/>
                    </w:rPr>
                  </w:pPr>
                </w:p>
              </w:txbxContent>
            </v:textbox>
          </v:shape>
        </w:pict>
      </w:r>
      <w:r w:rsidR="008B5314">
        <w:rPr>
          <w:noProof/>
        </w:rPr>
        <w:drawing>
          <wp:anchor distT="0" distB="0" distL="114300" distR="114300" simplePos="0" relativeHeight="251689984" behindDoc="1" locked="0" layoutInCell="1" allowOverlap="1">
            <wp:simplePos x="0" y="0"/>
            <wp:positionH relativeFrom="column">
              <wp:posOffset>-583037</wp:posOffset>
            </wp:positionH>
            <wp:positionV relativeFrom="paragraph">
              <wp:posOffset>201724</wp:posOffset>
            </wp:positionV>
            <wp:extent cx="1769843" cy="5537916"/>
            <wp:effectExtent l="19050" t="0" r="1807" b="0"/>
            <wp:wrapNone/>
            <wp:docPr id="6" name="Picture 8" descr="C:\Users\mrohde\AppData\Local\Temp\SNAGHTML967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ohde\AppData\Local\Temp\SNAGHTML967438.PNG"/>
                    <pic:cNvPicPr>
                      <a:picLocks noChangeAspect="1" noChangeArrowheads="1"/>
                    </pic:cNvPicPr>
                  </pic:nvPicPr>
                  <pic:blipFill>
                    <a:blip r:embed="rId10" cstate="print"/>
                    <a:srcRect/>
                    <a:stretch>
                      <a:fillRect/>
                    </a:stretch>
                  </pic:blipFill>
                  <pic:spPr bwMode="auto">
                    <a:xfrm>
                      <a:off x="0" y="0"/>
                      <a:ext cx="1769843" cy="5537916"/>
                    </a:xfrm>
                    <a:prstGeom prst="rect">
                      <a:avLst/>
                    </a:prstGeom>
                    <a:noFill/>
                    <a:ln w="9525">
                      <a:noFill/>
                      <a:miter lim="800000"/>
                      <a:headEnd/>
                      <a:tailEnd/>
                    </a:ln>
                  </pic:spPr>
                </pic:pic>
              </a:graphicData>
            </a:graphic>
          </wp:anchor>
        </w:drawing>
      </w:r>
    </w:p>
    <w:p w:rsidR="002A6B02" w:rsidRDefault="002A6B02"/>
    <w:p w:rsidR="002A6B02" w:rsidRDefault="002A6B02"/>
    <w:p w:rsidR="002A6B02" w:rsidRDefault="002A6B02"/>
    <w:p w:rsidR="002A6B02" w:rsidRDefault="002A6B02"/>
    <w:p w:rsidR="002A6B02" w:rsidRDefault="002A6B02"/>
    <w:p w:rsidR="002A6B02" w:rsidRDefault="002A6B02"/>
    <w:p w:rsidR="002A6B02" w:rsidRDefault="008E540D">
      <w:r>
        <w:rPr>
          <w:noProof/>
        </w:rPr>
        <w:pict>
          <v:shape id="Text Box 6" o:spid="_x0000_s1027" type="#_x0000_t202" style="position:absolute;margin-left:131.3pt;margin-top:14.55pt;width:316.65pt;height:33.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UJugIAAME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" filled="f" stroked="f">
            <v:textbox>
              <w:txbxContent>
                <w:p w:rsidR="004D6CC3" w:rsidRPr="003A4BA1" w:rsidRDefault="004D6CC3" w:rsidP="00AB380F">
                  <w:pPr>
                    <w:pStyle w:val="TitleProposal"/>
                    <w:rPr>
                      <w:b w:val="0"/>
                      <w:color w:val="auto"/>
                      <w:sz w:val="24"/>
                      <w:szCs w:val="24"/>
                    </w:rPr>
                  </w:pPr>
                  <w:r>
                    <w:rPr>
                      <w:b w:val="0"/>
                      <w:color w:val="auto"/>
                      <w:sz w:val="24"/>
                      <w:szCs w:val="24"/>
                    </w:rPr>
                    <w:t>June 1, 2012</w:t>
                  </w:r>
                </w:p>
              </w:txbxContent>
            </v:textbox>
          </v:shape>
        </w:pict>
      </w:r>
    </w:p>
    <w:p w:rsidR="002A6B02" w:rsidRDefault="002A6B02"/>
    <w:p w:rsidR="00CF7B44" w:rsidRDefault="008E540D">
      <w:r>
        <w:rPr>
          <w:noProof/>
        </w:rPr>
        <w:pict>
          <v:shape id="Text Box 5" o:spid="_x0000_s1028" type="#_x0000_t202" style="position:absolute;margin-left:130pt;margin-top:11.05pt;width:222.15pt;height:69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CpugIAAME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" filled="f" stroked="f">
            <v:textbox>
              <w:txbxContent>
                <w:p w:rsidR="004D6CC3" w:rsidRDefault="004D6CC3">
                  <w:pPr>
                    <w:pStyle w:val="PreparedForCompany"/>
                    <w:jc w:val="left"/>
                    <w:rPr>
                      <w:rFonts w:cs="Arial"/>
                      <w:sz w:val="24"/>
                    </w:rPr>
                  </w:pPr>
                  <w:r w:rsidRPr="003A4BA1">
                    <w:rPr>
                      <w:rFonts w:cs="Arial"/>
                      <w:sz w:val="24"/>
                    </w:rPr>
                    <w:t>Prepared for:</w:t>
                  </w:r>
                </w:p>
                <w:p w:rsidR="004D6CC3" w:rsidRPr="003A4BA1" w:rsidRDefault="004D6CC3" w:rsidP="00AB380F">
                  <w:pPr>
                    <w:pStyle w:val="PreparedForCompany"/>
                    <w:jc w:val="left"/>
                    <w:rPr>
                      <w:rFonts w:cs="Arial"/>
                      <w:sz w:val="24"/>
                    </w:rPr>
                  </w:pPr>
                  <w:r>
                    <w:rPr>
                      <w:rFonts w:cs="Arial"/>
                      <w:sz w:val="24"/>
                    </w:rPr>
                    <w:t>Pacific Gas and Electric Company</w:t>
                  </w:r>
                </w:p>
                <w:p w:rsidR="004D6CC3" w:rsidRPr="00D42F67" w:rsidRDefault="004D6CC3" w:rsidP="00AB380F">
                  <w:pPr>
                    <w:pStyle w:val="PreparedForCompany"/>
                    <w:jc w:val="left"/>
                    <w:rPr>
                      <w:rFonts w:cs="Arial"/>
                      <w:sz w:val="24"/>
                    </w:rPr>
                  </w:pPr>
                  <w:r w:rsidRPr="00464E41">
                    <w:rPr>
                      <w:rFonts w:cs="Arial"/>
                      <w:sz w:val="24"/>
                    </w:rPr>
                    <w:t>Southern California Edison</w:t>
                  </w:r>
                </w:p>
                <w:p w:rsidR="004D6CC3" w:rsidRPr="00D42F67" w:rsidRDefault="004D6CC3" w:rsidP="00AB380F">
                  <w:pPr>
                    <w:pStyle w:val="PreparedForCompany"/>
                    <w:jc w:val="left"/>
                    <w:rPr>
                      <w:rFonts w:cs="Arial"/>
                      <w:sz w:val="24"/>
                    </w:rPr>
                  </w:pPr>
                  <w:r w:rsidRPr="00464E41">
                    <w:rPr>
                      <w:rFonts w:cs="Arial"/>
                      <w:sz w:val="24"/>
                    </w:rPr>
                    <w:t>San Diego Gas &amp; Electric</w:t>
                  </w:r>
                </w:p>
                <w:p w:rsidR="004D6CC3" w:rsidRDefault="004D6CC3" w:rsidP="00AB380F">
                  <w:pPr>
                    <w:pStyle w:val="PreparedForCompany"/>
                    <w:jc w:val="left"/>
                    <w:rPr>
                      <w:rFonts w:ascii="TitilliumText22L Rg" w:hAnsi="TitilliumText22L Rg"/>
                      <w:sz w:val="28"/>
                      <w:szCs w:val="28"/>
                    </w:rPr>
                  </w:pPr>
                </w:p>
                <w:p w:rsidR="004D6CC3" w:rsidRPr="000B2255" w:rsidRDefault="004D6CC3" w:rsidP="00AB380F">
                  <w:pPr>
                    <w:pStyle w:val="PreparedForCompany"/>
                    <w:jc w:val="left"/>
                    <w:rPr>
                      <w:rFonts w:ascii="TitilliumText22L Rg" w:hAnsi="TitilliumText22L Rg"/>
                      <w:sz w:val="28"/>
                      <w:szCs w:val="28"/>
                    </w:rPr>
                  </w:pPr>
                </w:p>
              </w:txbxContent>
            </v:textbox>
          </v:shape>
        </w:pict>
      </w:r>
    </w:p>
    <w:p w:rsidR="002A6B02" w:rsidRDefault="002A6B02"/>
    <w:p w:rsidR="0084569F" w:rsidRDefault="0084569F" w:rsidP="00305437">
      <w:pPr>
        <w:pStyle w:val="PreparedFor"/>
      </w:pPr>
    </w:p>
    <w:p w:rsidR="0084569F" w:rsidRDefault="008E540D" w:rsidP="00305437">
      <w:pPr>
        <w:pStyle w:val="PreparedFor"/>
      </w:pPr>
      <w:r>
        <w:rPr>
          <w:noProof/>
        </w:rPr>
        <w:pict>
          <v:shape id="Text Box 7" o:spid="_x0000_s1029" type="#_x0000_t202" style="position:absolute;left:0;text-align:left;margin-left:130pt;margin-top:2.05pt;width:163.3pt;height:61.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CWugIAAME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" filled="f" stroked="f">
            <v:textbox>
              <w:txbxContent>
                <w:p w:rsidR="004D6CC3" w:rsidRDefault="004D6CC3" w:rsidP="00AB380F">
                  <w:pPr>
                    <w:pStyle w:val="PreparedForCompany"/>
                    <w:jc w:val="left"/>
                    <w:rPr>
                      <w:rFonts w:cs="Arial"/>
                      <w:i/>
                      <w:sz w:val="24"/>
                    </w:rPr>
                  </w:pPr>
                  <w:r w:rsidRPr="003A4BA1">
                    <w:rPr>
                      <w:rFonts w:cs="Arial"/>
                      <w:i/>
                      <w:sz w:val="24"/>
                    </w:rPr>
                    <w:t>Prepared by:</w:t>
                  </w:r>
                </w:p>
                <w:p w:rsidR="004D6CC3" w:rsidRPr="00D42F67" w:rsidRDefault="004D6CC3" w:rsidP="00AB380F">
                  <w:pPr>
                    <w:pStyle w:val="PreparedForCompany"/>
                    <w:jc w:val="left"/>
                    <w:rPr>
                      <w:rFonts w:cs="Arial"/>
                      <w:sz w:val="24"/>
                    </w:rPr>
                  </w:pPr>
                  <w:r w:rsidRPr="00464E41">
                    <w:rPr>
                      <w:rFonts w:cs="Arial"/>
                      <w:sz w:val="24"/>
                    </w:rPr>
                    <w:t>Stephen George, PhD.</w:t>
                  </w:r>
                </w:p>
                <w:p w:rsidR="004D6CC3" w:rsidRDefault="004D6CC3" w:rsidP="00AB380F">
                  <w:pPr>
                    <w:pStyle w:val="PreparedForCompany"/>
                    <w:jc w:val="left"/>
                    <w:rPr>
                      <w:rFonts w:cs="Arial"/>
                      <w:sz w:val="24"/>
                    </w:rPr>
                  </w:pPr>
                  <w:r>
                    <w:rPr>
                      <w:rFonts w:cs="Arial"/>
                      <w:sz w:val="24"/>
                    </w:rPr>
                    <w:t>Josh Bode, MPP</w:t>
                  </w:r>
                </w:p>
                <w:p w:rsidR="004D6CC3" w:rsidRPr="003A4BA1" w:rsidRDefault="004D6CC3" w:rsidP="00AB380F">
                  <w:pPr>
                    <w:pStyle w:val="PreparedForCompany"/>
                    <w:jc w:val="left"/>
                    <w:rPr>
                      <w:rFonts w:cs="Arial"/>
                      <w:sz w:val="24"/>
                    </w:rPr>
                  </w:pPr>
                  <w:r>
                    <w:rPr>
                      <w:rFonts w:cs="Arial"/>
                      <w:sz w:val="24"/>
                    </w:rPr>
                    <w:t>Dries Berghman, MPP</w:t>
                  </w:r>
                </w:p>
                <w:p w:rsidR="004D6CC3" w:rsidRPr="00657C27" w:rsidRDefault="004D6CC3" w:rsidP="00F123C2">
                  <w:pPr>
                    <w:pStyle w:val="PreparedForCompany"/>
                    <w:jc w:val="left"/>
                    <w:rPr>
                      <w:rFonts w:cs="Arial"/>
                      <w:sz w:val="24"/>
                    </w:rPr>
                  </w:pPr>
                </w:p>
              </w:txbxContent>
            </v:textbox>
          </v:shape>
        </w:pict>
      </w:r>
    </w:p>
    <w:p w:rsidR="002A6B02" w:rsidRDefault="002A6B02" w:rsidP="00305437">
      <w:pPr>
        <w:pStyle w:val="PreparedForCompany"/>
      </w:pPr>
    </w:p>
    <w:p w:rsidR="00AB380F" w:rsidRPr="00ED253C" w:rsidRDefault="00AB380F" w:rsidP="00AB380F">
      <w:pPr>
        <w:pStyle w:val="PreparedForCompany"/>
        <w:jc w:val="left"/>
      </w:pPr>
    </w:p>
    <w:p w:rsidR="002A6B02" w:rsidRDefault="008E540D" w:rsidP="00AB380F">
      <w:pPr>
        <w:spacing w:before="240"/>
        <w:ind w:left="-990"/>
        <w:rPr>
          <w:b/>
          <w:color w:val="433B67"/>
          <w:sz w:val="28"/>
          <w:szCs w:val="28"/>
        </w:rPr>
        <w:sectPr w:rsidR="002A6B02" w:rsidSect="00DB35F9">
          <w:headerReference w:type="default" r:id="rId11"/>
          <w:footerReference w:type="default" r:id="rId12"/>
          <w:headerReference w:type="first" r:id="rId13"/>
          <w:footerReference w:type="first" r:id="rId14"/>
          <w:pgSz w:w="12240" w:h="15840"/>
          <w:pgMar w:top="1440" w:right="1800" w:bottom="1440" w:left="1800" w:header="720" w:footer="720" w:gutter="0"/>
          <w:pgNumType w:fmt="lowerRoman" w:start="1"/>
          <w:cols w:space="720"/>
          <w:titlePg/>
          <w:docGrid w:linePitch="360"/>
        </w:sectPr>
      </w:pPr>
      <w:r w:rsidRPr="008E540D">
        <w:rPr>
          <w:noProof/>
        </w:rPr>
        <w:pict>
          <v:shape id="Text Box 26" o:spid="_x0000_s1036" type="#_x0000_t202" style="position:absolute;left:0;text-align:left;margin-left:293.3pt;margin-top:185.05pt;width:194.05pt;height:20.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" stroked="f">
            <v:textbox>
              <w:txbxContent>
                <w:p w:rsidR="004D6CC3" w:rsidRPr="00593DA5" w:rsidRDefault="004D6CC3" w:rsidP="004D6CC3">
                  <w:pPr>
                    <w:pStyle w:val="PreparedForCompany"/>
                    <w:jc w:val="left"/>
                    <w:rPr>
                      <w:rFonts w:ascii="TitilliumText22L Rg" w:hAnsi="TitilliumText22L Rg"/>
                      <w:sz w:val="24"/>
                    </w:rPr>
                  </w:pPr>
                  <w:r w:rsidRPr="00EA029C">
                    <w:rPr>
                      <w:rFonts w:ascii="TitilliumText22L Rg" w:hAnsi="TitilliumText22L Rg"/>
                      <w:sz w:val="24"/>
                      <w:highlight w:val="yellow"/>
                    </w:rPr>
                    <w:t>CALMAC ID: SDG</w:t>
                  </w:r>
                  <w:r>
                    <w:rPr>
                      <w:rFonts w:ascii="TitilliumText22L Rg" w:hAnsi="TitilliumText22L Rg"/>
                      <w:sz w:val="24"/>
                    </w:rPr>
                    <w:t>XXXX</w:t>
                  </w:r>
                </w:p>
              </w:txbxContent>
            </v:textbox>
          </v:shape>
        </w:pict>
      </w:r>
      <w:r w:rsidRPr="008E540D">
        <w:rPr>
          <w:noProof/>
        </w:rPr>
        <w:pict>
          <v:shape id="Text Box 8" o:spid="_x0000_s1030" type="#_x0000_t202" style="position:absolute;left:0;text-align:left;margin-left:129.95pt;margin-top:27.15pt;width:191.15pt;height:86.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E9uw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" filled="f" stroked="f">
            <v:textbox>
              <w:txbxContent>
                <w:p w:rsidR="004D6CC3" w:rsidRPr="003A4BA1" w:rsidRDefault="004D6CC3" w:rsidP="00D04A27">
                  <w:pPr>
                    <w:pStyle w:val="TitleAddress"/>
                    <w:tabs>
                      <w:tab w:val="clear" w:pos="3960"/>
                    </w:tabs>
                    <w:rPr>
                      <w:b w:val="0"/>
                      <w:color w:val="auto"/>
                      <w:sz w:val="24"/>
                      <w:szCs w:val="24"/>
                    </w:rPr>
                  </w:pPr>
                  <w:r w:rsidRPr="003A4BA1">
                    <w:rPr>
                      <w:b w:val="0"/>
                      <w:color w:val="auto"/>
                      <w:sz w:val="24"/>
                      <w:szCs w:val="24"/>
                    </w:rPr>
                    <w:t xml:space="preserve">Freeman, Sullivan &amp; Co.  </w:t>
                  </w:r>
                  <w:r w:rsidRPr="003A4BA1">
                    <w:rPr>
                      <w:b w:val="0"/>
                      <w:color w:val="auto"/>
                      <w:sz w:val="24"/>
                      <w:szCs w:val="24"/>
                    </w:rPr>
                    <w:br/>
                    <w:t>101 Montgomery St., 15th Floor</w:t>
                  </w:r>
                  <w:r w:rsidRPr="003A4BA1">
                    <w:rPr>
                      <w:b w:val="0"/>
                      <w:color w:val="auto"/>
                      <w:sz w:val="24"/>
                      <w:szCs w:val="24"/>
                    </w:rPr>
                    <w:br/>
                    <w:t>San Francisco, CA  94104</w:t>
                  </w:r>
                  <w:r w:rsidRPr="003A4BA1">
                    <w:rPr>
                      <w:b w:val="0"/>
                      <w:color w:val="auto"/>
                      <w:sz w:val="24"/>
                      <w:szCs w:val="24"/>
                    </w:rPr>
                    <w:br/>
                    <w:t>fscgroup.com</w:t>
                  </w:r>
                </w:p>
                <w:p w:rsidR="004D6CC3" w:rsidRPr="000D67D1" w:rsidRDefault="004D6CC3" w:rsidP="00AB380F">
                  <w:pPr>
                    <w:pStyle w:val="TitleAddress"/>
                  </w:pPr>
                  <w:r w:rsidRPr="000D67D1">
                    <w:tab/>
                  </w:r>
                </w:p>
              </w:txbxContent>
            </v:textbox>
          </v:shape>
        </w:pict>
      </w:r>
      <w:r w:rsidRPr="008E540D">
        <w:rPr>
          <w:noProof/>
        </w:rPr>
        <w:pict>
          <v:shape id="Text Box 9" o:spid="_x0000_s1031" type="#_x0000_t202" style="position:absolute;left:0;text-align:left;margin-left:-13.1pt;margin-top:180.6pt;width:144.4pt;height:24.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" filled="f" stroked="f">
            <v:textbox>
              <w:txbxContent>
                <w:p w:rsidR="004D6CC3" w:rsidRPr="003A4BA1" w:rsidRDefault="004D6CC3" w:rsidP="00AB380F">
                  <w:pPr>
                    <w:pStyle w:val="TitleProposal"/>
                    <w:rPr>
                      <w:rFonts w:ascii="Arial Black" w:hAnsi="Arial Black"/>
                      <w:color w:val="auto"/>
                    </w:rPr>
                  </w:pPr>
                  <w:r w:rsidRPr="003A4BA1">
                    <w:rPr>
                      <w:rFonts w:ascii="Arial Black" w:hAnsi="Arial Black"/>
                      <w:color w:val="auto"/>
                    </w:rPr>
                    <w:t>The FSC Group</w:t>
                  </w:r>
                </w:p>
                <w:p w:rsidR="004D6CC3" w:rsidRPr="000D67D1" w:rsidRDefault="004D6CC3" w:rsidP="00AB380F">
                  <w:pPr>
                    <w:pStyle w:val="TitleProposal"/>
                  </w:pPr>
                </w:p>
              </w:txbxContent>
            </v:textbox>
          </v:shape>
        </w:pict>
      </w:r>
      <w:r>
        <w:rPr>
          <w:b/>
          <w:noProof/>
          <w:color w:val="433B67"/>
          <w:sz w:val="28"/>
          <w:szCs w:val="28"/>
        </w:rPr>
        <w:pict>
          <v:shapetype id="_x0000_t32" coordsize="21600,21600" o:spt="32" o:oned="t" path="m,l21600,21600e" filled="f">
            <v:path arrowok="t" fillok="f" o:connecttype="none"/>
            <o:lock v:ext="edit" shapetype="t"/>
          </v:shapetype>
          <v:shape id="AutoShape 11" o:spid="_x0000_s1034" type="#_x0000_t32" style="position:absolute;left:0;text-align:left;margin-left:-95.4pt;margin-top:208.3pt;width:644.25pt;height:.0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" strokecolor="black [3213]" strokeweight="1pt"/>
        </w:pict>
      </w:r>
      <w:r>
        <w:rPr>
          <w:b/>
          <w:noProof/>
          <w:color w:val="433B67"/>
          <w:sz w:val="28"/>
          <w:szCs w:val="28"/>
        </w:rPr>
        <w:pict>
          <v:shape id="AutoShape 10" o:spid="_x0000_s1033" type="#_x0000_t32" style="position:absolute;left:0;text-align:left;margin-left:-107.4pt;margin-top:207.1pt;width:644.25pt;height:.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" strokecolor="#433b67" strokeweight="2pt"/>
        </w:pict>
      </w:r>
    </w:p>
    <w:sdt>
      <w:sdtPr>
        <w:rPr>
          <w:rFonts w:asciiTheme="minorHAnsi" w:eastAsiaTheme="minorHAnsi" w:hAnsiTheme="minorHAnsi" w:cstheme="minorBidi"/>
          <w:b w:val="0"/>
          <w:noProof/>
          <w:color w:val="auto"/>
          <w:sz w:val="22"/>
          <w:szCs w:val="22"/>
        </w:rPr>
        <w:id w:val="1780305"/>
        <w:docPartObj>
          <w:docPartGallery w:val="Table of Contents"/>
          <w:docPartUnique/>
        </w:docPartObj>
      </w:sdtPr>
      <w:sdtEndPr>
        <w:rPr>
          <w:rFonts w:eastAsiaTheme="minorEastAsia"/>
          <w:noProof w:val="0"/>
        </w:rPr>
      </w:sdtEndPr>
      <w:sdtContent>
        <w:p w:rsidR="001A71A9" w:rsidRDefault="00464E41" w:rsidP="00DB35F9">
          <w:pPr>
            <w:pStyle w:val="TableofContents"/>
            <w:ind w:left="0"/>
          </w:pPr>
          <w:r w:rsidRPr="00464E41">
            <w:rPr>
              <w:rFonts w:ascii="Arial Black" w:hAnsi="Arial Black"/>
            </w:rPr>
            <w:t>Table of Contents</w:t>
          </w:r>
        </w:p>
        <w:p w:rsidR="00FB7104" w:rsidRDefault="008E540D">
          <w:pPr>
            <w:pStyle w:val="TOC1"/>
            <w:rPr>
              <w:rFonts w:asciiTheme="minorHAnsi" w:hAnsiTheme="minorHAnsi" w:cstheme="minorBidi"/>
              <w:sz w:val="22"/>
              <w:szCs w:val="22"/>
            </w:rPr>
          </w:pPr>
          <w:r w:rsidRPr="008E540D">
            <w:rPr>
              <w:rFonts w:eastAsiaTheme="minorHAnsi"/>
            </w:rPr>
            <w:fldChar w:fldCharType="begin"/>
          </w:r>
          <w:r w:rsidR="006717E3">
            <w:instrText xml:space="preserve"> TOC \o "1-3" \h \z \t "Appendix Heading 1,2,Appendix Heading 2,3,Appendix Heading 3,4" </w:instrText>
          </w:r>
          <w:r w:rsidRPr="008E540D">
            <w:rPr>
              <w:rFonts w:eastAsiaTheme="minorHAnsi"/>
            </w:rPr>
            <w:fldChar w:fldCharType="separate"/>
          </w:r>
          <w:hyperlink w:anchor="_Toc326150789" w:history="1">
            <w:r w:rsidR="00FB7104" w:rsidRPr="00F57863">
              <w:rPr>
                <w:rStyle w:val="Hyperlink"/>
              </w:rPr>
              <w:t>Executive Summary</w:t>
            </w:r>
            <w:r w:rsidR="00FB7104">
              <w:rPr>
                <w:webHidden/>
              </w:rPr>
              <w:tab/>
            </w:r>
            <w:r w:rsidR="00FB7104">
              <w:rPr>
                <w:webHidden/>
              </w:rPr>
              <w:fldChar w:fldCharType="begin"/>
            </w:r>
            <w:r w:rsidR="00FB7104">
              <w:rPr>
                <w:webHidden/>
              </w:rPr>
              <w:instrText xml:space="preserve"> PAGEREF _Toc326150789 \h </w:instrText>
            </w:r>
            <w:r w:rsidR="00FB7104">
              <w:rPr>
                <w:webHidden/>
              </w:rPr>
            </w:r>
            <w:r w:rsidR="00FB7104">
              <w:rPr>
                <w:webHidden/>
              </w:rPr>
              <w:fldChar w:fldCharType="separate"/>
            </w:r>
            <w:r w:rsidR="00FB7104">
              <w:rPr>
                <w:webHidden/>
              </w:rPr>
              <w:t>1</w:t>
            </w:r>
            <w:r w:rsidR="00FB7104">
              <w:rPr>
                <w:webHidden/>
              </w:rPr>
              <w:fldChar w:fldCharType="end"/>
            </w:r>
          </w:hyperlink>
        </w:p>
        <w:p w:rsidR="00FB7104" w:rsidRDefault="00FB7104">
          <w:pPr>
            <w:pStyle w:val="TOC1"/>
            <w:rPr>
              <w:rFonts w:asciiTheme="minorHAnsi" w:hAnsiTheme="minorHAnsi" w:cstheme="minorBidi"/>
              <w:sz w:val="22"/>
              <w:szCs w:val="22"/>
            </w:rPr>
          </w:pPr>
          <w:hyperlink w:anchor="_Toc326150790" w:history="1">
            <w:r w:rsidRPr="00F57863">
              <w:rPr>
                <w:rStyle w:val="Hyperlink"/>
              </w:rPr>
              <w:t>1</w:t>
            </w:r>
            <w:r>
              <w:rPr>
                <w:rFonts w:asciiTheme="minorHAnsi" w:hAnsiTheme="minorHAnsi" w:cstheme="minorBidi"/>
                <w:sz w:val="22"/>
                <w:szCs w:val="22"/>
              </w:rPr>
              <w:tab/>
            </w:r>
            <w:r w:rsidRPr="00F57863">
              <w:rPr>
                <w:rStyle w:val="Hyperlink"/>
              </w:rPr>
              <w:t>Introduction and Purpose of Study</w:t>
            </w:r>
            <w:r>
              <w:rPr>
                <w:webHidden/>
              </w:rPr>
              <w:tab/>
            </w:r>
            <w:r>
              <w:rPr>
                <w:webHidden/>
              </w:rPr>
              <w:fldChar w:fldCharType="begin"/>
            </w:r>
            <w:r>
              <w:rPr>
                <w:webHidden/>
              </w:rPr>
              <w:instrText xml:space="preserve"> PAGEREF _Toc326150790 \h </w:instrText>
            </w:r>
            <w:r>
              <w:rPr>
                <w:webHidden/>
              </w:rPr>
            </w:r>
            <w:r>
              <w:rPr>
                <w:webHidden/>
              </w:rPr>
              <w:fldChar w:fldCharType="separate"/>
            </w:r>
            <w:r>
              <w:rPr>
                <w:webHidden/>
              </w:rPr>
              <w:t>3</w:t>
            </w:r>
            <w:r>
              <w:rPr>
                <w:webHidden/>
              </w:rPr>
              <w:fldChar w:fldCharType="end"/>
            </w:r>
          </w:hyperlink>
        </w:p>
        <w:p w:rsidR="00FB7104" w:rsidRDefault="00FB7104">
          <w:pPr>
            <w:pStyle w:val="TOC2"/>
            <w:rPr>
              <w:rFonts w:asciiTheme="minorHAnsi" w:hAnsiTheme="minorHAnsi" w:cstheme="minorBidi"/>
              <w:sz w:val="22"/>
              <w:szCs w:val="22"/>
            </w:rPr>
          </w:pPr>
          <w:hyperlink w:anchor="_Toc326150791" w:history="1">
            <w:r w:rsidRPr="00F57863">
              <w:rPr>
                <w:rStyle w:val="Hyperlink"/>
              </w:rPr>
              <w:t>1.1</w:t>
            </w:r>
            <w:r>
              <w:rPr>
                <w:rFonts w:asciiTheme="minorHAnsi" w:hAnsiTheme="minorHAnsi" w:cstheme="minorBidi"/>
                <w:sz w:val="22"/>
                <w:szCs w:val="22"/>
              </w:rPr>
              <w:tab/>
            </w:r>
            <w:r w:rsidRPr="00F57863">
              <w:rPr>
                <w:rStyle w:val="Hyperlink"/>
              </w:rPr>
              <w:t>Introduction to Baselines</w:t>
            </w:r>
            <w:r>
              <w:rPr>
                <w:webHidden/>
              </w:rPr>
              <w:tab/>
            </w:r>
            <w:r>
              <w:rPr>
                <w:webHidden/>
              </w:rPr>
              <w:fldChar w:fldCharType="begin"/>
            </w:r>
            <w:r>
              <w:rPr>
                <w:webHidden/>
              </w:rPr>
              <w:instrText xml:space="preserve"> PAGEREF _Toc326150791 \h </w:instrText>
            </w:r>
            <w:r>
              <w:rPr>
                <w:webHidden/>
              </w:rPr>
            </w:r>
            <w:r>
              <w:rPr>
                <w:webHidden/>
              </w:rPr>
              <w:fldChar w:fldCharType="separate"/>
            </w:r>
            <w:r>
              <w:rPr>
                <w:webHidden/>
              </w:rPr>
              <w:t>3</w:t>
            </w:r>
            <w:r>
              <w:rPr>
                <w:webHidden/>
              </w:rPr>
              <w:fldChar w:fldCharType="end"/>
            </w:r>
          </w:hyperlink>
        </w:p>
        <w:p w:rsidR="00FB7104" w:rsidRDefault="00FB7104">
          <w:pPr>
            <w:pStyle w:val="TOC2"/>
            <w:rPr>
              <w:rFonts w:asciiTheme="minorHAnsi" w:hAnsiTheme="minorHAnsi" w:cstheme="minorBidi"/>
              <w:sz w:val="22"/>
              <w:szCs w:val="22"/>
            </w:rPr>
          </w:pPr>
          <w:hyperlink w:anchor="_Toc326150792" w:history="1">
            <w:r w:rsidRPr="00F57863">
              <w:rPr>
                <w:rStyle w:val="Hyperlink"/>
              </w:rPr>
              <w:t>1.2</w:t>
            </w:r>
            <w:r>
              <w:rPr>
                <w:rFonts w:asciiTheme="minorHAnsi" w:hAnsiTheme="minorHAnsi" w:cstheme="minorBidi"/>
                <w:sz w:val="22"/>
                <w:szCs w:val="22"/>
              </w:rPr>
              <w:tab/>
            </w:r>
            <w:r w:rsidRPr="00F57863">
              <w:rPr>
                <w:rStyle w:val="Hyperlink"/>
              </w:rPr>
              <w:t>Current Baseline Rules</w:t>
            </w:r>
            <w:r>
              <w:rPr>
                <w:webHidden/>
              </w:rPr>
              <w:tab/>
            </w:r>
            <w:r>
              <w:rPr>
                <w:webHidden/>
              </w:rPr>
              <w:fldChar w:fldCharType="begin"/>
            </w:r>
            <w:r>
              <w:rPr>
                <w:webHidden/>
              </w:rPr>
              <w:instrText xml:space="preserve"> PAGEREF _Toc326150792 \h </w:instrText>
            </w:r>
            <w:r>
              <w:rPr>
                <w:webHidden/>
              </w:rPr>
            </w:r>
            <w:r>
              <w:rPr>
                <w:webHidden/>
              </w:rPr>
              <w:fldChar w:fldCharType="separate"/>
            </w:r>
            <w:r>
              <w:rPr>
                <w:webHidden/>
              </w:rPr>
              <w:t>5</w:t>
            </w:r>
            <w:r>
              <w:rPr>
                <w:webHidden/>
              </w:rPr>
              <w:fldChar w:fldCharType="end"/>
            </w:r>
          </w:hyperlink>
        </w:p>
        <w:p w:rsidR="00FB7104" w:rsidRDefault="00FB7104">
          <w:pPr>
            <w:pStyle w:val="TOC2"/>
            <w:rPr>
              <w:rFonts w:asciiTheme="minorHAnsi" w:hAnsiTheme="minorHAnsi" w:cstheme="minorBidi"/>
              <w:sz w:val="22"/>
              <w:szCs w:val="22"/>
            </w:rPr>
          </w:pPr>
          <w:hyperlink w:anchor="_Toc326150793" w:history="1">
            <w:r w:rsidRPr="00F57863">
              <w:rPr>
                <w:rStyle w:val="Hyperlink"/>
              </w:rPr>
              <w:t>1.3</w:t>
            </w:r>
            <w:r>
              <w:rPr>
                <w:rFonts w:asciiTheme="minorHAnsi" w:hAnsiTheme="minorHAnsi" w:cstheme="minorBidi"/>
                <w:sz w:val="22"/>
                <w:szCs w:val="22"/>
              </w:rPr>
              <w:tab/>
            </w:r>
            <w:r w:rsidRPr="00F57863">
              <w:rPr>
                <w:rStyle w:val="Hyperlink"/>
              </w:rPr>
              <w:t>Baseline Variations Studied</w:t>
            </w:r>
            <w:r>
              <w:rPr>
                <w:webHidden/>
              </w:rPr>
              <w:tab/>
            </w:r>
            <w:r>
              <w:rPr>
                <w:webHidden/>
              </w:rPr>
              <w:fldChar w:fldCharType="begin"/>
            </w:r>
            <w:r>
              <w:rPr>
                <w:webHidden/>
              </w:rPr>
              <w:instrText xml:space="preserve"> PAGEREF _Toc326150793 \h </w:instrText>
            </w:r>
            <w:r>
              <w:rPr>
                <w:webHidden/>
              </w:rPr>
            </w:r>
            <w:r>
              <w:rPr>
                <w:webHidden/>
              </w:rPr>
              <w:fldChar w:fldCharType="separate"/>
            </w:r>
            <w:r>
              <w:rPr>
                <w:webHidden/>
              </w:rPr>
              <w:t>6</w:t>
            </w:r>
            <w:r>
              <w:rPr>
                <w:webHidden/>
              </w:rPr>
              <w:fldChar w:fldCharType="end"/>
            </w:r>
          </w:hyperlink>
        </w:p>
        <w:p w:rsidR="00FB7104" w:rsidRDefault="00FB7104">
          <w:pPr>
            <w:pStyle w:val="TOC2"/>
            <w:rPr>
              <w:rFonts w:asciiTheme="minorHAnsi" w:hAnsiTheme="minorHAnsi" w:cstheme="minorBidi"/>
              <w:sz w:val="22"/>
              <w:szCs w:val="22"/>
            </w:rPr>
          </w:pPr>
          <w:hyperlink w:anchor="_Toc326150794" w:history="1">
            <w:r w:rsidRPr="00F57863">
              <w:rPr>
                <w:rStyle w:val="Hyperlink"/>
              </w:rPr>
              <w:t>1.4</w:t>
            </w:r>
            <w:r>
              <w:rPr>
                <w:rFonts w:asciiTheme="minorHAnsi" w:hAnsiTheme="minorHAnsi" w:cstheme="minorBidi"/>
                <w:sz w:val="22"/>
                <w:szCs w:val="22"/>
              </w:rPr>
              <w:tab/>
            </w:r>
            <w:r w:rsidRPr="00F57863">
              <w:rPr>
                <w:rStyle w:val="Hyperlink"/>
              </w:rPr>
              <w:t>Report Focus and Contents</w:t>
            </w:r>
            <w:r>
              <w:rPr>
                <w:webHidden/>
              </w:rPr>
              <w:tab/>
            </w:r>
            <w:r>
              <w:rPr>
                <w:webHidden/>
              </w:rPr>
              <w:fldChar w:fldCharType="begin"/>
            </w:r>
            <w:r>
              <w:rPr>
                <w:webHidden/>
              </w:rPr>
              <w:instrText xml:space="preserve"> PAGEREF _Toc326150794 \h </w:instrText>
            </w:r>
            <w:r>
              <w:rPr>
                <w:webHidden/>
              </w:rPr>
            </w:r>
            <w:r>
              <w:rPr>
                <w:webHidden/>
              </w:rPr>
              <w:fldChar w:fldCharType="separate"/>
            </w:r>
            <w:r>
              <w:rPr>
                <w:webHidden/>
              </w:rPr>
              <w:t>7</w:t>
            </w:r>
            <w:r>
              <w:rPr>
                <w:webHidden/>
              </w:rPr>
              <w:fldChar w:fldCharType="end"/>
            </w:r>
          </w:hyperlink>
        </w:p>
        <w:p w:rsidR="00FB7104" w:rsidRDefault="00FB7104">
          <w:pPr>
            <w:pStyle w:val="TOC1"/>
            <w:rPr>
              <w:rFonts w:asciiTheme="minorHAnsi" w:hAnsiTheme="minorHAnsi" w:cstheme="minorBidi"/>
              <w:sz w:val="22"/>
              <w:szCs w:val="22"/>
            </w:rPr>
          </w:pPr>
          <w:hyperlink w:anchor="_Toc326150795" w:history="1">
            <w:r w:rsidRPr="00F57863">
              <w:rPr>
                <w:rStyle w:val="Hyperlink"/>
              </w:rPr>
              <w:t>2</w:t>
            </w:r>
            <w:r>
              <w:rPr>
                <w:rFonts w:asciiTheme="minorHAnsi" w:hAnsiTheme="minorHAnsi" w:cstheme="minorBidi"/>
                <w:sz w:val="22"/>
                <w:szCs w:val="22"/>
              </w:rPr>
              <w:tab/>
            </w:r>
            <w:r w:rsidRPr="00F57863">
              <w:rPr>
                <w:rStyle w:val="Hyperlink"/>
              </w:rPr>
              <w:t>Comparison of EM&amp;V and Baseline Results</w:t>
            </w:r>
            <w:r>
              <w:rPr>
                <w:webHidden/>
              </w:rPr>
              <w:tab/>
            </w:r>
            <w:r>
              <w:rPr>
                <w:webHidden/>
              </w:rPr>
              <w:fldChar w:fldCharType="begin"/>
            </w:r>
            <w:r>
              <w:rPr>
                <w:webHidden/>
              </w:rPr>
              <w:instrText xml:space="preserve"> PAGEREF _Toc326150795 \h </w:instrText>
            </w:r>
            <w:r>
              <w:rPr>
                <w:webHidden/>
              </w:rPr>
            </w:r>
            <w:r>
              <w:rPr>
                <w:webHidden/>
              </w:rPr>
              <w:fldChar w:fldCharType="separate"/>
            </w:r>
            <w:r>
              <w:rPr>
                <w:webHidden/>
              </w:rPr>
              <w:t>9</w:t>
            </w:r>
            <w:r>
              <w:rPr>
                <w:webHidden/>
              </w:rPr>
              <w:fldChar w:fldCharType="end"/>
            </w:r>
          </w:hyperlink>
        </w:p>
        <w:p w:rsidR="00FB7104" w:rsidRDefault="00FB7104">
          <w:pPr>
            <w:pStyle w:val="TOC2"/>
            <w:rPr>
              <w:rFonts w:asciiTheme="minorHAnsi" w:hAnsiTheme="minorHAnsi" w:cstheme="minorBidi"/>
              <w:sz w:val="22"/>
              <w:szCs w:val="22"/>
            </w:rPr>
          </w:pPr>
          <w:hyperlink w:anchor="_Toc326150796" w:history="1">
            <w:r w:rsidRPr="00F57863">
              <w:rPr>
                <w:rStyle w:val="Hyperlink"/>
              </w:rPr>
              <w:t>2.1</w:t>
            </w:r>
            <w:r>
              <w:rPr>
                <w:rFonts w:asciiTheme="minorHAnsi" w:hAnsiTheme="minorHAnsi" w:cstheme="minorBidi"/>
                <w:sz w:val="22"/>
                <w:szCs w:val="22"/>
              </w:rPr>
              <w:tab/>
            </w:r>
            <w:r w:rsidRPr="00F57863">
              <w:rPr>
                <w:rStyle w:val="Hyperlink"/>
              </w:rPr>
              <w:t>PG&amp;E Event Day Comparison</w:t>
            </w:r>
            <w:r>
              <w:rPr>
                <w:webHidden/>
              </w:rPr>
              <w:tab/>
            </w:r>
            <w:r>
              <w:rPr>
                <w:webHidden/>
              </w:rPr>
              <w:fldChar w:fldCharType="begin"/>
            </w:r>
            <w:r>
              <w:rPr>
                <w:webHidden/>
              </w:rPr>
              <w:instrText xml:space="preserve"> PAGEREF _Toc326150796 \h </w:instrText>
            </w:r>
            <w:r>
              <w:rPr>
                <w:webHidden/>
              </w:rPr>
            </w:r>
            <w:r>
              <w:rPr>
                <w:webHidden/>
              </w:rPr>
              <w:fldChar w:fldCharType="separate"/>
            </w:r>
            <w:r>
              <w:rPr>
                <w:webHidden/>
              </w:rPr>
              <w:t>11</w:t>
            </w:r>
            <w:r>
              <w:rPr>
                <w:webHidden/>
              </w:rPr>
              <w:fldChar w:fldCharType="end"/>
            </w:r>
          </w:hyperlink>
        </w:p>
        <w:p w:rsidR="00FB7104" w:rsidRDefault="00FB7104">
          <w:pPr>
            <w:pStyle w:val="TOC3"/>
            <w:rPr>
              <w:rFonts w:asciiTheme="minorHAnsi" w:hAnsiTheme="minorHAnsi" w:cstheme="minorBidi"/>
              <w:sz w:val="22"/>
              <w:szCs w:val="22"/>
            </w:rPr>
          </w:pPr>
          <w:hyperlink w:anchor="_Toc326150797" w:history="1">
            <w:r w:rsidRPr="00F57863">
              <w:rPr>
                <w:rStyle w:val="Hyperlink"/>
              </w:rPr>
              <w:t>2.1.1</w:t>
            </w:r>
            <w:r>
              <w:rPr>
                <w:rFonts w:asciiTheme="minorHAnsi" w:hAnsiTheme="minorHAnsi" w:cstheme="minorBidi"/>
                <w:sz w:val="22"/>
                <w:szCs w:val="22"/>
              </w:rPr>
              <w:tab/>
            </w:r>
            <w:r w:rsidRPr="00F57863">
              <w:rPr>
                <w:rStyle w:val="Hyperlink"/>
              </w:rPr>
              <w:t>Detailed Comparison of Evaluation and Baseline Results</w:t>
            </w:r>
            <w:r>
              <w:rPr>
                <w:webHidden/>
              </w:rPr>
              <w:tab/>
            </w:r>
            <w:r>
              <w:rPr>
                <w:webHidden/>
              </w:rPr>
              <w:fldChar w:fldCharType="begin"/>
            </w:r>
            <w:r>
              <w:rPr>
                <w:webHidden/>
              </w:rPr>
              <w:instrText xml:space="preserve"> PAGEREF _Toc326150797 \h </w:instrText>
            </w:r>
            <w:r>
              <w:rPr>
                <w:webHidden/>
              </w:rPr>
            </w:r>
            <w:r>
              <w:rPr>
                <w:webHidden/>
              </w:rPr>
              <w:fldChar w:fldCharType="separate"/>
            </w:r>
            <w:r>
              <w:rPr>
                <w:webHidden/>
              </w:rPr>
              <w:t>11</w:t>
            </w:r>
            <w:r>
              <w:rPr>
                <w:webHidden/>
              </w:rPr>
              <w:fldChar w:fldCharType="end"/>
            </w:r>
          </w:hyperlink>
        </w:p>
        <w:p w:rsidR="00FB7104" w:rsidRDefault="00FB7104">
          <w:pPr>
            <w:pStyle w:val="TOC3"/>
            <w:rPr>
              <w:rFonts w:asciiTheme="minorHAnsi" w:hAnsiTheme="minorHAnsi" w:cstheme="minorBidi"/>
              <w:sz w:val="22"/>
              <w:szCs w:val="22"/>
            </w:rPr>
          </w:pPr>
          <w:hyperlink w:anchor="_Toc326150798" w:history="1">
            <w:r w:rsidRPr="00F57863">
              <w:rPr>
                <w:rStyle w:val="Hyperlink"/>
              </w:rPr>
              <w:t>2.1.1</w:t>
            </w:r>
            <w:r>
              <w:rPr>
                <w:rFonts w:asciiTheme="minorHAnsi" w:hAnsiTheme="minorHAnsi" w:cstheme="minorBidi"/>
                <w:sz w:val="22"/>
                <w:szCs w:val="22"/>
              </w:rPr>
              <w:tab/>
            </w:r>
            <w:r w:rsidRPr="00F57863">
              <w:rPr>
                <w:rStyle w:val="Hyperlink"/>
              </w:rPr>
              <w:t>Magnitude of Same-day Adjustments</w:t>
            </w:r>
            <w:r>
              <w:rPr>
                <w:webHidden/>
              </w:rPr>
              <w:tab/>
            </w:r>
            <w:r>
              <w:rPr>
                <w:webHidden/>
              </w:rPr>
              <w:fldChar w:fldCharType="begin"/>
            </w:r>
            <w:r>
              <w:rPr>
                <w:webHidden/>
              </w:rPr>
              <w:instrText xml:space="preserve"> PAGEREF _Toc326150798 \h </w:instrText>
            </w:r>
            <w:r>
              <w:rPr>
                <w:webHidden/>
              </w:rPr>
            </w:r>
            <w:r>
              <w:rPr>
                <w:webHidden/>
              </w:rPr>
              <w:fldChar w:fldCharType="separate"/>
            </w:r>
            <w:r>
              <w:rPr>
                <w:webHidden/>
              </w:rPr>
              <w:t>13</w:t>
            </w:r>
            <w:r>
              <w:rPr>
                <w:webHidden/>
              </w:rPr>
              <w:fldChar w:fldCharType="end"/>
            </w:r>
          </w:hyperlink>
        </w:p>
        <w:p w:rsidR="00FB7104" w:rsidRDefault="00FB7104">
          <w:pPr>
            <w:pStyle w:val="TOC2"/>
            <w:rPr>
              <w:rFonts w:asciiTheme="minorHAnsi" w:hAnsiTheme="minorHAnsi" w:cstheme="minorBidi"/>
              <w:sz w:val="22"/>
              <w:szCs w:val="22"/>
            </w:rPr>
          </w:pPr>
          <w:hyperlink w:anchor="_Toc326150799" w:history="1">
            <w:r w:rsidRPr="00F57863">
              <w:rPr>
                <w:rStyle w:val="Hyperlink"/>
              </w:rPr>
              <w:t>2.2</w:t>
            </w:r>
            <w:r>
              <w:rPr>
                <w:rFonts w:asciiTheme="minorHAnsi" w:hAnsiTheme="minorHAnsi" w:cstheme="minorBidi"/>
                <w:sz w:val="22"/>
                <w:szCs w:val="22"/>
              </w:rPr>
              <w:tab/>
            </w:r>
            <w:r w:rsidRPr="00F57863">
              <w:rPr>
                <w:rStyle w:val="Hyperlink"/>
              </w:rPr>
              <w:t>SCE Event Day Comparison</w:t>
            </w:r>
            <w:r>
              <w:rPr>
                <w:webHidden/>
              </w:rPr>
              <w:tab/>
            </w:r>
            <w:r>
              <w:rPr>
                <w:webHidden/>
              </w:rPr>
              <w:fldChar w:fldCharType="begin"/>
            </w:r>
            <w:r>
              <w:rPr>
                <w:webHidden/>
              </w:rPr>
              <w:instrText xml:space="preserve"> PAGEREF _Toc326150799 \h </w:instrText>
            </w:r>
            <w:r>
              <w:rPr>
                <w:webHidden/>
              </w:rPr>
            </w:r>
            <w:r>
              <w:rPr>
                <w:webHidden/>
              </w:rPr>
              <w:fldChar w:fldCharType="separate"/>
            </w:r>
            <w:r>
              <w:rPr>
                <w:webHidden/>
              </w:rPr>
              <w:t>16</w:t>
            </w:r>
            <w:r>
              <w:rPr>
                <w:webHidden/>
              </w:rPr>
              <w:fldChar w:fldCharType="end"/>
            </w:r>
          </w:hyperlink>
        </w:p>
        <w:p w:rsidR="00FB7104" w:rsidRDefault="00FB7104">
          <w:pPr>
            <w:pStyle w:val="TOC3"/>
            <w:rPr>
              <w:rFonts w:asciiTheme="minorHAnsi" w:hAnsiTheme="minorHAnsi" w:cstheme="minorBidi"/>
              <w:sz w:val="22"/>
              <w:szCs w:val="22"/>
            </w:rPr>
          </w:pPr>
          <w:hyperlink w:anchor="_Toc326150800" w:history="1">
            <w:r w:rsidRPr="00F57863">
              <w:rPr>
                <w:rStyle w:val="Hyperlink"/>
              </w:rPr>
              <w:t>2.2.1</w:t>
            </w:r>
            <w:r>
              <w:rPr>
                <w:rFonts w:asciiTheme="minorHAnsi" w:hAnsiTheme="minorHAnsi" w:cstheme="minorBidi"/>
                <w:sz w:val="22"/>
                <w:szCs w:val="22"/>
              </w:rPr>
              <w:tab/>
            </w:r>
            <w:r w:rsidRPr="00F57863">
              <w:rPr>
                <w:rStyle w:val="Hyperlink"/>
              </w:rPr>
              <w:t>Detailed Comparison of Evaluation and Baseline Results</w:t>
            </w:r>
            <w:r>
              <w:rPr>
                <w:webHidden/>
              </w:rPr>
              <w:tab/>
            </w:r>
            <w:r>
              <w:rPr>
                <w:webHidden/>
              </w:rPr>
              <w:fldChar w:fldCharType="begin"/>
            </w:r>
            <w:r>
              <w:rPr>
                <w:webHidden/>
              </w:rPr>
              <w:instrText xml:space="preserve"> PAGEREF _Toc326150800 \h </w:instrText>
            </w:r>
            <w:r>
              <w:rPr>
                <w:webHidden/>
              </w:rPr>
            </w:r>
            <w:r>
              <w:rPr>
                <w:webHidden/>
              </w:rPr>
              <w:fldChar w:fldCharType="separate"/>
            </w:r>
            <w:r>
              <w:rPr>
                <w:webHidden/>
              </w:rPr>
              <w:t>16</w:t>
            </w:r>
            <w:r>
              <w:rPr>
                <w:webHidden/>
              </w:rPr>
              <w:fldChar w:fldCharType="end"/>
            </w:r>
          </w:hyperlink>
        </w:p>
        <w:p w:rsidR="00FB7104" w:rsidRDefault="00FB7104">
          <w:pPr>
            <w:pStyle w:val="TOC3"/>
            <w:rPr>
              <w:rFonts w:asciiTheme="minorHAnsi" w:hAnsiTheme="minorHAnsi" w:cstheme="minorBidi"/>
              <w:sz w:val="22"/>
              <w:szCs w:val="22"/>
            </w:rPr>
          </w:pPr>
          <w:hyperlink w:anchor="_Toc326150801" w:history="1">
            <w:r w:rsidRPr="00F57863">
              <w:rPr>
                <w:rStyle w:val="Hyperlink"/>
              </w:rPr>
              <w:t>2.2.2</w:t>
            </w:r>
            <w:r>
              <w:rPr>
                <w:rFonts w:asciiTheme="minorHAnsi" w:hAnsiTheme="minorHAnsi" w:cstheme="minorBidi"/>
                <w:sz w:val="22"/>
                <w:szCs w:val="22"/>
              </w:rPr>
              <w:tab/>
            </w:r>
            <w:r w:rsidRPr="00F57863">
              <w:rPr>
                <w:rStyle w:val="Hyperlink"/>
              </w:rPr>
              <w:t>Magnitude of Same-day Adjustments</w:t>
            </w:r>
            <w:r>
              <w:rPr>
                <w:webHidden/>
              </w:rPr>
              <w:tab/>
            </w:r>
            <w:r>
              <w:rPr>
                <w:webHidden/>
              </w:rPr>
              <w:fldChar w:fldCharType="begin"/>
            </w:r>
            <w:r>
              <w:rPr>
                <w:webHidden/>
              </w:rPr>
              <w:instrText xml:space="preserve"> PAGEREF _Toc326150801 \h </w:instrText>
            </w:r>
            <w:r>
              <w:rPr>
                <w:webHidden/>
              </w:rPr>
            </w:r>
            <w:r>
              <w:rPr>
                <w:webHidden/>
              </w:rPr>
              <w:fldChar w:fldCharType="separate"/>
            </w:r>
            <w:r>
              <w:rPr>
                <w:webHidden/>
              </w:rPr>
              <w:t>19</w:t>
            </w:r>
            <w:r>
              <w:rPr>
                <w:webHidden/>
              </w:rPr>
              <w:fldChar w:fldCharType="end"/>
            </w:r>
          </w:hyperlink>
        </w:p>
        <w:p w:rsidR="00FB7104" w:rsidRDefault="00FB7104">
          <w:pPr>
            <w:pStyle w:val="TOC2"/>
            <w:rPr>
              <w:rFonts w:asciiTheme="minorHAnsi" w:hAnsiTheme="minorHAnsi" w:cstheme="minorBidi"/>
              <w:sz w:val="22"/>
              <w:szCs w:val="22"/>
            </w:rPr>
          </w:pPr>
          <w:hyperlink w:anchor="_Toc326150802" w:history="1">
            <w:r w:rsidRPr="00F57863">
              <w:rPr>
                <w:rStyle w:val="Hyperlink"/>
              </w:rPr>
              <w:t>2.3</w:t>
            </w:r>
            <w:r>
              <w:rPr>
                <w:rFonts w:asciiTheme="minorHAnsi" w:hAnsiTheme="minorHAnsi" w:cstheme="minorBidi"/>
                <w:sz w:val="22"/>
                <w:szCs w:val="22"/>
              </w:rPr>
              <w:tab/>
            </w:r>
            <w:r w:rsidRPr="00F57863">
              <w:rPr>
                <w:rStyle w:val="Hyperlink"/>
              </w:rPr>
              <w:t>SDG&amp;E Event Day Comparison</w:t>
            </w:r>
            <w:r>
              <w:rPr>
                <w:webHidden/>
              </w:rPr>
              <w:tab/>
            </w:r>
            <w:r>
              <w:rPr>
                <w:webHidden/>
              </w:rPr>
              <w:fldChar w:fldCharType="begin"/>
            </w:r>
            <w:r>
              <w:rPr>
                <w:webHidden/>
              </w:rPr>
              <w:instrText xml:space="preserve"> PAGEREF _Toc326150802 \h </w:instrText>
            </w:r>
            <w:r>
              <w:rPr>
                <w:webHidden/>
              </w:rPr>
            </w:r>
            <w:r>
              <w:rPr>
                <w:webHidden/>
              </w:rPr>
              <w:fldChar w:fldCharType="separate"/>
            </w:r>
            <w:r>
              <w:rPr>
                <w:webHidden/>
              </w:rPr>
              <w:t>20</w:t>
            </w:r>
            <w:r>
              <w:rPr>
                <w:webHidden/>
              </w:rPr>
              <w:fldChar w:fldCharType="end"/>
            </w:r>
          </w:hyperlink>
        </w:p>
        <w:p w:rsidR="00FB7104" w:rsidRDefault="00FB7104">
          <w:pPr>
            <w:pStyle w:val="TOC3"/>
            <w:rPr>
              <w:rFonts w:asciiTheme="minorHAnsi" w:hAnsiTheme="minorHAnsi" w:cstheme="minorBidi"/>
              <w:sz w:val="22"/>
              <w:szCs w:val="22"/>
            </w:rPr>
          </w:pPr>
          <w:hyperlink w:anchor="_Toc326150803" w:history="1">
            <w:r w:rsidRPr="00F57863">
              <w:rPr>
                <w:rStyle w:val="Hyperlink"/>
              </w:rPr>
              <w:t>2.3.1</w:t>
            </w:r>
            <w:r>
              <w:rPr>
                <w:rFonts w:asciiTheme="minorHAnsi" w:hAnsiTheme="minorHAnsi" w:cstheme="minorBidi"/>
                <w:sz w:val="22"/>
                <w:szCs w:val="22"/>
              </w:rPr>
              <w:tab/>
            </w:r>
            <w:r w:rsidRPr="00F57863">
              <w:rPr>
                <w:rStyle w:val="Hyperlink"/>
              </w:rPr>
              <w:t>Detailed Comparison of Evaluation and Baseline Results</w:t>
            </w:r>
            <w:r>
              <w:rPr>
                <w:webHidden/>
              </w:rPr>
              <w:tab/>
            </w:r>
            <w:r>
              <w:rPr>
                <w:webHidden/>
              </w:rPr>
              <w:fldChar w:fldCharType="begin"/>
            </w:r>
            <w:r>
              <w:rPr>
                <w:webHidden/>
              </w:rPr>
              <w:instrText xml:space="preserve"> PAGEREF _Toc326150803 \h </w:instrText>
            </w:r>
            <w:r>
              <w:rPr>
                <w:webHidden/>
              </w:rPr>
            </w:r>
            <w:r>
              <w:rPr>
                <w:webHidden/>
              </w:rPr>
              <w:fldChar w:fldCharType="separate"/>
            </w:r>
            <w:r>
              <w:rPr>
                <w:webHidden/>
              </w:rPr>
              <w:t>20</w:t>
            </w:r>
            <w:r>
              <w:rPr>
                <w:webHidden/>
              </w:rPr>
              <w:fldChar w:fldCharType="end"/>
            </w:r>
          </w:hyperlink>
        </w:p>
        <w:p w:rsidR="00FB7104" w:rsidRDefault="00FB7104">
          <w:pPr>
            <w:pStyle w:val="TOC3"/>
            <w:rPr>
              <w:rFonts w:asciiTheme="minorHAnsi" w:hAnsiTheme="minorHAnsi" w:cstheme="minorBidi"/>
              <w:sz w:val="22"/>
              <w:szCs w:val="22"/>
            </w:rPr>
          </w:pPr>
          <w:hyperlink w:anchor="_Toc326150804" w:history="1">
            <w:r w:rsidRPr="00F57863">
              <w:rPr>
                <w:rStyle w:val="Hyperlink"/>
              </w:rPr>
              <w:t>2.3.2</w:t>
            </w:r>
            <w:r>
              <w:rPr>
                <w:rFonts w:asciiTheme="minorHAnsi" w:hAnsiTheme="minorHAnsi" w:cstheme="minorBidi"/>
                <w:sz w:val="22"/>
                <w:szCs w:val="22"/>
              </w:rPr>
              <w:tab/>
            </w:r>
            <w:r w:rsidRPr="00F57863">
              <w:rPr>
                <w:rStyle w:val="Hyperlink"/>
              </w:rPr>
              <w:t>Magnitude of Same-day Adjustments</w:t>
            </w:r>
            <w:r>
              <w:rPr>
                <w:webHidden/>
              </w:rPr>
              <w:tab/>
            </w:r>
            <w:r>
              <w:rPr>
                <w:webHidden/>
              </w:rPr>
              <w:fldChar w:fldCharType="begin"/>
            </w:r>
            <w:r>
              <w:rPr>
                <w:webHidden/>
              </w:rPr>
              <w:instrText xml:space="preserve"> PAGEREF _Toc326150804 \h </w:instrText>
            </w:r>
            <w:r>
              <w:rPr>
                <w:webHidden/>
              </w:rPr>
            </w:r>
            <w:r>
              <w:rPr>
                <w:webHidden/>
              </w:rPr>
              <w:fldChar w:fldCharType="separate"/>
            </w:r>
            <w:r>
              <w:rPr>
                <w:webHidden/>
              </w:rPr>
              <w:t>22</w:t>
            </w:r>
            <w:r>
              <w:rPr>
                <w:webHidden/>
              </w:rPr>
              <w:fldChar w:fldCharType="end"/>
            </w:r>
          </w:hyperlink>
        </w:p>
        <w:p w:rsidR="00FB7104" w:rsidRDefault="00FB7104">
          <w:pPr>
            <w:pStyle w:val="TOC1"/>
            <w:rPr>
              <w:rFonts w:asciiTheme="minorHAnsi" w:hAnsiTheme="minorHAnsi" w:cstheme="minorBidi"/>
              <w:sz w:val="22"/>
              <w:szCs w:val="22"/>
            </w:rPr>
          </w:pPr>
          <w:hyperlink w:anchor="_Toc326150805" w:history="1">
            <w:r w:rsidRPr="00F57863">
              <w:rPr>
                <w:rStyle w:val="Hyperlink"/>
              </w:rPr>
              <w:t>3</w:t>
            </w:r>
            <w:r>
              <w:rPr>
                <w:rFonts w:asciiTheme="minorHAnsi" w:hAnsiTheme="minorHAnsi" w:cstheme="minorBidi"/>
                <w:sz w:val="22"/>
                <w:szCs w:val="22"/>
              </w:rPr>
              <w:tab/>
            </w:r>
            <w:r w:rsidRPr="00F57863">
              <w:rPr>
                <w:rStyle w:val="Hyperlink"/>
              </w:rPr>
              <w:t>Impact Simulation Analysis</w:t>
            </w:r>
            <w:r>
              <w:rPr>
                <w:webHidden/>
              </w:rPr>
              <w:tab/>
            </w:r>
            <w:r>
              <w:rPr>
                <w:webHidden/>
              </w:rPr>
              <w:fldChar w:fldCharType="begin"/>
            </w:r>
            <w:r>
              <w:rPr>
                <w:webHidden/>
              </w:rPr>
              <w:instrText xml:space="preserve"> PAGEREF _Toc326150805 \h </w:instrText>
            </w:r>
            <w:r>
              <w:rPr>
                <w:webHidden/>
              </w:rPr>
            </w:r>
            <w:r>
              <w:rPr>
                <w:webHidden/>
              </w:rPr>
              <w:fldChar w:fldCharType="separate"/>
            </w:r>
            <w:r>
              <w:rPr>
                <w:webHidden/>
              </w:rPr>
              <w:t>24</w:t>
            </w:r>
            <w:r>
              <w:rPr>
                <w:webHidden/>
              </w:rPr>
              <w:fldChar w:fldCharType="end"/>
            </w:r>
          </w:hyperlink>
        </w:p>
        <w:p w:rsidR="00FB7104" w:rsidRDefault="00FB7104">
          <w:pPr>
            <w:pStyle w:val="TOC2"/>
            <w:rPr>
              <w:rFonts w:asciiTheme="minorHAnsi" w:hAnsiTheme="minorHAnsi" w:cstheme="minorBidi"/>
              <w:sz w:val="22"/>
              <w:szCs w:val="22"/>
            </w:rPr>
          </w:pPr>
          <w:hyperlink w:anchor="_Toc326150806" w:history="1">
            <w:r w:rsidRPr="00F57863">
              <w:rPr>
                <w:rStyle w:val="Hyperlink"/>
              </w:rPr>
              <w:t>3.1</w:t>
            </w:r>
            <w:r>
              <w:rPr>
                <w:rFonts w:asciiTheme="minorHAnsi" w:hAnsiTheme="minorHAnsi" w:cstheme="minorBidi"/>
                <w:sz w:val="22"/>
                <w:szCs w:val="22"/>
              </w:rPr>
              <w:tab/>
            </w:r>
            <w:r w:rsidRPr="00F57863">
              <w:rPr>
                <w:rStyle w:val="Hyperlink"/>
              </w:rPr>
              <w:t>Framework for Assessing Accuracy</w:t>
            </w:r>
            <w:r>
              <w:rPr>
                <w:webHidden/>
              </w:rPr>
              <w:tab/>
            </w:r>
            <w:r>
              <w:rPr>
                <w:webHidden/>
              </w:rPr>
              <w:fldChar w:fldCharType="begin"/>
            </w:r>
            <w:r>
              <w:rPr>
                <w:webHidden/>
              </w:rPr>
              <w:instrText xml:space="preserve"> PAGEREF _Toc326150806 \h </w:instrText>
            </w:r>
            <w:r>
              <w:rPr>
                <w:webHidden/>
              </w:rPr>
            </w:r>
            <w:r>
              <w:rPr>
                <w:webHidden/>
              </w:rPr>
              <w:fldChar w:fldCharType="separate"/>
            </w:r>
            <w:r>
              <w:rPr>
                <w:webHidden/>
              </w:rPr>
              <w:t>24</w:t>
            </w:r>
            <w:r>
              <w:rPr>
                <w:webHidden/>
              </w:rPr>
              <w:fldChar w:fldCharType="end"/>
            </w:r>
          </w:hyperlink>
        </w:p>
        <w:p w:rsidR="00FB7104" w:rsidRDefault="00FB7104">
          <w:pPr>
            <w:pStyle w:val="TOC3"/>
            <w:rPr>
              <w:rFonts w:asciiTheme="minorHAnsi" w:hAnsiTheme="minorHAnsi" w:cstheme="minorBidi"/>
              <w:sz w:val="22"/>
              <w:szCs w:val="22"/>
            </w:rPr>
          </w:pPr>
          <w:hyperlink w:anchor="_Toc326150807" w:history="1">
            <w:r w:rsidRPr="00F57863">
              <w:rPr>
                <w:rStyle w:val="Hyperlink"/>
              </w:rPr>
              <w:t>3.1.1</w:t>
            </w:r>
            <w:r>
              <w:rPr>
                <w:rFonts w:asciiTheme="minorHAnsi" w:hAnsiTheme="minorHAnsi" w:cstheme="minorBidi"/>
                <w:sz w:val="22"/>
                <w:szCs w:val="22"/>
              </w:rPr>
              <w:tab/>
            </w:r>
            <w:r w:rsidRPr="00F57863">
              <w:rPr>
                <w:rStyle w:val="Hyperlink"/>
              </w:rPr>
              <w:t>Selection of Proxy Event Days and Hours</w:t>
            </w:r>
            <w:r>
              <w:rPr>
                <w:webHidden/>
              </w:rPr>
              <w:tab/>
            </w:r>
            <w:r>
              <w:rPr>
                <w:webHidden/>
              </w:rPr>
              <w:fldChar w:fldCharType="begin"/>
            </w:r>
            <w:r>
              <w:rPr>
                <w:webHidden/>
              </w:rPr>
              <w:instrText xml:space="preserve"> PAGEREF _Toc326150807 \h </w:instrText>
            </w:r>
            <w:r>
              <w:rPr>
                <w:webHidden/>
              </w:rPr>
            </w:r>
            <w:r>
              <w:rPr>
                <w:webHidden/>
              </w:rPr>
              <w:fldChar w:fldCharType="separate"/>
            </w:r>
            <w:r>
              <w:rPr>
                <w:webHidden/>
              </w:rPr>
              <w:t>26</w:t>
            </w:r>
            <w:r>
              <w:rPr>
                <w:webHidden/>
              </w:rPr>
              <w:fldChar w:fldCharType="end"/>
            </w:r>
          </w:hyperlink>
        </w:p>
        <w:p w:rsidR="00FB7104" w:rsidRDefault="00FB7104">
          <w:pPr>
            <w:pStyle w:val="TOC3"/>
            <w:rPr>
              <w:rFonts w:asciiTheme="minorHAnsi" w:hAnsiTheme="minorHAnsi" w:cstheme="minorBidi"/>
              <w:sz w:val="22"/>
              <w:szCs w:val="22"/>
            </w:rPr>
          </w:pPr>
          <w:hyperlink w:anchor="_Toc326150808" w:history="1">
            <w:r w:rsidRPr="00F57863">
              <w:rPr>
                <w:rStyle w:val="Hyperlink"/>
              </w:rPr>
              <w:t>3.1.2</w:t>
            </w:r>
            <w:r>
              <w:rPr>
                <w:rFonts w:asciiTheme="minorHAnsi" w:hAnsiTheme="minorHAnsi" w:cstheme="minorBidi"/>
                <w:sz w:val="22"/>
                <w:szCs w:val="22"/>
              </w:rPr>
              <w:tab/>
            </w:r>
            <w:r w:rsidRPr="00F57863">
              <w:rPr>
                <w:rStyle w:val="Hyperlink"/>
              </w:rPr>
              <w:t>Identifying Customer Demand Reductions</w:t>
            </w:r>
            <w:r>
              <w:rPr>
                <w:webHidden/>
              </w:rPr>
              <w:tab/>
            </w:r>
            <w:r>
              <w:rPr>
                <w:webHidden/>
              </w:rPr>
              <w:fldChar w:fldCharType="begin"/>
            </w:r>
            <w:r>
              <w:rPr>
                <w:webHidden/>
              </w:rPr>
              <w:instrText xml:space="preserve"> PAGEREF _Toc326150808 \h </w:instrText>
            </w:r>
            <w:r>
              <w:rPr>
                <w:webHidden/>
              </w:rPr>
            </w:r>
            <w:r>
              <w:rPr>
                <w:webHidden/>
              </w:rPr>
              <w:fldChar w:fldCharType="separate"/>
            </w:r>
            <w:r>
              <w:rPr>
                <w:webHidden/>
              </w:rPr>
              <w:t>27</w:t>
            </w:r>
            <w:r>
              <w:rPr>
                <w:webHidden/>
              </w:rPr>
              <w:fldChar w:fldCharType="end"/>
            </w:r>
          </w:hyperlink>
        </w:p>
        <w:p w:rsidR="00FB7104" w:rsidRDefault="00FB7104">
          <w:pPr>
            <w:pStyle w:val="TOC3"/>
            <w:rPr>
              <w:rFonts w:asciiTheme="minorHAnsi" w:hAnsiTheme="minorHAnsi" w:cstheme="minorBidi"/>
              <w:sz w:val="22"/>
              <w:szCs w:val="22"/>
            </w:rPr>
          </w:pPr>
          <w:hyperlink w:anchor="_Toc326150809" w:history="1">
            <w:r w:rsidRPr="00F57863">
              <w:rPr>
                <w:rStyle w:val="Hyperlink"/>
              </w:rPr>
              <w:t>3.1.3</w:t>
            </w:r>
            <w:r>
              <w:rPr>
                <w:rFonts w:asciiTheme="minorHAnsi" w:hAnsiTheme="minorHAnsi" w:cstheme="minorBidi"/>
                <w:sz w:val="22"/>
                <w:szCs w:val="22"/>
              </w:rPr>
              <w:tab/>
            </w:r>
            <w:r w:rsidRPr="00F57863">
              <w:rPr>
                <w:rStyle w:val="Hyperlink"/>
              </w:rPr>
              <w:t>Application of Demand Reductions to Unperturbed Loads</w:t>
            </w:r>
            <w:r>
              <w:rPr>
                <w:webHidden/>
              </w:rPr>
              <w:tab/>
            </w:r>
            <w:r>
              <w:rPr>
                <w:webHidden/>
              </w:rPr>
              <w:fldChar w:fldCharType="begin"/>
            </w:r>
            <w:r>
              <w:rPr>
                <w:webHidden/>
              </w:rPr>
              <w:instrText xml:space="preserve"> PAGEREF _Toc326150809 \h </w:instrText>
            </w:r>
            <w:r>
              <w:rPr>
                <w:webHidden/>
              </w:rPr>
            </w:r>
            <w:r>
              <w:rPr>
                <w:webHidden/>
              </w:rPr>
              <w:fldChar w:fldCharType="separate"/>
            </w:r>
            <w:r>
              <w:rPr>
                <w:webHidden/>
              </w:rPr>
              <w:t>28</w:t>
            </w:r>
            <w:r>
              <w:rPr>
                <w:webHidden/>
              </w:rPr>
              <w:fldChar w:fldCharType="end"/>
            </w:r>
          </w:hyperlink>
        </w:p>
        <w:p w:rsidR="00FB7104" w:rsidRDefault="00FB7104">
          <w:pPr>
            <w:pStyle w:val="TOC3"/>
            <w:rPr>
              <w:rFonts w:asciiTheme="minorHAnsi" w:hAnsiTheme="minorHAnsi" w:cstheme="minorBidi"/>
              <w:sz w:val="22"/>
              <w:szCs w:val="22"/>
            </w:rPr>
          </w:pPr>
          <w:hyperlink w:anchor="_Toc326150810" w:history="1">
            <w:r w:rsidRPr="00F57863">
              <w:rPr>
                <w:rStyle w:val="Hyperlink"/>
              </w:rPr>
              <w:t>3.1.4</w:t>
            </w:r>
            <w:r>
              <w:rPr>
                <w:rFonts w:asciiTheme="minorHAnsi" w:hAnsiTheme="minorHAnsi" w:cstheme="minorBidi"/>
                <w:sz w:val="22"/>
                <w:szCs w:val="22"/>
              </w:rPr>
              <w:tab/>
            </w:r>
            <w:r w:rsidRPr="00F57863">
              <w:rPr>
                <w:rStyle w:val="Hyperlink"/>
              </w:rPr>
              <w:t>Metrics for Assessing Accuracy</w:t>
            </w:r>
            <w:r>
              <w:rPr>
                <w:webHidden/>
              </w:rPr>
              <w:tab/>
            </w:r>
            <w:r>
              <w:rPr>
                <w:webHidden/>
              </w:rPr>
              <w:fldChar w:fldCharType="begin"/>
            </w:r>
            <w:r>
              <w:rPr>
                <w:webHidden/>
              </w:rPr>
              <w:instrText xml:space="preserve"> PAGEREF _Toc326150810 \h </w:instrText>
            </w:r>
            <w:r>
              <w:rPr>
                <w:webHidden/>
              </w:rPr>
            </w:r>
            <w:r>
              <w:rPr>
                <w:webHidden/>
              </w:rPr>
              <w:fldChar w:fldCharType="separate"/>
            </w:r>
            <w:r>
              <w:rPr>
                <w:webHidden/>
              </w:rPr>
              <w:t>28</w:t>
            </w:r>
            <w:r>
              <w:rPr>
                <w:webHidden/>
              </w:rPr>
              <w:fldChar w:fldCharType="end"/>
            </w:r>
          </w:hyperlink>
        </w:p>
        <w:p w:rsidR="00FB7104" w:rsidRDefault="00FB7104">
          <w:pPr>
            <w:pStyle w:val="TOC2"/>
            <w:rPr>
              <w:rFonts w:asciiTheme="minorHAnsi" w:hAnsiTheme="minorHAnsi" w:cstheme="minorBidi"/>
              <w:sz w:val="22"/>
              <w:szCs w:val="22"/>
            </w:rPr>
          </w:pPr>
          <w:hyperlink w:anchor="_Toc326150811" w:history="1">
            <w:r w:rsidRPr="00F57863">
              <w:rPr>
                <w:rStyle w:val="Hyperlink"/>
              </w:rPr>
              <w:t>3.2</w:t>
            </w:r>
            <w:r>
              <w:rPr>
                <w:rFonts w:asciiTheme="minorHAnsi" w:hAnsiTheme="minorHAnsi" w:cstheme="minorBidi"/>
                <w:sz w:val="22"/>
                <w:szCs w:val="22"/>
              </w:rPr>
              <w:tab/>
            </w:r>
            <w:r w:rsidRPr="00F57863">
              <w:rPr>
                <w:rStyle w:val="Hyperlink"/>
              </w:rPr>
              <w:t>PG&amp;E Settlement Baseline Accuracy Analysis</w:t>
            </w:r>
            <w:r>
              <w:rPr>
                <w:webHidden/>
              </w:rPr>
              <w:tab/>
            </w:r>
            <w:r>
              <w:rPr>
                <w:webHidden/>
              </w:rPr>
              <w:fldChar w:fldCharType="begin"/>
            </w:r>
            <w:r>
              <w:rPr>
                <w:webHidden/>
              </w:rPr>
              <w:instrText xml:space="preserve"> PAGEREF _Toc326150811 \h </w:instrText>
            </w:r>
            <w:r>
              <w:rPr>
                <w:webHidden/>
              </w:rPr>
            </w:r>
            <w:r>
              <w:rPr>
                <w:webHidden/>
              </w:rPr>
              <w:fldChar w:fldCharType="separate"/>
            </w:r>
            <w:r>
              <w:rPr>
                <w:webHidden/>
              </w:rPr>
              <w:t>29</w:t>
            </w:r>
            <w:r>
              <w:rPr>
                <w:webHidden/>
              </w:rPr>
              <w:fldChar w:fldCharType="end"/>
            </w:r>
          </w:hyperlink>
        </w:p>
        <w:p w:rsidR="00FB7104" w:rsidRDefault="00FB7104">
          <w:pPr>
            <w:pStyle w:val="TOC3"/>
            <w:rPr>
              <w:rFonts w:asciiTheme="minorHAnsi" w:hAnsiTheme="minorHAnsi" w:cstheme="minorBidi"/>
              <w:sz w:val="22"/>
              <w:szCs w:val="22"/>
            </w:rPr>
          </w:pPr>
          <w:hyperlink w:anchor="_Toc326150812" w:history="1">
            <w:r w:rsidRPr="00F57863">
              <w:rPr>
                <w:rStyle w:val="Hyperlink"/>
              </w:rPr>
              <w:t>3.2.1</w:t>
            </w:r>
            <w:r>
              <w:rPr>
                <w:rFonts w:asciiTheme="minorHAnsi" w:hAnsiTheme="minorHAnsi" w:cstheme="minorBidi"/>
                <w:sz w:val="22"/>
                <w:szCs w:val="22"/>
              </w:rPr>
              <w:tab/>
            </w:r>
            <w:r w:rsidRPr="00F57863">
              <w:rPr>
                <w:rStyle w:val="Hyperlink"/>
              </w:rPr>
              <w:t>Detailed Results for PG&amp;E’s AMP Program</w:t>
            </w:r>
            <w:r>
              <w:rPr>
                <w:webHidden/>
              </w:rPr>
              <w:tab/>
            </w:r>
            <w:r>
              <w:rPr>
                <w:webHidden/>
              </w:rPr>
              <w:fldChar w:fldCharType="begin"/>
            </w:r>
            <w:r>
              <w:rPr>
                <w:webHidden/>
              </w:rPr>
              <w:instrText xml:space="preserve"> PAGEREF _Toc326150812 \h </w:instrText>
            </w:r>
            <w:r>
              <w:rPr>
                <w:webHidden/>
              </w:rPr>
            </w:r>
            <w:r>
              <w:rPr>
                <w:webHidden/>
              </w:rPr>
              <w:fldChar w:fldCharType="separate"/>
            </w:r>
            <w:r>
              <w:rPr>
                <w:webHidden/>
              </w:rPr>
              <w:t>33</w:t>
            </w:r>
            <w:r>
              <w:rPr>
                <w:webHidden/>
              </w:rPr>
              <w:fldChar w:fldCharType="end"/>
            </w:r>
          </w:hyperlink>
        </w:p>
        <w:p w:rsidR="00FB7104" w:rsidRDefault="00FB7104">
          <w:pPr>
            <w:pStyle w:val="TOC3"/>
            <w:rPr>
              <w:rFonts w:asciiTheme="minorHAnsi" w:hAnsiTheme="minorHAnsi" w:cstheme="minorBidi"/>
              <w:sz w:val="22"/>
              <w:szCs w:val="22"/>
            </w:rPr>
          </w:pPr>
          <w:hyperlink w:anchor="_Toc326150813" w:history="1">
            <w:r w:rsidRPr="00F57863">
              <w:rPr>
                <w:rStyle w:val="Hyperlink"/>
              </w:rPr>
              <w:t>3.2.2</w:t>
            </w:r>
            <w:r>
              <w:rPr>
                <w:rFonts w:asciiTheme="minorHAnsi" w:hAnsiTheme="minorHAnsi" w:cstheme="minorBidi"/>
                <w:sz w:val="22"/>
                <w:szCs w:val="22"/>
              </w:rPr>
              <w:tab/>
            </w:r>
            <w:r w:rsidRPr="00F57863">
              <w:rPr>
                <w:rStyle w:val="Hyperlink"/>
              </w:rPr>
              <w:t>Detailed Results for PG&amp;E’s CBP Program</w:t>
            </w:r>
            <w:r>
              <w:rPr>
                <w:webHidden/>
              </w:rPr>
              <w:tab/>
            </w:r>
            <w:r>
              <w:rPr>
                <w:webHidden/>
              </w:rPr>
              <w:fldChar w:fldCharType="begin"/>
            </w:r>
            <w:r>
              <w:rPr>
                <w:webHidden/>
              </w:rPr>
              <w:instrText xml:space="preserve"> PAGEREF _Toc326150813 \h </w:instrText>
            </w:r>
            <w:r>
              <w:rPr>
                <w:webHidden/>
              </w:rPr>
            </w:r>
            <w:r>
              <w:rPr>
                <w:webHidden/>
              </w:rPr>
              <w:fldChar w:fldCharType="separate"/>
            </w:r>
            <w:r>
              <w:rPr>
                <w:webHidden/>
              </w:rPr>
              <w:t>36</w:t>
            </w:r>
            <w:r>
              <w:rPr>
                <w:webHidden/>
              </w:rPr>
              <w:fldChar w:fldCharType="end"/>
            </w:r>
          </w:hyperlink>
        </w:p>
        <w:p w:rsidR="00FB7104" w:rsidRDefault="00FB7104">
          <w:pPr>
            <w:pStyle w:val="TOC2"/>
            <w:rPr>
              <w:rFonts w:asciiTheme="minorHAnsi" w:hAnsiTheme="minorHAnsi" w:cstheme="minorBidi"/>
              <w:sz w:val="22"/>
              <w:szCs w:val="22"/>
            </w:rPr>
          </w:pPr>
          <w:hyperlink w:anchor="_Toc326150814" w:history="1">
            <w:r w:rsidRPr="00F57863">
              <w:rPr>
                <w:rStyle w:val="Hyperlink"/>
              </w:rPr>
              <w:t>3.3</w:t>
            </w:r>
            <w:r>
              <w:rPr>
                <w:rFonts w:asciiTheme="minorHAnsi" w:hAnsiTheme="minorHAnsi" w:cstheme="minorBidi"/>
                <w:sz w:val="22"/>
                <w:szCs w:val="22"/>
              </w:rPr>
              <w:tab/>
            </w:r>
            <w:r w:rsidRPr="00F57863">
              <w:rPr>
                <w:rStyle w:val="Hyperlink"/>
              </w:rPr>
              <w:t>SCE Settlement Baseline Accuracy Analysis</w:t>
            </w:r>
            <w:r>
              <w:rPr>
                <w:webHidden/>
              </w:rPr>
              <w:tab/>
            </w:r>
            <w:r>
              <w:rPr>
                <w:webHidden/>
              </w:rPr>
              <w:fldChar w:fldCharType="begin"/>
            </w:r>
            <w:r>
              <w:rPr>
                <w:webHidden/>
              </w:rPr>
              <w:instrText xml:space="preserve"> PAGEREF _Toc326150814 \h </w:instrText>
            </w:r>
            <w:r>
              <w:rPr>
                <w:webHidden/>
              </w:rPr>
            </w:r>
            <w:r>
              <w:rPr>
                <w:webHidden/>
              </w:rPr>
              <w:fldChar w:fldCharType="separate"/>
            </w:r>
            <w:r>
              <w:rPr>
                <w:webHidden/>
              </w:rPr>
              <w:t>39</w:t>
            </w:r>
            <w:r>
              <w:rPr>
                <w:webHidden/>
              </w:rPr>
              <w:fldChar w:fldCharType="end"/>
            </w:r>
          </w:hyperlink>
        </w:p>
        <w:p w:rsidR="00FB7104" w:rsidRDefault="00FB7104">
          <w:pPr>
            <w:pStyle w:val="TOC3"/>
            <w:rPr>
              <w:rFonts w:asciiTheme="minorHAnsi" w:hAnsiTheme="minorHAnsi" w:cstheme="minorBidi"/>
              <w:sz w:val="22"/>
              <w:szCs w:val="22"/>
            </w:rPr>
          </w:pPr>
          <w:hyperlink w:anchor="_Toc326150815" w:history="1">
            <w:r w:rsidRPr="00F57863">
              <w:rPr>
                <w:rStyle w:val="Hyperlink"/>
              </w:rPr>
              <w:t>3.3.1</w:t>
            </w:r>
            <w:r>
              <w:rPr>
                <w:rFonts w:asciiTheme="minorHAnsi" w:hAnsiTheme="minorHAnsi" w:cstheme="minorBidi"/>
                <w:sz w:val="22"/>
                <w:szCs w:val="22"/>
              </w:rPr>
              <w:tab/>
            </w:r>
            <w:r w:rsidRPr="00F57863">
              <w:rPr>
                <w:rStyle w:val="Hyperlink"/>
              </w:rPr>
              <w:t>Detailed Results for SCE’s DRRC Program</w:t>
            </w:r>
            <w:r>
              <w:rPr>
                <w:webHidden/>
              </w:rPr>
              <w:tab/>
            </w:r>
            <w:r>
              <w:rPr>
                <w:webHidden/>
              </w:rPr>
              <w:fldChar w:fldCharType="begin"/>
            </w:r>
            <w:r>
              <w:rPr>
                <w:webHidden/>
              </w:rPr>
              <w:instrText xml:space="preserve"> PAGEREF _Toc326150815 \h </w:instrText>
            </w:r>
            <w:r>
              <w:rPr>
                <w:webHidden/>
              </w:rPr>
            </w:r>
            <w:r>
              <w:rPr>
                <w:webHidden/>
              </w:rPr>
              <w:fldChar w:fldCharType="separate"/>
            </w:r>
            <w:r>
              <w:rPr>
                <w:webHidden/>
              </w:rPr>
              <w:t>42</w:t>
            </w:r>
            <w:r>
              <w:rPr>
                <w:webHidden/>
              </w:rPr>
              <w:fldChar w:fldCharType="end"/>
            </w:r>
          </w:hyperlink>
        </w:p>
        <w:p w:rsidR="00FB7104" w:rsidRDefault="00FB7104">
          <w:pPr>
            <w:pStyle w:val="TOC3"/>
            <w:rPr>
              <w:rFonts w:asciiTheme="minorHAnsi" w:hAnsiTheme="minorHAnsi" w:cstheme="minorBidi"/>
              <w:sz w:val="22"/>
              <w:szCs w:val="22"/>
            </w:rPr>
          </w:pPr>
          <w:hyperlink w:anchor="_Toc326150816" w:history="1">
            <w:r w:rsidRPr="00F57863">
              <w:rPr>
                <w:rStyle w:val="Hyperlink"/>
              </w:rPr>
              <w:t>3.3.2</w:t>
            </w:r>
            <w:r>
              <w:rPr>
                <w:rFonts w:asciiTheme="minorHAnsi" w:hAnsiTheme="minorHAnsi" w:cstheme="minorBidi"/>
                <w:sz w:val="22"/>
                <w:szCs w:val="22"/>
              </w:rPr>
              <w:tab/>
            </w:r>
            <w:r w:rsidRPr="00F57863">
              <w:rPr>
                <w:rStyle w:val="Hyperlink"/>
              </w:rPr>
              <w:t>Detailed Results for SCE’s CBP Program</w:t>
            </w:r>
            <w:r>
              <w:rPr>
                <w:webHidden/>
              </w:rPr>
              <w:tab/>
            </w:r>
            <w:r>
              <w:rPr>
                <w:webHidden/>
              </w:rPr>
              <w:fldChar w:fldCharType="begin"/>
            </w:r>
            <w:r>
              <w:rPr>
                <w:webHidden/>
              </w:rPr>
              <w:instrText xml:space="preserve"> PAGEREF _Toc326150816 \h </w:instrText>
            </w:r>
            <w:r>
              <w:rPr>
                <w:webHidden/>
              </w:rPr>
            </w:r>
            <w:r>
              <w:rPr>
                <w:webHidden/>
              </w:rPr>
              <w:fldChar w:fldCharType="separate"/>
            </w:r>
            <w:r>
              <w:rPr>
                <w:webHidden/>
              </w:rPr>
              <w:t>45</w:t>
            </w:r>
            <w:r>
              <w:rPr>
                <w:webHidden/>
              </w:rPr>
              <w:fldChar w:fldCharType="end"/>
            </w:r>
          </w:hyperlink>
        </w:p>
        <w:p w:rsidR="00FB7104" w:rsidRDefault="00FB7104">
          <w:pPr>
            <w:pStyle w:val="TOC2"/>
            <w:rPr>
              <w:rFonts w:asciiTheme="minorHAnsi" w:hAnsiTheme="minorHAnsi" w:cstheme="minorBidi"/>
              <w:sz w:val="22"/>
              <w:szCs w:val="22"/>
            </w:rPr>
          </w:pPr>
          <w:hyperlink w:anchor="_Toc326150817" w:history="1">
            <w:r w:rsidRPr="00F57863">
              <w:rPr>
                <w:rStyle w:val="Hyperlink"/>
              </w:rPr>
              <w:t>3.4</w:t>
            </w:r>
            <w:r>
              <w:rPr>
                <w:rFonts w:asciiTheme="minorHAnsi" w:hAnsiTheme="minorHAnsi" w:cstheme="minorBidi"/>
                <w:sz w:val="22"/>
                <w:szCs w:val="22"/>
              </w:rPr>
              <w:tab/>
            </w:r>
            <w:r w:rsidRPr="00F57863">
              <w:rPr>
                <w:rStyle w:val="Hyperlink"/>
              </w:rPr>
              <w:t>SDG&amp;E Settlement Baseline Analysis</w:t>
            </w:r>
            <w:r>
              <w:rPr>
                <w:webHidden/>
              </w:rPr>
              <w:tab/>
            </w:r>
            <w:r>
              <w:rPr>
                <w:webHidden/>
              </w:rPr>
              <w:fldChar w:fldCharType="begin"/>
            </w:r>
            <w:r>
              <w:rPr>
                <w:webHidden/>
              </w:rPr>
              <w:instrText xml:space="preserve"> PAGEREF _Toc326150817 \h </w:instrText>
            </w:r>
            <w:r>
              <w:rPr>
                <w:webHidden/>
              </w:rPr>
            </w:r>
            <w:r>
              <w:rPr>
                <w:webHidden/>
              </w:rPr>
              <w:fldChar w:fldCharType="separate"/>
            </w:r>
            <w:r>
              <w:rPr>
                <w:webHidden/>
              </w:rPr>
              <w:t>48</w:t>
            </w:r>
            <w:r>
              <w:rPr>
                <w:webHidden/>
              </w:rPr>
              <w:fldChar w:fldCharType="end"/>
            </w:r>
          </w:hyperlink>
        </w:p>
        <w:p w:rsidR="00FB7104" w:rsidRDefault="00FB7104">
          <w:pPr>
            <w:pStyle w:val="TOC3"/>
            <w:rPr>
              <w:rFonts w:asciiTheme="minorHAnsi" w:hAnsiTheme="minorHAnsi" w:cstheme="minorBidi"/>
              <w:sz w:val="22"/>
              <w:szCs w:val="22"/>
            </w:rPr>
          </w:pPr>
          <w:hyperlink w:anchor="_Toc326150818" w:history="1">
            <w:r w:rsidRPr="00F57863">
              <w:rPr>
                <w:rStyle w:val="Hyperlink"/>
              </w:rPr>
              <w:t>3.4.1</w:t>
            </w:r>
            <w:r>
              <w:rPr>
                <w:rFonts w:asciiTheme="minorHAnsi" w:hAnsiTheme="minorHAnsi" w:cstheme="minorBidi"/>
                <w:sz w:val="22"/>
                <w:szCs w:val="22"/>
              </w:rPr>
              <w:tab/>
            </w:r>
            <w:r w:rsidRPr="00F57863">
              <w:rPr>
                <w:rStyle w:val="Hyperlink"/>
              </w:rPr>
              <w:t>Detailed Results for SDG&amp;E’s CBP Program</w:t>
            </w:r>
            <w:r>
              <w:rPr>
                <w:webHidden/>
              </w:rPr>
              <w:tab/>
            </w:r>
            <w:r>
              <w:rPr>
                <w:webHidden/>
              </w:rPr>
              <w:fldChar w:fldCharType="begin"/>
            </w:r>
            <w:r>
              <w:rPr>
                <w:webHidden/>
              </w:rPr>
              <w:instrText xml:space="preserve"> PAGEREF _Toc326150818 \h </w:instrText>
            </w:r>
            <w:r>
              <w:rPr>
                <w:webHidden/>
              </w:rPr>
            </w:r>
            <w:r>
              <w:rPr>
                <w:webHidden/>
              </w:rPr>
              <w:fldChar w:fldCharType="separate"/>
            </w:r>
            <w:r>
              <w:rPr>
                <w:webHidden/>
              </w:rPr>
              <w:t>50</w:t>
            </w:r>
            <w:r>
              <w:rPr>
                <w:webHidden/>
              </w:rPr>
              <w:fldChar w:fldCharType="end"/>
            </w:r>
          </w:hyperlink>
        </w:p>
        <w:p w:rsidR="00FB7104" w:rsidRDefault="00FB7104">
          <w:pPr>
            <w:pStyle w:val="TOC1"/>
            <w:rPr>
              <w:rFonts w:asciiTheme="minorHAnsi" w:hAnsiTheme="minorHAnsi" w:cstheme="minorBidi"/>
              <w:sz w:val="22"/>
              <w:szCs w:val="22"/>
            </w:rPr>
          </w:pPr>
          <w:hyperlink w:anchor="_Toc326150819" w:history="1">
            <w:r w:rsidRPr="00F57863">
              <w:rPr>
                <w:rStyle w:val="Hyperlink"/>
              </w:rPr>
              <w:t>4</w:t>
            </w:r>
            <w:r>
              <w:rPr>
                <w:rFonts w:asciiTheme="minorHAnsi" w:hAnsiTheme="minorHAnsi" w:cstheme="minorBidi"/>
                <w:sz w:val="22"/>
                <w:szCs w:val="22"/>
              </w:rPr>
              <w:tab/>
            </w:r>
            <w:r w:rsidRPr="00F57863">
              <w:rPr>
                <w:rStyle w:val="Hyperlink"/>
              </w:rPr>
              <w:t>Recommendations</w:t>
            </w:r>
            <w:r>
              <w:rPr>
                <w:webHidden/>
              </w:rPr>
              <w:tab/>
            </w:r>
            <w:r>
              <w:rPr>
                <w:webHidden/>
              </w:rPr>
              <w:fldChar w:fldCharType="begin"/>
            </w:r>
            <w:r>
              <w:rPr>
                <w:webHidden/>
              </w:rPr>
              <w:instrText xml:space="preserve"> PAGEREF _Toc326150819 \h </w:instrText>
            </w:r>
            <w:r>
              <w:rPr>
                <w:webHidden/>
              </w:rPr>
            </w:r>
            <w:r>
              <w:rPr>
                <w:webHidden/>
              </w:rPr>
              <w:fldChar w:fldCharType="separate"/>
            </w:r>
            <w:r>
              <w:rPr>
                <w:webHidden/>
              </w:rPr>
              <w:t>53</w:t>
            </w:r>
            <w:r>
              <w:rPr>
                <w:webHidden/>
              </w:rPr>
              <w:fldChar w:fldCharType="end"/>
            </w:r>
          </w:hyperlink>
        </w:p>
        <w:p w:rsidR="00FB7104" w:rsidRDefault="00FB7104">
          <w:pPr>
            <w:pStyle w:val="TOC1"/>
            <w:tabs>
              <w:tab w:val="left" w:pos="1540"/>
            </w:tabs>
            <w:rPr>
              <w:rFonts w:asciiTheme="minorHAnsi" w:hAnsiTheme="minorHAnsi" w:cstheme="minorBidi"/>
              <w:sz w:val="22"/>
              <w:szCs w:val="22"/>
            </w:rPr>
          </w:pPr>
          <w:hyperlink w:anchor="_Toc326150820" w:history="1">
            <w:r w:rsidRPr="00F57863">
              <w:rPr>
                <w:rStyle w:val="Hyperlink"/>
                <w:snapToGrid w:val="0"/>
                <w:w w:val="0"/>
              </w:rPr>
              <w:t>Appendix A.</w:t>
            </w:r>
            <w:r>
              <w:rPr>
                <w:rFonts w:asciiTheme="minorHAnsi" w:hAnsiTheme="minorHAnsi" w:cstheme="minorBidi"/>
                <w:sz w:val="22"/>
                <w:szCs w:val="22"/>
              </w:rPr>
              <w:tab/>
            </w:r>
            <w:r w:rsidRPr="00F57863">
              <w:rPr>
                <w:rStyle w:val="Hyperlink"/>
              </w:rPr>
              <w:t>Other Factors Influencing Impact Error</w:t>
            </w:r>
            <w:r>
              <w:rPr>
                <w:webHidden/>
              </w:rPr>
              <w:tab/>
            </w:r>
            <w:r>
              <w:rPr>
                <w:webHidden/>
              </w:rPr>
              <w:fldChar w:fldCharType="begin"/>
            </w:r>
            <w:r>
              <w:rPr>
                <w:webHidden/>
              </w:rPr>
              <w:instrText xml:space="preserve"> PAGEREF _Toc326150820 \h </w:instrText>
            </w:r>
            <w:r>
              <w:rPr>
                <w:webHidden/>
              </w:rPr>
            </w:r>
            <w:r>
              <w:rPr>
                <w:webHidden/>
              </w:rPr>
              <w:fldChar w:fldCharType="separate"/>
            </w:r>
            <w:r>
              <w:rPr>
                <w:webHidden/>
              </w:rPr>
              <w:t>54</w:t>
            </w:r>
            <w:r>
              <w:rPr>
                <w:webHidden/>
              </w:rPr>
              <w:fldChar w:fldCharType="end"/>
            </w:r>
          </w:hyperlink>
        </w:p>
        <w:p w:rsidR="008B5314" w:rsidRDefault="008E540D">
          <w:r w:rsidRPr="00464E41">
            <w:rPr>
              <w:rFonts w:ascii="Arial" w:hAnsi="Arial"/>
              <w:sz w:val="24"/>
            </w:rPr>
            <w:fldChar w:fldCharType="end"/>
          </w:r>
        </w:p>
      </w:sdtContent>
    </w:sdt>
    <w:p w:rsidR="00DB35F9" w:rsidRPr="00ED253C" w:rsidRDefault="00DB35F9" w:rsidP="00305437">
      <w:pPr>
        <w:pStyle w:val="PreparedForCompany"/>
      </w:pPr>
      <w:bookmarkStart w:id="0" w:name="_Toc268073344"/>
    </w:p>
    <w:p w:rsidR="00DB35F9" w:rsidRDefault="00DB35F9" w:rsidP="00DB35F9">
      <w:pPr>
        <w:spacing w:before="240"/>
        <w:rPr>
          <w:b/>
          <w:color w:val="433B67"/>
          <w:sz w:val="28"/>
          <w:szCs w:val="28"/>
        </w:rPr>
        <w:sectPr w:rsidR="00DB35F9" w:rsidSect="00F7630F">
          <w:headerReference w:type="default" r:id="rId15"/>
          <w:footerReference w:type="default" r:id="rId16"/>
          <w:headerReference w:type="first" r:id="rId17"/>
          <w:footerReference w:type="first" r:id="rId18"/>
          <w:pgSz w:w="12240" w:h="15840"/>
          <w:pgMar w:top="1440" w:right="1800" w:bottom="1440" w:left="1800" w:header="720" w:footer="720" w:gutter="0"/>
          <w:pgNumType w:fmt="lowerRoman" w:start="1"/>
          <w:cols w:space="720"/>
          <w:docGrid w:linePitch="360"/>
        </w:sectPr>
      </w:pPr>
    </w:p>
    <w:p w:rsidR="00B90B9B" w:rsidRDefault="00243DA0">
      <w:pPr>
        <w:pStyle w:val="Heading1"/>
        <w:numPr>
          <w:ilvl w:val="0"/>
          <w:numId w:val="0"/>
        </w:numPr>
      </w:pPr>
      <w:bookmarkStart w:id="1" w:name="_Toc324232544"/>
      <w:bookmarkStart w:id="2" w:name="_Toc318789272"/>
      <w:bookmarkStart w:id="3" w:name="_Toc326150789"/>
      <w:r>
        <w:lastRenderedPageBreak/>
        <w:t>Executive Summary</w:t>
      </w:r>
      <w:bookmarkEnd w:id="1"/>
      <w:bookmarkEnd w:id="3"/>
    </w:p>
    <w:p w:rsidR="00243DA0" w:rsidRDefault="00243DA0" w:rsidP="00243DA0">
      <w:pPr>
        <w:pStyle w:val="BodyParagraph"/>
      </w:pPr>
      <w:r>
        <w:t>This report provides an assessment of the extent to which modifications to the current settlement baseline calculation rules improves settlement</w:t>
      </w:r>
      <w:r w:rsidR="00403E51">
        <w:t xml:space="preserve"> accuracy</w:t>
      </w:r>
      <w:r>
        <w:t xml:space="preserve"> for </w:t>
      </w:r>
      <w:r w:rsidRPr="00050374">
        <w:t>aggregator demand response (DR) programs operated by the three California investor-owned utilities (IOUs), Pacific Gas and Electric (PG&amp;E), Southern California Edison (SCE) and San Diego Gas and Electric (SDG&amp;E).</w:t>
      </w:r>
      <w:r>
        <w:t xml:space="preserve">  Specifically, the assessment includes</w:t>
      </w:r>
      <w:r w:rsidR="00403E51">
        <w:t xml:space="preserve"> the state</w:t>
      </w:r>
      <w:r w:rsidRPr="00050374">
        <w:t xml:space="preserve">wide Capacity Bidding Program (CBP), which is operated by all three IOUs, PG&amp;E’s Aggregator Managed Portfolio (AMP) and SCE’s Demand Response Resource Contracts (DRRC). </w:t>
      </w:r>
      <w:r>
        <w:t xml:space="preserve"> Collectively, these programs are referred to as aggregator programs.  </w:t>
      </w:r>
    </w:p>
    <w:p w:rsidR="00243DA0" w:rsidRDefault="00243DA0" w:rsidP="00BB2A20">
      <w:pPr>
        <w:pStyle w:val="BodyBeforeBullet"/>
      </w:pPr>
      <w:r>
        <w:t xml:space="preserve">This report is the second of two volumes documenting the ex post impact evaluation of the aggregator programs for 2011.  Volume 1 contains the ex post impact estimates for each 2011 event for each program and resource option (e.g., </w:t>
      </w:r>
      <w:r w:rsidR="00E535D9">
        <w:t>day-of</w:t>
      </w:r>
      <w:r>
        <w:t xml:space="preserve"> or day ahead).  In this report, </w:t>
      </w:r>
      <w:r w:rsidR="00403E51">
        <w:t>v</w:t>
      </w:r>
      <w:r>
        <w:t xml:space="preserve">arious baseline </w:t>
      </w:r>
      <w:r w:rsidR="00403E51">
        <w:t xml:space="preserve">methods </w:t>
      </w:r>
      <w:r>
        <w:t>are tested on both actual 2011 event days, in which the baseline impact estimates are compared to the regression based estimates presented in Volume I, and on event-like days, in which baseline estimates are compared with simulated impacts that are known with ce</w:t>
      </w:r>
      <w:r w:rsidR="00403E51">
        <w:t xml:space="preserve">rtainty.  In total, </w:t>
      </w:r>
      <w:r>
        <w:t xml:space="preserve">32 baseline </w:t>
      </w:r>
      <w:r w:rsidR="00403E51">
        <w:t>methods are evaluated</w:t>
      </w:r>
      <w:r>
        <w:t xml:space="preserve">.  In each case, the </w:t>
      </w:r>
      <w:r w:rsidRPr="00050374">
        <w:t>baseline</w:t>
      </w:r>
      <w:r>
        <w:t xml:space="preserve"> is calculated using </w:t>
      </w:r>
      <w:r w:rsidRPr="00050374">
        <w:t xml:space="preserve">the same-hour average of </w:t>
      </w:r>
      <w:r>
        <w:t>the 10</w:t>
      </w:r>
      <w:r w:rsidRPr="00050374">
        <w:t xml:space="preserve"> weekdays immediately preceding the </w:t>
      </w:r>
      <w:r>
        <w:t xml:space="preserve">curtailment </w:t>
      </w:r>
      <w:r w:rsidRPr="00050374">
        <w:t>event</w:t>
      </w:r>
      <w:r>
        <w:t xml:space="preserve"> in question</w:t>
      </w:r>
      <w:r w:rsidRPr="00050374">
        <w:t>, excluding other event day</w:t>
      </w:r>
      <w:r>
        <w:t>s</w:t>
      </w:r>
      <w:r w:rsidRPr="00050374">
        <w:t xml:space="preserve"> and holidays</w:t>
      </w:r>
      <w:r>
        <w:t xml:space="preserve"> – also known as a 10-in-10 baseline</w:t>
      </w:r>
      <w:r w:rsidR="00F7630F" w:rsidRPr="00050374">
        <w:t>.</w:t>
      </w:r>
      <w:r w:rsidR="00F7630F">
        <w:t xml:space="preserve">  </w:t>
      </w:r>
      <w:r>
        <w:t>However, the baselines vary across the following three</w:t>
      </w:r>
      <w:r w:rsidR="00BB2A20">
        <w:t> </w:t>
      </w:r>
      <w:r>
        <w:t>parameters:</w:t>
      </w:r>
    </w:p>
    <w:p w:rsidR="00243DA0" w:rsidRPr="00D77139" w:rsidRDefault="00243DA0" w:rsidP="00243DA0">
      <w:pPr>
        <w:pStyle w:val="Bullets"/>
      </w:pPr>
      <w:r w:rsidRPr="0030597F">
        <w:rPr>
          <w:i/>
        </w:rPr>
        <w:t>Aggregate versus individual baseline calculation</w:t>
      </w:r>
      <w:r w:rsidRPr="00D77139">
        <w:t xml:space="preserve">: With the individual approach, the baseline is calculated for each individual customer, and the same-day adjustments (and caps) are applied at the individual customer level.  The individual customer results are then aggregated for each settlement portfolio.  With </w:t>
      </w:r>
      <w:r>
        <w:t xml:space="preserve">the </w:t>
      </w:r>
      <w:r w:rsidRPr="00D77139">
        <w:t xml:space="preserve">aggregate calculation approach, customer loads are first aggregated for each settlement portfolio.  The baseline is then calculated based on the aggregated loads and the </w:t>
      </w:r>
      <w:r w:rsidR="00E535D9">
        <w:t>same-day</w:t>
      </w:r>
      <w:r w:rsidRPr="00D77139">
        <w:t xml:space="preserve"> adjustments (and caps) are applied using the aggregated loads.</w:t>
      </w:r>
    </w:p>
    <w:p w:rsidR="00243DA0" w:rsidRPr="006C0C0C" w:rsidRDefault="00243DA0" w:rsidP="00243DA0">
      <w:pPr>
        <w:pStyle w:val="Bullets"/>
        <w:rPr>
          <w:szCs w:val="20"/>
        </w:rPr>
      </w:pPr>
      <w:r w:rsidRPr="006C0C0C">
        <w:rPr>
          <w:i/>
          <w:szCs w:val="20"/>
        </w:rPr>
        <w:t>Universal versus optional application of same-day adjustments:</w:t>
      </w:r>
      <w:r w:rsidRPr="006C0C0C">
        <w:rPr>
          <w:szCs w:val="20"/>
        </w:rPr>
        <w:t xml:space="preserve">  Baselines are either adjusted for all settlement portfolios, or the </w:t>
      </w:r>
      <w:r w:rsidRPr="006C0C0C">
        <w:rPr>
          <w:bCs/>
          <w:color w:val="000000"/>
          <w:szCs w:val="20"/>
        </w:rPr>
        <w:t>aggregator can elect prior to events whether or not to apply same-day</w:t>
      </w:r>
      <w:r w:rsidR="00BB2A20" w:rsidRPr="006C0C0C">
        <w:rPr>
          <w:bCs/>
          <w:color w:val="000000"/>
          <w:szCs w:val="20"/>
        </w:rPr>
        <w:t> </w:t>
      </w:r>
      <w:r w:rsidRPr="006C0C0C">
        <w:rPr>
          <w:bCs/>
          <w:color w:val="000000"/>
          <w:szCs w:val="20"/>
        </w:rPr>
        <w:t>adjustments.</w:t>
      </w:r>
    </w:p>
    <w:p w:rsidR="00243DA0" w:rsidRPr="005A70A4" w:rsidRDefault="00243DA0" w:rsidP="00BB2A20">
      <w:pPr>
        <w:pStyle w:val="BulletLast"/>
        <w:rPr>
          <w:i/>
          <w:u w:val="single"/>
        </w:rPr>
      </w:pPr>
      <w:r w:rsidRPr="0030597F">
        <w:rPr>
          <w:i/>
        </w:rPr>
        <w:t xml:space="preserve">The magnitude of </w:t>
      </w:r>
      <w:r w:rsidR="00E535D9">
        <w:rPr>
          <w:i/>
        </w:rPr>
        <w:t>same-day</w:t>
      </w:r>
      <w:r w:rsidRPr="0030597F">
        <w:rPr>
          <w:i/>
        </w:rPr>
        <w:t xml:space="preserve"> adjustment caps: </w:t>
      </w:r>
      <w:r>
        <w:t xml:space="preserve"> A total of eight adjustment caps are tested, including no adjustment, ±20%, ±30%, ±35%,  ±40%, ±50%, -50% to 200%, and unlimited</w:t>
      </w:r>
      <w:r w:rsidR="00BB2A20">
        <w:t> </w:t>
      </w:r>
      <w:r>
        <w:t xml:space="preserve">adjustments. </w:t>
      </w:r>
    </w:p>
    <w:p w:rsidR="00243DA0" w:rsidRDefault="0090465E" w:rsidP="00BB2A20">
      <w:pPr>
        <w:pStyle w:val="BodyParagraph"/>
      </w:pPr>
      <w:r>
        <w:t>For most</w:t>
      </w:r>
      <w:r w:rsidR="009A532A">
        <w:t xml:space="preserve"> </w:t>
      </w:r>
      <w:r>
        <w:t xml:space="preserve">aggregator program options, the current baseline underestimates the demand reductions both in comparison to the 2011 evaluation results and under idealized simulation settings where baseline bias can be calculated.  </w:t>
      </w:r>
      <w:r w:rsidR="00243DA0">
        <w:t xml:space="preserve">For most aggregator program options, the difference between the current baseline estimates and the 2011 evaluation results parallels the estimated baseline bias.  However, no single change reduces the degree of baseline bias across all aggregator program options.  </w:t>
      </w:r>
    </w:p>
    <w:p w:rsidR="00243DA0" w:rsidRDefault="00243DA0" w:rsidP="00BB2A20">
      <w:pPr>
        <w:pStyle w:val="BodyBeforeBullet"/>
      </w:pPr>
      <w:r w:rsidRPr="005751B5">
        <w:rPr>
          <w:rStyle w:val="BodyParagraphChar"/>
        </w:rPr>
        <w:t>Key findings include</w:t>
      </w:r>
      <w:r>
        <w:t>:</w:t>
      </w:r>
    </w:p>
    <w:p w:rsidR="00243DA0" w:rsidRDefault="00243DA0" w:rsidP="00243DA0">
      <w:pPr>
        <w:pStyle w:val="Bullets"/>
      </w:pPr>
      <w:r w:rsidRPr="0030597F">
        <w:rPr>
          <w:i/>
        </w:rPr>
        <w:t xml:space="preserve">Applying same-day adjustments universally </w:t>
      </w:r>
      <w:r>
        <w:rPr>
          <w:i/>
        </w:rPr>
        <w:t>in</w:t>
      </w:r>
      <w:r w:rsidRPr="0030597F">
        <w:rPr>
          <w:i/>
        </w:rPr>
        <w:t xml:space="preserve">creases accuracy. </w:t>
      </w:r>
      <w:r>
        <w:rPr>
          <w:i/>
        </w:rPr>
        <w:t xml:space="preserve"> </w:t>
      </w:r>
      <w:r>
        <w:t>Almost every single table included in this report sh</w:t>
      </w:r>
      <w:r w:rsidR="00403E51">
        <w:t>ows that applying any kind of same</w:t>
      </w:r>
      <w:r>
        <w:t xml:space="preserve">-day adjustment improves results.  A substantial share of the underestimation by the current baseline </w:t>
      </w:r>
      <w:r w:rsidR="00403E51">
        <w:t>method</w:t>
      </w:r>
      <w:r>
        <w:t xml:space="preserve"> is, in fact, due to aggregator decisions not to apply same-day adjustment for all customers in their portfolios</w:t>
      </w:r>
      <w:r w:rsidR="00F7630F">
        <w:t xml:space="preserve">.  </w:t>
      </w:r>
      <w:r>
        <w:t xml:space="preserve">Making same-day adjustments universal generally improves the accuracy of the demand reduction estimate.  It almost always </w:t>
      </w:r>
      <w:r w:rsidRPr="00D436A0">
        <w:rPr>
          <w:i/>
        </w:rPr>
        <w:t>increase</w:t>
      </w:r>
      <w:r>
        <w:rPr>
          <w:i/>
        </w:rPr>
        <w:t>s</w:t>
      </w:r>
      <w:r>
        <w:t xml:space="preserve"> the amount of the </w:t>
      </w:r>
      <w:r w:rsidR="009A532A">
        <w:t xml:space="preserve">overall </w:t>
      </w:r>
      <w:r>
        <w:t>reduction measured by the</w:t>
      </w:r>
      <w:r w:rsidR="00F953B4">
        <w:t> </w:t>
      </w:r>
      <w:r>
        <w:t>baseline.</w:t>
      </w:r>
    </w:p>
    <w:p w:rsidR="00243DA0" w:rsidRDefault="00243DA0" w:rsidP="00243DA0">
      <w:pPr>
        <w:pStyle w:val="Bullets"/>
      </w:pPr>
      <w:r w:rsidRPr="0030597F">
        <w:rPr>
          <w:i/>
        </w:rPr>
        <w:lastRenderedPageBreak/>
        <w:t xml:space="preserve">Calculating adjustments at the settlement portfolio level generally does not </w:t>
      </w:r>
      <w:r>
        <w:rPr>
          <w:i/>
        </w:rPr>
        <w:t xml:space="preserve">noticeably </w:t>
      </w:r>
      <w:r w:rsidRPr="0030597F">
        <w:rPr>
          <w:i/>
        </w:rPr>
        <w:t>decrease or increase bias in the impact estimate</w:t>
      </w:r>
      <w:r>
        <w:rPr>
          <w:i/>
        </w:rPr>
        <w:t>, but it does reduce the magnitude of same-day adjustments</w:t>
      </w:r>
      <w:r w:rsidRPr="0030597F">
        <w:rPr>
          <w:i/>
        </w:rPr>
        <w:t>.</w:t>
      </w:r>
      <w:r>
        <w:t xml:space="preserve">  Aggregating loads first reduces much of the individual customer volatility, makes loads more predictable and leads to smaller same-day adjustments.  The higher the number of accounts in a portfolio, the less volatile the load</w:t>
      </w:r>
      <w:r w:rsidR="00403E51">
        <w:t>.  That is, less extreme same</w:t>
      </w:r>
      <w:r>
        <w:t>-day adjustments are required if an aggregator portfolio is large</w:t>
      </w:r>
      <w:r w:rsidR="00F7630F">
        <w:t>.</w:t>
      </w:r>
      <w:r w:rsidR="00F7630F" w:rsidRPr="00D6060F">
        <w:t xml:space="preserve">  </w:t>
      </w:r>
      <w:r>
        <w:t>This is because the load for a large, aggregated group of customers is much easier to predict than the load for one individual</w:t>
      </w:r>
      <w:r w:rsidR="000E10B0">
        <w:t> </w:t>
      </w:r>
      <w:r>
        <w:t>customer.</w:t>
      </w:r>
    </w:p>
    <w:p w:rsidR="00243DA0" w:rsidRDefault="00243DA0" w:rsidP="00243DA0">
      <w:pPr>
        <w:pStyle w:val="Bullets"/>
      </w:pPr>
      <w:r w:rsidRPr="005751B5">
        <w:rPr>
          <w:i/>
        </w:rPr>
        <w:t>Increasing the adjustment cap generally improves the accuracy of the results</w:t>
      </w:r>
      <w:r w:rsidR="00F7630F">
        <w:t xml:space="preserve">.  </w:t>
      </w:r>
      <w:r>
        <w:t>This result varies by program option</w:t>
      </w:r>
      <w:r w:rsidR="006C0C0C">
        <w:t>.  For some program options, they make no or little difference.  When a higher adjustment cap affect</w:t>
      </w:r>
      <w:r w:rsidR="00B8552D">
        <w:t>s</w:t>
      </w:r>
      <w:r w:rsidR="006C0C0C">
        <w:t xml:space="preserve"> accuracy, it </w:t>
      </w:r>
      <w:r>
        <w:t>typically lead</w:t>
      </w:r>
      <w:r w:rsidR="006C0C0C">
        <w:t>s</w:t>
      </w:r>
      <w:r>
        <w:t xml:space="preserve"> to more accurate results.  </w:t>
      </w:r>
      <w:r w:rsidR="00CE3792">
        <w:t>However, removing</w:t>
      </w:r>
      <w:r>
        <w:t xml:space="preserve"> the adjustment cap altogether is not advisable because it can cause </w:t>
      </w:r>
      <w:r w:rsidR="00CE3792">
        <w:t>extreme adjustments</w:t>
      </w:r>
      <w:r>
        <w:t xml:space="preserve"> for some customers on some days.</w:t>
      </w:r>
      <w:r w:rsidR="009A532A">
        <w:t xml:space="preserve">  These outliers can be large enough to affect the overall program results.</w:t>
      </w:r>
    </w:p>
    <w:p w:rsidR="00243DA0" w:rsidRDefault="00464E41" w:rsidP="00243DA0">
      <w:pPr>
        <w:pStyle w:val="Bullets"/>
      </w:pPr>
      <w:r w:rsidRPr="00464E41">
        <w:rPr>
          <w:i/>
        </w:rPr>
        <w:t xml:space="preserve">For SCE and SDG&amp;E’s programs, most of the discrepancy between regression-based impacts and baseline-measured impacts </w:t>
      </w:r>
      <w:r w:rsidR="009A532A">
        <w:rPr>
          <w:i/>
        </w:rPr>
        <w:t xml:space="preserve">can </w:t>
      </w:r>
      <w:r w:rsidR="00657C27">
        <w:rPr>
          <w:i/>
        </w:rPr>
        <w:t>be</w:t>
      </w:r>
      <w:r w:rsidR="00657C27" w:rsidRPr="00265789">
        <w:rPr>
          <w:i/>
        </w:rPr>
        <w:t xml:space="preserve"> </w:t>
      </w:r>
      <w:r w:rsidR="00CE3792" w:rsidRPr="00265789">
        <w:rPr>
          <w:i/>
        </w:rPr>
        <w:t>explained</w:t>
      </w:r>
      <w:r w:rsidRPr="00464E41">
        <w:rPr>
          <w:i/>
        </w:rPr>
        <w:t xml:space="preserve"> by bias in the baseline </w:t>
      </w:r>
      <w:r w:rsidR="00657C27" w:rsidRPr="00265789">
        <w:rPr>
          <w:i/>
        </w:rPr>
        <w:t>method</w:t>
      </w:r>
      <w:r w:rsidR="00243DA0">
        <w:t>.  In PG&amp;E’s case, some of this discrepancy is also due to the fact that some customers change their consumption behavior in anticipation of an ev</w:t>
      </w:r>
      <w:r w:rsidR="00403E51">
        <w:t xml:space="preserve">ent: they either begin reducing </w:t>
      </w:r>
      <w:r w:rsidR="00243DA0">
        <w:t>load early, or increase their load in pre-event hours, affecting the same-day adjustment.</w:t>
      </w:r>
    </w:p>
    <w:p w:rsidR="00243DA0" w:rsidRPr="009A532A" w:rsidRDefault="00464E41" w:rsidP="00BB2A20">
      <w:pPr>
        <w:pStyle w:val="BulletLast"/>
        <w:rPr>
          <w:i/>
        </w:rPr>
      </w:pPr>
      <w:r w:rsidRPr="00464E41">
        <w:rPr>
          <w:i/>
        </w:rPr>
        <w:t xml:space="preserve">Baseline bias is minimized when customers and aggregators commit to larger demand reductions, as a percentage of </w:t>
      </w:r>
      <w:r w:rsidR="009A532A">
        <w:rPr>
          <w:i/>
        </w:rPr>
        <w:t xml:space="preserve">their </w:t>
      </w:r>
      <w:r w:rsidR="00CE3792" w:rsidRPr="00265789">
        <w:rPr>
          <w:i/>
        </w:rPr>
        <w:t>load</w:t>
      </w:r>
      <w:r w:rsidRPr="00464E41">
        <w:rPr>
          <w:i/>
        </w:rPr>
        <w:t>, during event windows</w:t>
      </w:r>
      <w:r w:rsidR="00243DA0" w:rsidRPr="009A532A">
        <w:t>.</w:t>
      </w:r>
    </w:p>
    <w:p w:rsidR="00657C27" w:rsidRDefault="00657C27"/>
    <w:p w:rsidR="008B5314" w:rsidRDefault="008B5314"/>
    <w:p w:rsidR="00243DA0" w:rsidRDefault="00243DA0">
      <w:pPr>
        <w:rPr>
          <w:rFonts w:ascii="Arial Black" w:hAnsi="Arial Black"/>
          <w:b/>
          <w:color w:val="433B67"/>
          <w:sz w:val="28"/>
        </w:rPr>
      </w:pPr>
      <w:r>
        <w:br w:type="page"/>
      </w:r>
    </w:p>
    <w:p w:rsidR="00116D21" w:rsidRDefault="00116D21" w:rsidP="00116D21">
      <w:pPr>
        <w:pStyle w:val="Heading1"/>
      </w:pPr>
      <w:bookmarkStart w:id="4" w:name="_Toc324232545"/>
      <w:bookmarkStart w:id="5" w:name="_Toc326150790"/>
      <w:r>
        <w:lastRenderedPageBreak/>
        <w:t>Introduction and Purpose of Study</w:t>
      </w:r>
      <w:bookmarkEnd w:id="2"/>
      <w:bookmarkEnd w:id="4"/>
      <w:bookmarkEnd w:id="5"/>
    </w:p>
    <w:p w:rsidR="00D42F67" w:rsidRDefault="00464E41">
      <w:pPr>
        <w:pStyle w:val="BodyParagraph"/>
      </w:pPr>
      <w:r w:rsidRPr="00464E41">
        <w:t xml:space="preserve">This report is Volume 2 of the 2011 ex post impact evaluation for the aggregator programs offered by PG&amp;E, SCE and SDG&amp;E.  The analysis covers the day ahead and same-day notification options for the statewide Capacity Bidding Program (CBP), PG&amp;E’s Aggregator Managed Portfolio (AMP) and SCE’s Demand Response Resource Contracts (DRRC).  This volume provides an assessment of the extent to which modifications to the current baseline rules would improve the accuracy of the demand reductions calculated for settlement purposes.  The assessment is conducted with both actual 2011 event days, which reflect customer behavior, and event-like days where the degree of bias can be estimated under laboratory-like settings.  The analysis is intended to comply with the CPUC decision D.12-04-045, which directed California’s investor owned utilities (IOUs) to compare the load impact evaluation results to the demand reductions calculated for settlement purposes.  </w:t>
      </w:r>
    </w:p>
    <w:p w:rsidR="00116D21" w:rsidRDefault="00116D21" w:rsidP="00BB2A20">
      <w:pPr>
        <w:pStyle w:val="BodyBeforeBullet"/>
      </w:pPr>
      <w:r>
        <w:t>In this volume, we answer the following questions about baseline methodology:</w:t>
      </w:r>
    </w:p>
    <w:p w:rsidR="00116D21" w:rsidRPr="00050374" w:rsidRDefault="00116D21" w:rsidP="00116D21">
      <w:pPr>
        <w:pStyle w:val="Bullets"/>
      </w:pPr>
      <w:r w:rsidRPr="00050374">
        <w:t>Do</w:t>
      </w:r>
      <w:r>
        <w:t>es allowing aggregators to elect whether or not</w:t>
      </w:r>
      <w:r w:rsidRPr="00050374">
        <w:t xml:space="preserve"> in-day adjustments</w:t>
      </w:r>
      <w:r>
        <w:t xml:space="preserve"> are applied affect</w:t>
      </w:r>
      <w:r w:rsidRPr="00050374">
        <w:t xml:space="preserve"> </w:t>
      </w:r>
      <w:r>
        <w:t xml:space="preserve">the </w:t>
      </w:r>
      <w:r w:rsidRPr="00050374">
        <w:t>accuracy</w:t>
      </w:r>
      <w:r>
        <w:t xml:space="preserve"> of the demand reductions estimated for settlement</w:t>
      </w:r>
      <w:r w:rsidRPr="00050374">
        <w:t>?</w:t>
      </w:r>
      <w:r>
        <w:t xml:space="preserve">  Does accuracy improve or deteriorate if </w:t>
      </w:r>
      <w:r w:rsidR="00E535D9">
        <w:t>same-day</w:t>
      </w:r>
      <w:r>
        <w:t xml:space="preserve"> adjustments are applied universally? </w:t>
      </w:r>
    </w:p>
    <w:p w:rsidR="00116D21" w:rsidRPr="00050374" w:rsidRDefault="00116D21" w:rsidP="00116D21">
      <w:pPr>
        <w:pStyle w:val="Bullets"/>
      </w:pPr>
      <w:r>
        <w:t xml:space="preserve">Does calculating the baselines and applying the </w:t>
      </w:r>
      <w:r w:rsidR="00E535D9">
        <w:t>same-day</w:t>
      </w:r>
      <w:r>
        <w:t xml:space="preserve"> adjustment cap i</w:t>
      </w:r>
      <w:r w:rsidRPr="00050374">
        <w:t>n aggregate</w:t>
      </w:r>
      <w:r>
        <w:t xml:space="preserve"> rather than individually affect the accuracy of the demand reductions estimated for settlement?  Does it affect the magnitude of same-day adjustments? </w:t>
      </w:r>
    </w:p>
    <w:p w:rsidR="00116D21" w:rsidRDefault="00116D21" w:rsidP="00BB2A20">
      <w:pPr>
        <w:pStyle w:val="BulletLast"/>
      </w:pPr>
      <w:r>
        <w:t>Does increasing the cap on the</w:t>
      </w:r>
      <w:r w:rsidRPr="00050374">
        <w:t xml:space="preserve"> magnitude of in-day adjustme</w:t>
      </w:r>
      <w:r>
        <w:t>nts affect the accuracy of the demand reductions calculated for settlement</w:t>
      </w:r>
      <w:r w:rsidRPr="00050374">
        <w:t>?</w:t>
      </w:r>
    </w:p>
    <w:p w:rsidR="00116D21" w:rsidRDefault="00116D21" w:rsidP="00BB2A20">
      <w:pPr>
        <w:pStyle w:val="BodyParagraph"/>
      </w:pPr>
      <w:r>
        <w:t xml:space="preserve">The remainder of this section provides an introduction to how baselines are calculated and adjusted; a brief summary of the current baseline </w:t>
      </w:r>
      <w:r w:rsidR="00403E51">
        <w:t xml:space="preserve">method </w:t>
      </w:r>
      <w:r>
        <w:t xml:space="preserve">used by </w:t>
      </w:r>
      <w:r w:rsidR="00403E51">
        <w:t>the IOU</w:t>
      </w:r>
      <w:r>
        <w:t xml:space="preserve">s; a description of the baselines </w:t>
      </w:r>
      <w:r w:rsidR="00403E51">
        <w:t>methods tested</w:t>
      </w:r>
      <w:r>
        <w:t xml:space="preserve">; and the structure for the remainder of this </w:t>
      </w:r>
      <w:r w:rsidR="00403E51">
        <w:t>report</w:t>
      </w:r>
      <w:r>
        <w:t>.</w:t>
      </w:r>
    </w:p>
    <w:p w:rsidR="00116D21" w:rsidRDefault="00116D21" w:rsidP="00116D21">
      <w:pPr>
        <w:pStyle w:val="Heading2"/>
      </w:pPr>
      <w:bookmarkStart w:id="6" w:name="_Toc318789273"/>
      <w:bookmarkStart w:id="7" w:name="_Toc324232546"/>
      <w:bookmarkStart w:id="8" w:name="_Toc326150791"/>
      <w:r>
        <w:t>Introduction to Baselines</w:t>
      </w:r>
      <w:bookmarkEnd w:id="6"/>
      <w:bookmarkEnd w:id="7"/>
      <w:bookmarkEnd w:id="8"/>
    </w:p>
    <w:p w:rsidR="00116D21" w:rsidRPr="00DA7F7C" w:rsidRDefault="00116D21" w:rsidP="00116D21">
      <w:pPr>
        <w:pStyle w:val="BodyParagraph"/>
      </w:pPr>
      <w:r>
        <w:t xml:space="preserve">Historically, demand reductions for settlement have been calculated by using </w:t>
      </w:r>
      <w:r>
        <w:rPr>
          <w:lang w:val="en-CA"/>
        </w:rPr>
        <w:t xml:space="preserve">information about electricity use patterns </w:t>
      </w:r>
      <w:r w:rsidRPr="00EF7019">
        <w:rPr>
          <w:lang w:val="en-CA"/>
        </w:rPr>
        <w:t xml:space="preserve">during </w:t>
      </w:r>
      <w:r>
        <w:rPr>
          <w:lang w:val="en-CA"/>
        </w:rPr>
        <w:t>the days preceding an event</w:t>
      </w:r>
      <w:r w:rsidRPr="00EF7019">
        <w:rPr>
          <w:lang w:val="en-CA"/>
        </w:rPr>
        <w:t>.</w:t>
      </w:r>
      <w:r>
        <w:rPr>
          <w:lang w:val="en-CA"/>
        </w:rPr>
        <w:t xml:space="preserve">  Electricity use on days preceding an event is averaged to create an estimate – a </w:t>
      </w:r>
      <w:r w:rsidRPr="006C3C3B">
        <w:rPr>
          <w:i/>
          <w:lang w:val="en-CA"/>
        </w:rPr>
        <w:t>baseline</w:t>
      </w:r>
      <w:r>
        <w:rPr>
          <w:i/>
          <w:lang w:val="en-CA"/>
        </w:rPr>
        <w:t xml:space="preserve"> – </w:t>
      </w:r>
      <w:r w:rsidRPr="006C3C3B">
        <w:rPr>
          <w:lang w:val="en-CA"/>
        </w:rPr>
        <w:t>of</w:t>
      </w:r>
      <w:r>
        <w:rPr>
          <w:lang w:val="en-CA"/>
        </w:rPr>
        <w:t xml:space="preserve"> what electricity use </w:t>
      </w:r>
      <w:r w:rsidRPr="006C3C3B">
        <w:rPr>
          <w:i/>
          <w:lang w:val="en-CA"/>
        </w:rPr>
        <w:t>would have been</w:t>
      </w:r>
      <w:r>
        <w:rPr>
          <w:lang w:val="en-CA"/>
        </w:rPr>
        <w:t xml:space="preserve"> if the event had not occurred.</w:t>
      </w:r>
      <w:r>
        <w:rPr>
          <w:rStyle w:val="FootnoteReference"/>
          <w:lang w:val="en-CA"/>
        </w:rPr>
        <w:footnoteReference w:id="1"/>
      </w:r>
      <w:r>
        <w:rPr>
          <w:lang w:val="en-CA"/>
        </w:rPr>
        <w:t xml:space="preserve">  Using this approach, d</w:t>
      </w:r>
      <w:r w:rsidRPr="00EF7019">
        <w:rPr>
          <w:lang w:val="en-CA"/>
        </w:rPr>
        <w:t xml:space="preserve">emand reductions are calculated </w:t>
      </w:r>
      <w:r>
        <w:rPr>
          <w:lang w:val="en-CA"/>
        </w:rPr>
        <w:t xml:space="preserve">by subtracting the load on the event day from the baseline.  In other words, baselines are a tool to </w:t>
      </w:r>
      <w:r w:rsidR="00403E51">
        <w:rPr>
          <w:lang w:val="en-CA"/>
        </w:rPr>
        <w:t xml:space="preserve">estimate </w:t>
      </w:r>
      <w:r>
        <w:rPr>
          <w:lang w:val="en-CA"/>
        </w:rPr>
        <w:t xml:space="preserve">demand reductions, </w:t>
      </w:r>
      <w:r w:rsidR="00403E51">
        <w:rPr>
          <w:lang w:val="en-CA"/>
        </w:rPr>
        <w:t xml:space="preserve">which </w:t>
      </w:r>
      <w:r>
        <w:rPr>
          <w:lang w:val="en-CA"/>
        </w:rPr>
        <w:t xml:space="preserve">cannot be </w:t>
      </w:r>
      <w:r w:rsidR="00403E51">
        <w:rPr>
          <w:lang w:val="en-CA"/>
        </w:rPr>
        <w:t>observed</w:t>
      </w:r>
      <w:r>
        <w:rPr>
          <w:lang w:val="en-CA"/>
        </w:rPr>
        <w:t xml:space="preserve"> directly. </w:t>
      </w:r>
    </w:p>
    <w:p w:rsidR="00116D21" w:rsidRDefault="00116D21" w:rsidP="00116D21">
      <w:pPr>
        <w:pStyle w:val="BodyParagraph"/>
      </w:pPr>
      <w:r>
        <w:rPr>
          <w:lang w:val="en-CA"/>
        </w:rPr>
        <w:t xml:space="preserve">Baseline estimates of electricity use during an event period can be adjusted up or down based on electricity use patterns during the hours leading up to </w:t>
      </w:r>
      <w:r w:rsidR="00403E51">
        <w:rPr>
          <w:lang w:val="en-CA"/>
        </w:rPr>
        <w:t>an</w:t>
      </w:r>
      <w:r>
        <w:rPr>
          <w:lang w:val="en-CA"/>
        </w:rPr>
        <w:t xml:space="preserve"> event.  This procedure is known as </w:t>
      </w:r>
      <w:r>
        <w:rPr>
          <w:i/>
          <w:lang w:val="en-CA"/>
        </w:rPr>
        <w:t>same-day adjustment</w:t>
      </w:r>
      <w:r>
        <w:t>.</w:t>
      </w:r>
      <w:r w:rsidRPr="00050374">
        <w:t xml:space="preserve"> </w:t>
      </w:r>
      <w:r>
        <w:t xml:space="preserve"> </w:t>
      </w:r>
      <w:r w:rsidRPr="00050374">
        <w:t>If</w:t>
      </w:r>
      <w:r>
        <w:t>, during pre-event hours,</w:t>
      </w:r>
      <w:r w:rsidRPr="00050374">
        <w:t xml:space="preserve"> the baseline is </w:t>
      </w:r>
      <w:r>
        <w:t xml:space="preserve">less than </w:t>
      </w:r>
      <w:r w:rsidRPr="00050374">
        <w:t xml:space="preserve">the actual load, it is </w:t>
      </w:r>
      <w:r w:rsidR="00CE3792">
        <w:t>adjusted</w:t>
      </w:r>
      <w:r w:rsidR="00C236D9">
        <w:t xml:space="preserve"> upwards</w:t>
      </w:r>
      <w:r w:rsidRPr="00050374">
        <w:t xml:space="preserve">.  Similarly, if the </w:t>
      </w:r>
      <w:r>
        <w:t xml:space="preserve">pre-event </w:t>
      </w:r>
      <w:r w:rsidRPr="00050374">
        <w:t xml:space="preserve">baseline is above the actual load before the event, it is </w:t>
      </w:r>
      <w:r w:rsidR="00CE3792">
        <w:t>adjusted</w:t>
      </w:r>
      <w:r w:rsidR="00C236D9">
        <w:t xml:space="preserve"> downwards</w:t>
      </w:r>
      <w:r w:rsidRPr="00050374">
        <w:t xml:space="preserve">.  </w:t>
      </w:r>
      <w:r>
        <w:t xml:space="preserve">To adjust the load, the initial baseline value is multiplied by the ratio between the </w:t>
      </w:r>
      <w:r w:rsidR="00D037D1">
        <w:t xml:space="preserve">unadjusted </w:t>
      </w:r>
      <w:r>
        <w:t>baseline and the actual load during pre-event hours.</w:t>
      </w:r>
      <w:r w:rsidR="00C236D9">
        <w:t xml:space="preserve">  In other words, the baseline is calibrated to match actual usage patterns in the hours leading up to the event.</w:t>
      </w:r>
      <w:r>
        <w:t xml:space="preserve">  Note that the same-</w:t>
      </w:r>
      <w:r>
        <w:lastRenderedPageBreak/>
        <w:t>day adjustment procedure implicitly assumes that differences between the baseline and actual loads during hours leading up to an event are</w:t>
      </w:r>
      <w:r w:rsidR="00D42F67">
        <w:t xml:space="preserve"> due to predictive error and</w:t>
      </w:r>
      <w:r>
        <w:t xml:space="preserve">, </w:t>
      </w:r>
      <w:r w:rsidRPr="00780C49">
        <w:rPr>
          <w:i/>
        </w:rPr>
        <w:t>not</w:t>
      </w:r>
      <w:r>
        <w:t xml:space="preserve"> due to customer behavior such as shifting </w:t>
      </w:r>
      <w:r w:rsidR="00D42F67">
        <w:t xml:space="preserve">of </w:t>
      </w:r>
      <w:r>
        <w:rPr>
          <w:rFonts w:cs="Arial"/>
        </w:rPr>
        <w:t>production to pre-event hours or implementing demand reductions early.</w:t>
      </w:r>
    </w:p>
    <w:p w:rsidR="00116D21" w:rsidRDefault="00116D21" w:rsidP="00116D21">
      <w:pPr>
        <w:pStyle w:val="BodyParagraph"/>
      </w:pPr>
      <w:r>
        <w:t xml:space="preserve">Figure </w:t>
      </w:r>
      <w:r w:rsidR="0037784F">
        <w:t>1-1</w:t>
      </w:r>
      <w:r>
        <w:t xml:space="preserve"> illustrates the baseline adjustment process.  In the example, the event starts at 3 PM.  The first three of the four hours leading up to the event, from 11 AM to 2 PM, are used to calculate the adjustment.  The blue line represents the actual load for the day.  The red line reflects the calculated baseline prior to the application of </w:t>
      </w:r>
      <w:r w:rsidR="00E535D9">
        <w:t>same-day</w:t>
      </w:r>
      <w:r>
        <w:t xml:space="preserve"> adjustments.  In this example, in the hours leading up to the event, the unadjusted baseline is higher than the actual load.  The baseline adjustment process assumes this difference is due to </w:t>
      </w:r>
      <w:r w:rsidR="00CE3792">
        <w:t>error.</w:t>
      </w:r>
      <w:r>
        <w:t xml:space="preserve">  To correct for this </w:t>
      </w:r>
      <w:r w:rsidR="0034356A">
        <w:t>difference</w:t>
      </w:r>
      <w:r>
        <w:t xml:space="preserve">, the baseline is calibrated downward by roughly 8%, as reflected by the red dotted line.    </w:t>
      </w:r>
    </w:p>
    <w:p w:rsidR="00116D21" w:rsidRDefault="00116D21" w:rsidP="00116D21">
      <w:pPr>
        <w:pStyle w:val="TableFigureCaption"/>
      </w:pPr>
      <w:r>
        <w:t xml:space="preserve">Figure </w:t>
      </w:r>
      <w:r w:rsidR="0037784F">
        <w:t>1</w:t>
      </w:r>
      <w:r>
        <w:t>-1:</w:t>
      </w:r>
      <w:r w:rsidR="0037784F">
        <w:t xml:space="preserve"> </w:t>
      </w:r>
      <w:r>
        <w:t>Example of Baseline Same-</w:t>
      </w:r>
      <w:r w:rsidR="00657C27">
        <w:t>day</w:t>
      </w:r>
      <w:r>
        <w:t xml:space="preserve"> Adjustment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116D21" w:rsidTr="00CC2233">
        <w:tc>
          <w:tcPr>
            <w:tcW w:w="9576" w:type="dxa"/>
          </w:tcPr>
          <w:p w:rsidR="00116D21" w:rsidRDefault="008B5314" w:rsidP="00CC2233">
            <w:pPr>
              <w:pStyle w:val="BodyParagraph"/>
              <w:jc w:val="center"/>
            </w:pPr>
            <w:r>
              <w:rPr>
                <w:noProof/>
              </w:rPr>
              <w:drawing>
                <wp:inline distT="0" distB="0" distL="0" distR="0">
                  <wp:extent cx="5134921" cy="3078480"/>
                  <wp:effectExtent l="19050" t="0" r="8579"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127979" cy="3074318"/>
                          </a:xfrm>
                          <a:prstGeom prst="rect">
                            <a:avLst/>
                          </a:prstGeom>
                          <a:noFill/>
                          <a:ln w="9525">
                            <a:noFill/>
                            <a:miter lim="800000"/>
                            <a:headEnd/>
                            <a:tailEnd/>
                          </a:ln>
                        </pic:spPr>
                      </pic:pic>
                    </a:graphicData>
                  </a:graphic>
                </wp:inline>
              </w:drawing>
            </w:r>
          </w:p>
        </w:tc>
      </w:tr>
      <w:tr w:rsidR="00116D21" w:rsidTr="00CC2233">
        <w:tc>
          <w:tcPr>
            <w:tcW w:w="9576" w:type="dxa"/>
          </w:tcPr>
          <w:p w:rsidR="00116D21" w:rsidRPr="00AE0094" w:rsidRDefault="00116D21" w:rsidP="00CC2233">
            <w:pPr>
              <w:pStyle w:val="BodyParagraph"/>
            </w:pPr>
            <m:oMathPara>
              <m:oMath>
                <m:r>
                  <w:rPr>
                    <w:rFonts w:ascii="Cambria Math" w:hAnsi="Cambria Math"/>
                  </w:rPr>
                  <m:t>Adjustment=</m:t>
                </m:r>
                <m:f>
                  <m:fPr>
                    <m:ctrlPr>
                      <w:rPr>
                        <w:rFonts w:ascii="Cambria Math" w:hAnsi="Cambria Math"/>
                        <w:i/>
                      </w:rPr>
                    </m:ctrlPr>
                  </m:fPr>
                  <m:num>
                    <m:r>
                      <w:rPr>
                        <w:rFonts w:ascii="Cambria Math" w:hAnsi="Cambria Math"/>
                      </w:rPr>
                      <m:t>Avg.kW during adjusment period</m:t>
                    </m:r>
                  </m:num>
                  <m:den>
                    <m:r>
                      <w:rPr>
                        <w:rFonts w:ascii="Cambria Math" w:hAnsi="Cambria Math"/>
                      </w:rPr>
                      <m:t>Avg.unadjusted baseline over adjustment period</m:t>
                    </m:r>
                  </m:den>
                </m:f>
                <m:r>
                  <w:rPr>
                    <w:rFonts w:ascii="Cambria Math" w:hAnsi="Cambria Math"/>
                  </w:rPr>
                  <m:t>=</m:t>
                </m:r>
                <m:f>
                  <m:fPr>
                    <m:ctrlPr>
                      <w:rPr>
                        <w:rFonts w:ascii="Cambria Math" w:hAnsi="Cambria Math"/>
                        <w:i/>
                      </w:rPr>
                    </m:ctrlPr>
                  </m:fPr>
                  <m:num>
                    <m:r>
                      <w:rPr>
                        <w:rFonts w:ascii="Cambria Math" w:hAnsi="Cambria Math"/>
                      </w:rPr>
                      <m:t>571</m:t>
                    </m:r>
                  </m:num>
                  <m:den>
                    <m:r>
                      <w:rPr>
                        <w:rFonts w:ascii="Cambria Math" w:hAnsi="Cambria Math"/>
                      </w:rPr>
                      <m:t>619</m:t>
                    </m:r>
                  </m:den>
                </m:f>
                <m:r>
                  <w:rPr>
                    <w:rFonts w:ascii="Cambria Math" w:hAnsi="Cambria Math"/>
                  </w:rPr>
                  <m:t>=92.2%</m:t>
                </m:r>
              </m:oMath>
            </m:oMathPara>
          </w:p>
        </w:tc>
      </w:tr>
    </w:tbl>
    <w:p w:rsidR="00116D21" w:rsidRDefault="00116D21" w:rsidP="00BB2A20">
      <w:pPr>
        <w:pStyle w:val="BodyParaAfterTableFigure"/>
      </w:pPr>
      <w:r>
        <w:t>If the difference between the unadjusted baseline and the actual load is truly due to baseline estimation error, the adjustment process reduces those errors.  However, if the difference is actually caused by a behavioral change, the procedure can lead to incorrect adjustments.  For example, c</w:t>
      </w:r>
      <w:r>
        <w:rPr>
          <w:rFonts w:cs="Arial"/>
        </w:rPr>
        <w:t xml:space="preserve">ustomers can shift production to pre-event hours in anticipation of a curtailment event or, conversely, can start reducing demand early in order to have enough lead time to fully deliver their commitment.  In both cases, the </w:t>
      </w:r>
      <w:r w:rsidR="00E535D9">
        <w:rPr>
          <w:rFonts w:cs="Arial"/>
        </w:rPr>
        <w:t>same-day</w:t>
      </w:r>
      <w:r>
        <w:rPr>
          <w:rFonts w:cs="Arial"/>
        </w:rPr>
        <w:t xml:space="preserve"> adjustment confounds legitimate changes in electricity use during pre-event hours with error, leading to incorrect adjustments.  </w:t>
      </w:r>
      <w:r>
        <w:t>W</w:t>
      </w:r>
      <w:r w:rsidRPr="00050374">
        <w:t xml:space="preserve">hen customers shift load to pre-event hours, </w:t>
      </w:r>
      <w:r>
        <w:t xml:space="preserve">increasing their load relative to their normal usage pattern, </w:t>
      </w:r>
      <w:r w:rsidRPr="00050374">
        <w:t xml:space="preserve">same-day adjustment </w:t>
      </w:r>
      <w:r>
        <w:t xml:space="preserve">can </w:t>
      </w:r>
      <w:r w:rsidRPr="00050374">
        <w:t>upwardly bias the baseline and overstat</w:t>
      </w:r>
      <w:r>
        <w:t>e</w:t>
      </w:r>
      <w:r w:rsidRPr="00050374">
        <w:t xml:space="preserve"> </w:t>
      </w:r>
      <w:r>
        <w:t xml:space="preserve">the </w:t>
      </w:r>
      <w:r w:rsidRPr="00050374">
        <w:t xml:space="preserve">demand reduction. </w:t>
      </w:r>
      <w:r>
        <w:t xml:space="preserve"> When customers start reducing demand levels during the adjustment window, </w:t>
      </w:r>
      <w:r w:rsidR="00E535D9">
        <w:t>same-day</w:t>
      </w:r>
      <w:r>
        <w:t xml:space="preserve"> adjustment can downwardly bias the </w:t>
      </w:r>
      <w:r>
        <w:lastRenderedPageBreak/>
        <w:t xml:space="preserve">baseline and understate demand reduction.  This latter example is illustrated in Figure </w:t>
      </w:r>
      <w:r w:rsidR="0037784F">
        <w:t>1-1</w:t>
      </w:r>
      <w:r>
        <w:t>.  It is conceivable that the drop in load observed between 1 and 2 PM is in fact a demand reduction in anticipation of the event.  Perhaps the customer needed to ramp down a production process gradually, thus initiating their load reduction early.  However, the adjustment process treats such a behavioral change as estimation error and adjusts downward too</w:t>
      </w:r>
      <w:r w:rsidR="00BB2A20">
        <w:t> </w:t>
      </w:r>
      <w:r>
        <w:t xml:space="preserve">much.  </w:t>
      </w:r>
    </w:p>
    <w:p w:rsidR="00116D21" w:rsidRDefault="00116D21" w:rsidP="00116D21">
      <w:pPr>
        <w:pStyle w:val="BodyParagraph"/>
      </w:pPr>
      <w:r>
        <w:t xml:space="preserve">Same-day adjustments are often capped because adjustment can </w:t>
      </w:r>
      <w:r w:rsidRPr="00050374">
        <w:rPr>
          <w:rFonts w:cs="Arial"/>
        </w:rPr>
        <w:t xml:space="preserve">introduce </w:t>
      </w:r>
      <w:r w:rsidRPr="00050374">
        <w:t>the potential for manipulation of p</w:t>
      </w:r>
      <w:r>
        <w:t>re-event loads to bias baselines</w:t>
      </w:r>
      <w:r w:rsidRPr="00050374">
        <w:t>.</w:t>
      </w:r>
      <w:r>
        <w:rPr>
          <w:rStyle w:val="FootnoteReference"/>
        </w:rPr>
        <w:footnoteReference w:id="2"/>
      </w:r>
      <w:r>
        <w:t xml:space="preserve"> </w:t>
      </w:r>
      <w:r w:rsidRPr="00050374">
        <w:t xml:space="preserve"> </w:t>
      </w:r>
      <w:r>
        <w:t>The concern is that p</w:t>
      </w:r>
      <w:r w:rsidRPr="00050374">
        <w:rPr>
          <w:rFonts w:cs="Arial"/>
        </w:rPr>
        <w:t>articipant</w:t>
      </w:r>
      <w:r>
        <w:rPr>
          <w:rFonts w:cs="Arial"/>
        </w:rPr>
        <w:t>s may be able</w:t>
      </w:r>
      <w:r w:rsidRPr="00050374">
        <w:rPr>
          <w:rFonts w:cs="Arial"/>
        </w:rPr>
        <w:t xml:space="preserve"> to “game” the system by </w:t>
      </w:r>
      <w:r>
        <w:rPr>
          <w:rFonts w:cs="Arial"/>
        </w:rPr>
        <w:t>increasing</w:t>
      </w:r>
      <w:r w:rsidRPr="00050374">
        <w:rPr>
          <w:rFonts w:cs="Arial"/>
        </w:rPr>
        <w:t xml:space="preserve"> their </w:t>
      </w:r>
      <w:r>
        <w:rPr>
          <w:rFonts w:cs="Arial"/>
        </w:rPr>
        <w:t xml:space="preserve">electricity use during the adjustment period, leading to baselines that are too high and that overestimate actual demand reductions. </w:t>
      </w:r>
      <w:r w:rsidRPr="00050374">
        <w:rPr>
          <w:rFonts w:cs="Arial"/>
        </w:rPr>
        <w:t xml:space="preserve"> </w:t>
      </w:r>
      <w:r>
        <w:rPr>
          <w:rFonts w:cs="Arial"/>
        </w:rPr>
        <w:t>Capping the magnitude of the adjustment limits the potential for this kind of abuse.</w:t>
      </w:r>
    </w:p>
    <w:p w:rsidR="00116D21" w:rsidRDefault="00116D21" w:rsidP="00116D21">
      <w:pPr>
        <w:pStyle w:val="Heading2"/>
      </w:pPr>
      <w:bookmarkStart w:id="9" w:name="_Toc318789274"/>
      <w:bookmarkStart w:id="10" w:name="_Toc324232547"/>
      <w:bookmarkStart w:id="11" w:name="_Toc326150792"/>
      <w:r>
        <w:t>Current Baseline Rules</w:t>
      </w:r>
      <w:bookmarkEnd w:id="9"/>
      <w:bookmarkEnd w:id="10"/>
      <w:bookmarkEnd w:id="11"/>
    </w:p>
    <w:p w:rsidR="00116D21" w:rsidRDefault="00116D21" w:rsidP="00116D21">
      <w:pPr>
        <w:pStyle w:val="BodyParagraph"/>
      </w:pPr>
      <w:r>
        <w:t>Curr</w:t>
      </w:r>
      <w:r w:rsidRPr="00050374">
        <w:t xml:space="preserve">ently, settlement baselines </w:t>
      </w:r>
      <w:r>
        <w:t xml:space="preserve">for most aggregators </w:t>
      </w:r>
      <w:r w:rsidRPr="00050374">
        <w:t xml:space="preserve">are based on the same-hour average of </w:t>
      </w:r>
      <w:r>
        <w:t>the 10</w:t>
      </w:r>
      <w:r w:rsidRPr="00050374">
        <w:t xml:space="preserve"> weekdays immediately preceding the </w:t>
      </w:r>
      <w:r>
        <w:t xml:space="preserve">curtailment </w:t>
      </w:r>
      <w:r w:rsidRPr="00050374">
        <w:t>event</w:t>
      </w:r>
      <w:r>
        <w:t xml:space="preserve"> in question</w:t>
      </w:r>
      <w:r w:rsidRPr="00050374">
        <w:t>, excluding other event day</w:t>
      </w:r>
      <w:r>
        <w:t>s</w:t>
      </w:r>
      <w:r w:rsidRPr="00050374">
        <w:t xml:space="preserve"> and holidays.</w:t>
      </w:r>
      <w:r>
        <w:rPr>
          <w:rStyle w:val="FootnoteReference"/>
        </w:rPr>
        <w:footnoteReference w:id="3"/>
      </w:r>
      <w:r w:rsidRPr="00050374">
        <w:t xml:space="preserve">  The baseline is calculated separately for each customer and can be adjusted up or down by 20%, based on the first three of the f</w:t>
      </w:r>
      <w:r>
        <w:t>our hours immediately before an</w:t>
      </w:r>
      <w:r w:rsidRPr="00050374">
        <w:t xml:space="preserve"> event.  </w:t>
      </w:r>
      <w:r>
        <w:t xml:space="preserve">The </w:t>
      </w:r>
      <w:r w:rsidR="00E535D9">
        <w:t>same-day</w:t>
      </w:r>
      <w:r>
        <w:t xml:space="preserve"> adjustment and adjustment cap are applied individually for each customer</w:t>
      </w:r>
      <w:r w:rsidR="00F7630F">
        <w:t xml:space="preserve">.  </w:t>
      </w:r>
      <w:r>
        <w:t>Then, each customer’s baseline is summed to obtain the result for the aggregator settlement portfolio.  A</w:t>
      </w:r>
      <w:r w:rsidRPr="00050374">
        <w:t xml:space="preserve">ggregators </w:t>
      </w:r>
      <w:r>
        <w:t>can elect whether or not</w:t>
      </w:r>
      <w:r w:rsidRPr="00050374">
        <w:t xml:space="preserve"> </w:t>
      </w:r>
      <w:r w:rsidR="00E535D9">
        <w:t>same-day</w:t>
      </w:r>
      <w:r>
        <w:t xml:space="preserve"> adjustments are applied, but must make their decisions in advance for each individual customer in their portfolio.  For aggregators with utility contracts, the decision about whether or not to apply </w:t>
      </w:r>
      <w:r w:rsidR="00E535D9">
        <w:t>same-day</w:t>
      </w:r>
      <w:r>
        <w:t xml:space="preserve"> adjustments is made at the start of each summer season.  For aggregators participating in the Capacity Bidding Program, the decision about whether or not to apply </w:t>
      </w:r>
      <w:r w:rsidR="00E535D9">
        <w:t>same-day</w:t>
      </w:r>
      <w:r>
        <w:t xml:space="preserve"> adjustments for specific customers is made a month in advance. </w:t>
      </w:r>
    </w:p>
    <w:p w:rsidR="00116D21" w:rsidRDefault="00116D21" w:rsidP="00116D21">
      <w:pPr>
        <w:pStyle w:val="BodyParagraph"/>
      </w:pPr>
      <w:r>
        <w:t>The current baseline rules were adopted by the California Public Utilities Commission in 2009 (D.09-08-027) and were implemented starting in 2010.  In reaching its decision, the CPUC cited two studies that concluded that the 10-in-10 individual baseline with a same-day adjustment was highly accurate.  The first study was the KEMA 2003 baseline study</w:t>
      </w:r>
      <w:r>
        <w:rPr>
          <w:rStyle w:val="FootnoteReference"/>
        </w:rPr>
        <w:footnoteReference w:id="4"/>
      </w:r>
      <w:r>
        <w:t xml:space="preserve"> and the second was the Quantum 2006 baseline study.</w:t>
      </w:r>
      <w:r w:rsidRPr="00B91976">
        <w:rPr>
          <w:vertAlign w:val="superscript"/>
        </w:rPr>
        <w:t>,</w:t>
      </w:r>
      <w:r>
        <w:rPr>
          <w:rStyle w:val="FootnoteReference"/>
        </w:rPr>
        <w:footnoteReference w:id="5"/>
      </w:r>
      <w:r>
        <w:t xml:space="preserve">  However, both of those studies focused mainly on the set of days used to construct the baseline (e.g., top 10-in-10, top 15-in-20, etc.).  Neither study analyzed the effect of the 20% cap on </w:t>
      </w:r>
      <w:r w:rsidR="00E535D9">
        <w:t>same-day</w:t>
      </w:r>
      <w:r>
        <w:t xml:space="preserve"> adjustments.  The KEMA 2003 study did not limit the magnitude of the baseline adjustment and the Quantum study allowed baselines to be adjusted upward by 100% and downward by 50%.  In 2011, a study</w:t>
      </w:r>
      <w:r>
        <w:rPr>
          <w:rStyle w:val="FootnoteReference"/>
        </w:rPr>
        <w:footnoteReference w:id="6"/>
      </w:r>
      <w:r>
        <w:t xml:space="preserve"> focusing on baseline accuracy for customers with highly volatile loads found that </w:t>
      </w:r>
      <w:r w:rsidR="00B05493">
        <w:t xml:space="preserve">a </w:t>
      </w:r>
      <w:r w:rsidR="00B05493">
        <w:lastRenderedPageBreak/>
        <w:t xml:space="preserve">20% cap on the adjustment for </w:t>
      </w:r>
      <w:r>
        <w:t xml:space="preserve">the 10-in-10 individual baseline was </w:t>
      </w:r>
      <w:r w:rsidR="00B05493">
        <w:t xml:space="preserve">not large enough to accommodate some customers </w:t>
      </w:r>
      <w:r>
        <w:t>inaccurate and underestimated program performance and aggregator</w:t>
      </w:r>
      <w:r w:rsidR="00BB2A20">
        <w:t> </w:t>
      </w:r>
      <w:r>
        <w:t xml:space="preserve">payments. </w:t>
      </w:r>
    </w:p>
    <w:p w:rsidR="00116D21" w:rsidRDefault="00116D21" w:rsidP="00116D21">
      <w:pPr>
        <w:pStyle w:val="Heading2"/>
      </w:pPr>
      <w:bookmarkStart w:id="12" w:name="_Toc318789275"/>
      <w:bookmarkStart w:id="13" w:name="_Toc324232548"/>
      <w:bookmarkStart w:id="14" w:name="_Toc326150793"/>
      <w:r>
        <w:t>Baseline Variations Studied</w:t>
      </w:r>
      <w:bookmarkEnd w:id="12"/>
      <w:bookmarkEnd w:id="13"/>
      <w:bookmarkEnd w:id="14"/>
    </w:p>
    <w:p w:rsidR="00CC2233" w:rsidRDefault="00116D21" w:rsidP="00CC2233">
      <w:pPr>
        <w:pStyle w:val="BodyParagraph"/>
        <w:rPr>
          <w:rFonts w:eastAsia="Times New Roman" w:cs="Arial"/>
          <w:szCs w:val="21"/>
        </w:rPr>
      </w:pPr>
      <w:r>
        <w:t xml:space="preserve">In this study, we assessed the accuracy of load impacts for each event in 2011 using </w:t>
      </w:r>
      <w:r w:rsidRPr="00700619">
        <w:t>32</w:t>
      </w:r>
      <w:r>
        <w:t xml:space="preserve"> different settlement ba</w:t>
      </w:r>
      <w:r w:rsidR="00403E51">
        <w:t>seline methods</w:t>
      </w:r>
      <w:r>
        <w:t xml:space="preserve">.  These 32 variations are summarized in Table </w:t>
      </w:r>
      <w:r w:rsidR="0037784F">
        <w:t>1</w:t>
      </w:r>
      <w:r>
        <w:t xml:space="preserve">-1.  The baseline rules vary in the magnitude of </w:t>
      </w:r>
      <w:r w:rsidR="00E535D9">
        <w:t>same-day</w:t>
      </w:r>
      <w:r>
        <w:t xml:space="preserve"> adjustment caps, aggregate versus individual calculation, and </w:t>
      </w:r>
      <w:r>
        <w:rPr>
          <w:rFonts w:eastAsia="Times New Roman" w:cs="Arial"/>
          <w:szCs w:val="21"/>
        </w:rPr>
        <w:t xml:space="preserve">whether or not </w:t>
      </w:r>
      <w:r w:rsidR="00E535D9">
        <w:rPr>
          <w:rFonts w:eastAsia="Times New Roman" w:cs="Arial"/>
          <w:szCs w:val="21"/>
        </w:rPr>
        <w:t>same-day</w:t>
      </w:r>
      <w:r>
        <w:rPr>
          <w:rFonts w:eastAsia="Times New Roman" w:cs="Arial"/>
          <w:szCs w:val="21"/>
        </w:rPr>
        <w:t xml:space="preserve"> adjustments are applied universally. </w:t>
      </w:r>
    </w:p>
    <w:p w:rsidR="00B90B9B" w:rsidRDefault="00CC2233" w:rsidP="00C07AEB">
      <w:pPr>
        <w:pStyle w:val="BodyParagraph"/>
      </w:pPr>
      <w:r>
        <w:t>Baselines allow the demand reduction calculation to be conducted quickly and easily.  However, baseline rules have a direct impact on the settlement and payment process, because an aggregator’s payments are directly linked to their ability to meet their demand reduction commitment when called upon.  The magnitude of that demand reduction is measured by the baseline.  If an aggregator meets their commitment in full, they receive payment in full.  But if they fail</w:t>
      </w:r>
      <w:r w:rsidRPr="000A3900">
        <w:t xml:space="preserve"> to provide the full </w:t>
      </w:r>
      <w:r>
        <w:t xml:space="preserve">reduction, they receive </w:t>
      </w:r>
      <w:r w:rsidRPr="000A3900">
        <w:t>lower payments.</w:t>
      </w:r>
      <w:r>
        <w:t xml:space="preserve">  Thus, it is very important to fully understand the implications of choosing different baseline rules.</w:t>
      </w:r>
      <w:r w:rsidR="00F7630F">
        <w:br w:type="page"/>
      </w:r>
    </w:p>
    <w:p w:rsidR="00116D21" w:rsidRDefault="00116D21" w:rsidP="00116D21">
      <w:pPr>
        <w:pStyle w:val="TableFigureCaption"/>
      </w:pPr>
      <w:r>
        <w:lastRenderedPageBreak/>
        <w:t xml:space="preserve">Table </w:t>
      </w:r>
      <w:r w:rsidR="0037784F">
        <w:t>1</w:t>
      </w:r>
      <w:r>
        <w:t>-1:</w:t>
      </w:r>
      <w:r w:rsidR="00657C27">
        <w:t xml:space="preserve"> </w:t>
      </w:r>
      <w:r>
        <w:t xml:space="preserve">Baseline Calculation </w:t>
      </w:r>
      <w:r w:rsidR="00403E51">
        <w:t>Methods</w:t>
      </w:r>
      <w:r>
        <w:t xml:space="preserve"> Tested</w:t>
      </w:r>
    </w:p>
    <w:tbl>
      <w:tblPr>
        <w:tblW w:w="9552" w:type="dxa"/>
        <w:tblInd w:w="96" w:type="dxa"/>
        <w:tblLayout w:type="fixed"/>
        <w:tblCellMar>
          <w:left w:w="115" w:type="dxa"/>
          <w:right w:w="115" w:type="dxa"/>
        </w:tblCellMar>
        <w:tblLook w:val="04A0"/>
      </w:tblPr>
      <w:tblGrid>
        <w:gridCol w:w="560"/>
        <w:gridCol w:w="1702"/>
        <w:gridCol w:w="1980"/>
        <w:gridCol w:w="1980"/>
        <w:gridCol w:w="1170"/>
        <w:gridCol w:w="1080"/>
        <w:gridCol w:w="1080"/>
      </w:tblGrid>
      <w:tr w:rsidR="00116D21" w:rsidRPr="00335FE3" w:rsidTr="00CC2233">
        <w:trPr>
          <w:trHeight w:val="242"/>
        </w:trPr>
        <w:tc>
          <w:tcPr>
            <w:tcW w:w="560" w:type="dxa"/>
            <w:vMerge w:val="restart"/>
            <w:tcBorders>
              <w:top w:val="single" w:sz="4" w:space="0" w:color="auto"/>
              <w:left w:val="single" w:sz="4" w:space="0" w:color="auto"/>
              <w:bottom w:val="single" w:sz="4" w:space="0" w:color="FFFFFF"/>
              <w:right w:val="single" w:sz="4" w:space="0" w:color="FFFFFF"/>
            </w:tcBorders>
            <w:shd w:val="clear" w:color="000000" w:fill="376091"/>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r w:rsidRPr="00335FE3">
              <w:rPr>
                <w:rFonts w:ascii="Arial" w:eastAsia="Times New Roman" w:hAnsi="Arial" w:cs="Arial"/>
                <w:b/>
                <w:bCs/>
                <w:color w:val="FFFFFF"/>
                <w:sz w:val="18"/>
                <w:szCs w:val="18"/>
              </w:rPr>
              <w:t>No.</w:t>
            </w:r>
          </w:p>
        </w:tc>
        <w:tc>
          <w:tcPr>
            <w:tcW w:w="1702" w:type="dxa"/>
            <w:vMerge w:val="restart"/>
            <w:tcBorders>
              <w:top w:val="single" w:sz="4" w:space="0" w:color="auto"/>
              <w:left w:val="single" w:sz="4" w:space="0" w:color="FFFFFF"/>
              <w:bottom w:val="single" w:sz="4" w:space="0" w:color="FFFFFF"/>
              <w:right w:val="single" w:sz="4" w:space="0" w:color="FFFFFF"/>
            </w:tcBorders>
            <w:shd w:val="clear" w:color="000000" w:fill="376091"/>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r w:rsidRPr="00335FE3">
              <w:rPr>
                <w:rFonts w:ascii="Arial" w:eastAsia="Times New Roman" w:hAnsi="Arial" w:cs="Arial"/>
                <w:b/>
                <w:bCs/>
                <w:color w:val="FFFFFF"/>
                <w:sz w:val="18"/>
                <w:szCs w:val="18"/>
              </w:rPr>
              <w:t xml:space="preserve">Days </w:t>
            </w:r>
            <w:r>
              <w:rPr>
                <w:rFonts w:ascii="Arial" w:eastAsia="Times New Roman" w:hAnsi="Arial" w:cs="Arial"/>
                <w:b/>
                <w:bCs/>
                <w:color w:val="FFFFFF"/>
                <w:sz w:val="18"/>
                <w:szCs w:val="18"/>
              </w:rPr>
              <w:t>U</w:t>
            </w:r>
            <w:r w:rsidRPr="00335FE3">
              <w:rPr>
                <w:rFonts w:ascii="Arial" w:eastAsia="Times New Roman" w:hAnsi="Arial" w:cs="Arial"/>
                <w:b/>
                <w:bCs/>
                <w:color w:val="FFFFFF"/>
                <w:sz w:val="18"/>
                <w:szCs w:val="18"/>
              </w:rPr>
              <w:t xml:space="preserve">sed to </w:t>
            </w:r>
            <w:r>
              <w:rPr>
                <w:rFonts w:ascii="Arial" w:eastAsia="Times New Roman" w:hAnsi="Arial" w:cs="Arial"/>
                <w:b/>
                <w:bCs/>
                <w:color w:val="FFFFFF"/>
                <w:sz w:val="18"/>
                <w:szCs w:val="18"/>
              </w:rPr>
              <w:t>D</w:t>
            </w:r>
            <w:r w:rsidRPr="00335FE3">
              <w:rPr>
                <w:rFonts w:ascii="Arial" w:eastAsia="Times New Roman" w:hAnsi="Arial" w:cs="Arial"/>
                <w:b/>
                <w:bCs/>
                <w:color w:val="FFFFFF"/>
                <w:sz w:val="18"/>
                <w:szCs w:val="18"/>
              </w:rPr>
              <w:t xml:space="preserve">evelop </w:t>
            </w:r>
            <w:r>
              <w:rPr>
                <w:rFonts w:ascii="Arial" w:eastAsia="Times New Roman" w:hAnsi="Arial" w:cs="Arial"/>
                <w:b/>
                <w:bCs/>
                <w:color w:val="FFFFFF"/>
                <w:sz w:val="18"/>
                <w:szCs w:val="18"/>
              </w:rPr>
              <w:t>B</w:t>
            </w:r>
            <w:r w:rsidRPr="00335FE3">
              <w:rPr>
                <w:rFonts w:ascii="Arial" w:eastAsia="Times New Roman" w:hAnsi="Arial" w:cs="Arial"/>
                <w:b/>
                <w:bCs/>
                <w:color w:val="FFFFFF"/>
                <w:sz w:val="18"/>
                <w:szCs w:val="18"/>
              </w:rPr>
              <w:t>aseline</w:t>
            </w:r>
          </w:p>
        </w:tc>
        <w:tc>
          <w:tcPr>
            <w:tcW w:w="1980" w:type="dxa"/>
            <w:vMerge w:val="restart"/>
            <w:tcBorders>
              <w:top w:val="single" w:sz="4" w:space="0" w:color="auto"/>
              <w:left w:val="single" w:sz="4" w:space="0" w:color="FFFFFF"/>
              <w:bottom w:val="single" w:sz="4" w:space="0" w:color="FFFFFF"/>
              <w:right w:val="single" w:sz="4" w:space="0" w:color="FFFFFF"/>
            </w:tcBorders>
            <w:shd w:val="clear" w:color="000000" w:fill="376091"/>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r w:rsidRPr="00335FE3">
              <w:rPr>
                <w:rFonts w:ascii="Arial" w:eastAsia="Times New Roman" w:hAnsi="Arial" w:cs="Arial"/>
                <w:b/>
                <w:bCs/>
                <w:color w:val="FFFFFF"/>
                <w:sz w:val="18"/>
                <w:szCs w:val="18"/>
              </w:rPr>
              <w:t>Aggregation</w:t>
            </w:r>
          </w:p>
        </w:tc>
        <w:tc>
          <w:tcPr>
            <w:tcW w:w="1980" w:type="dxa"/>
            <w:vMerge w:val="restart"/>
            <w:tcBorders>
              <w:top w:val="single" w:sz="4" w:space="0" w:color="auto"/>
              <w:left w:val="single" w:sz="4" w:space="0" w:color="FFFFFF"/>
              <w:bottom w:val="single" w:sz="4" w:space="0" w:color="FFFFFF"/>
              <w:right w:val="single" w:sz="4" w:space="0" w:color="FFFFFF"/>
            </w:tcBorders>
            <w:shd w:val="clear" w:color="000000" w:fill="376091"/>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r w:rsidRPr="00335FE3">
              <w:rPr>
                <w:rFonts w:ascii="Arial" w:eastAsia="Times New Roman" w:hAnsi="Arial" w:cs="Arial"/>
                <w:b/>
                <w:bCs/>
                <w:color w:val="FFFFFF"/>
                <w:sz w:val="18"/>
                <w:szCs w:val="18"/>
              </w:rPr>
              <w:t>Adjustment Option</w:t>
            </w:r>
          </w:p>
        </w:tc>
        <w:tc>
          <w:tcPr>
            <w:tcW w:w="3330" w:type="dxa"/>
            <w:gridSpan w:val="3"/>
            <w:tcBorders>
              <w:top w:val="single" w:sz="4" w:space="0" w:color="auto"/>
              <w:left w:val="nil"/>
              <w:bottom w:val="single" w:sz="4" w:space="0" w:color="FFFFFF"/>
              <w:right w:val="single" w:sz="4" w:space="0" w:color="000000"/>
            </w:tcBorders>
            <w:shd w:val="clear" w:color="000000" w:fill="376091"/>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r w:rsidRPr="00335FE3">
              <w:rPr>
                <w:rFonts w:ascii="Arial" w:eastAsia="Times New Roman" w:hAnsi="Arial" w:cs="Arial"/>
                <w:b/>
                <w:bCs/>
                <w:color w:val="FFFFFF"/>
                <w:sz w:val="18"/>
                <w:szCs w:val="18"/>
              </w:rPr>
              <w:t>Adjustment Cap</w:t>
            </w:r>
          </w:p>
        </w:tc>
      </w:tr>
      <w:tr w:rsidR="00116D21" w:rsidRPr="00335FE3" w:rsidTr="00CC2233">
        <w:trPr>
          <w:trHeight w:val="395"/>
        </w:trPr>
        <w:tc>
          <w:tcPr>
            <w:tcW w:w="560" w:type="dxa"/>
            <w:vMerge/>
            <w:tcBorders>
              <w:top w:val="single" w:sz="4" w:space="0" w:color="auto"/>
              <w:left w:val="single" w:sz="4" w:space="0" w:color="auto"/>
              <w:bottom w:val="single" w:sz="4" w:space="0" w:color="FFFFFF"/>
              <w:right w:val="single" w:sz="4" w:space="0" w:color="FFFFFF"/>
            </w:tcBorders>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p>
        </w:tc>
        <w:tc>
          <w:tcPr>
            <w:tcW w:w="1702" w:type="dxa"/>
            <w:vMerge/>
            <w:tcBorders>
              <w:top w:val="single" w:sz="4" w:space="0" w:color="auto"/>
              <w:left w:val="single" w:sz="4" w:space="0" w:color="FFFFFF"/>
              <w:bottom w:val="single" w:sz="4" w:space="0" w:color="FFFFFF"/>
              <w:right w:val="single" w:sz="4" w:space="0" w:color="FFFFFF"/>
            </w:tcBorders>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p>
        </w:tc>
        <w:tc>
          <w:tcPr>
            <w:tcW w:w="1980" w:type="dxa"/>
            <w:vMerge/>
            <w:tcBorders>
              <w:top w:val="single" w:sz="4" w:space="0" w:color="auto"/>
              <w:left w:val="single" w:sz="4" w:space="0" w:color="FFFFFF"/>
              <w:bottom w:val="single" w:sz="4" w:space="0" w:color="FFFFFF"/>
              <w:right w:val="single" w:sz="4" w:space="0" w:color="FFFFFF"/>
            </w:tcBorders>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p>
        </w:tc>
        <w:tc>
          <w:tcPr>
            <w:tcW w:w="1980" w:type="dxa"/>
            <w:vMerge/>
            <w:tcBorders>
              <w:top w:val="single" w:sz="4" w:space="0" w:color="auto"/>
              <w:left w:val="single" w:sz="4" w:space="0" w:color="FFFFFF"/>
              <w:bottom w:val="single" w:sz="4" w:space="0" w:color="FFFFFF"/>
              <w:right w:val="single" w:sz="4" w:space="0" w:color="FFFFFF"/>
            </w:tcBorders>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p>
        </w:tc>
        <w:tc>
          <w:tcPr>
            <w:tcW w:w="1170" w:type="dxa"/>
            <w:tcBorders>
              <w:top w:val="nil"/>
              <w:left w:val="nil"/>
              <w:bottom w:val="nil"/>
              <w:right w:val="single" w:sz="4" w:space="0" w:color="FFFFFF"/>
            </w:tcBorders>
            <w:shd w:val="clear" w:color="000000" w:fill="376091"/>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r w:rsidRPr="00335FE3">
              <w:rPr>
                <w:rFonts w:ascii="Arial" w:eastAsia="Times New Roman" w:hAnsi="Arial" w:cs="Arial"/>
                <w:b/>
                <w:bCs/>
                <w:color w:val="FFFFFF"/>
                <w:sz w:val="18"/>
                <w:szCs w:val="18"/>
              </w:rPr>
              <w:t>Name</w:t>
            </w:r>
          </w:p>
        </w:tc>
        <w:tc>
          <w:tcPr>
            <w:tcW w:w="1080" w:type="dxa"/>
            <w:tcBorders>
              <w:top w:val="nil"/>
              <w:left w:val="nil"/>
              <w:bottom w:val="nil"/>
              <w:right w:val="single" w:sz="4" w:space="0" w:color="FFFFFF"/>
            </w:tcBorders>
            <w:shd w:val="clear" w:color="000000" w:fill="376091"/>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r w:rsidRPr="00335FE3">
              <w:rPr>
                <w:rFonts w:ascii="Arial" w:eastAsia="Times New Roman" w:hAnsi="Arial" w:cs="Arial"/>
                <w:b/>
                <w:bCs/>
                <w:color w:val="FFFFFF"/>
                <w:sz w:val="18"/>
                <w:szCs w:val="18"/>
              </w:rPr>
              <w:t>Lower Bound</w:t>
            </w:r>
          </w:p>
        </w:tc>
        <w:tc>
          <w:tcPr>
            <w:tcW w:w="1080" w:type="dxa"/>
            <w:tcBorders>
              <w:top w:val="nil"/>
              <w:left w:val="nil"/>
              <w:bottom w:val="nil"/>
              <w:right w:val="single" w:sz="4" w:space="0" w:color="auto"/>
            </w:tcBorders>
            <w:shd w:val="clear" w:color="000000" w:fill="376091"/>
            <w:vAlign w:val="center"/>
            <w:hideMark/>
          </w:tcPr>
          <w:p w:rsidR="00116D21" w:rsidRPr="00335FE3" w:rsidRDefault="00116D21" w:rsidP="00CC2233">
            <w:pPr>
              <w:spacing w:after="0" w:line="240" w:lineRule="auto"/>
              <w:jc w:val="center"/>
              <w:rPr>
                <w:rFonts w:ascii="Arial" w:eastAsia="Times New Roman" w:hAnsi="Arial" w:cs="Arial"/>
                <w:b/>
                <w:bCs/>
                <w:color w:val="FFFFFF"/>
                <w:sz w:val="18"/>
                <w:szCs w:val="18"/>
              </w:rPr>
            </w:pPr>
            <w:r w:rsidRPr="00335FE3">
              <w:rPr>
                <w:rFonts w:ascii="Arial" w:eastAsia="Times New Roman" w:hAnsi="Arial" w:cs="Arial"/>
                <w:b/>
                <w:bCs/>
                <w:color w:val="FFFFFF"/>
                <w:sz w:val="18"/>
                <w:szCs w:val="18"/>
              </w:rPr>
              <w:t>Upper Bound</w:t>
            </w:r>
          </w:p>
        </w:tc>
      </w:tr>
      <w:tr w:rsidR="00116D21" w:rsidRPr="00335FE3" w:rsidTr="00CC2233">
        <w:trPr>
          <w:trHeight w:hRule="exact" w:val="259"/>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b/>
                <w:bCs/>
                <w:color w:val="000000"/>
                <w:sz w:val="20"/>
                <w:szCs w:val="20"/>
              </w:rPr>
            </w:pPr>
            <w:r w:rsidRPr="00335FE3">
              <w:rPr>
                <w:rFonts w:ascii="Arial" w:eastAsia="Times New Roman" w:hAnsi="Arial" w:cs="Arial"/>
                <w:b/>
                <w:bCs/>
                <w:color w:val="000000"/>
                <w:sz w:val="20"/>
                <w:szCs w:val="20"/>
              </w:rPr>
              <w:t>10-in-10</w:t>
            </w:r>
          </w:p>
          <w:p w:rsidR="00116D21" w:rsidRPr="00335FE3" w:rsidRDefault="00116D21" w:rsidP="00CC2233">
            <w:pPr>
              <w:spacing w:after="0" w:line="240" w:lineRule="auto"/>
              <w:jc w:val="center"/>
              <w:rPr>
                <w:rFonts w:ascii="Arial" w:eastAsia="Times New Roman" w:hAnsi="Arial" w:cs="Arial"/>
                <w:bCs/>
                <w:color w:val="000000"/>
                <w:sz w:val="18"/>
                <w:szCs w:val="18"/>
              </w:rPr>
            </w:pPr>
          </w:p>
          <w:p w:rsidR="00116D21" w:rsidRPr="00335FE3" w:rsidRDefault="00116D21" w:rsidP="00CC2233">
            <w:pPr>
              <w:spacing w:after="0" w:line="240" w:lineRule="auto"/>
              <w:jc w:val="center"/>
              <w:rPr>
                <w:rFonts w:ascii="Arial" w:eastAsia="Times New Roman" w:hAnsi="Arial" w:cs="Arial"/>
                <w:bCs/>
                <w:color w:val="000000"/>
                <w:sz w:val="18"/>
                <w:szCs w:val="18"/>
              </w:rPr>
            </w:pPr>
            <w:r w:rsidRPr="00335FE3">
              <w:rPr>
                <w:rFonts w:ascii="Arial" w:eastAsia="Times New Roman" w:hAnsi="Arial" w:cs="Arial"/>
                <w:bCs/>
                <w:color w:val="000000"/>
                <w:sz w:val="18"/>
                <w:szCs w:val="18"/>
              </w:rPr>
              <w:t>Baseline is based on the same-hour average of the 10 weekdays immediately preceding the curtailment event in question, excluding other event days and holidays</w:t>
            </w:r>
            <w:r>
              <w:rPr>
                <w:rFonts w:ascii="Arial" w:eastAsia="Times New Roman" w:hAnsi="Arial" w:cs="Arial"/>
                <w:bCs/>
                <w:color w:val="000000"/>
                <w:sz w:val="18"/>
                <w:szCs w:val="18"/>
              </w:rPr>
              <w:t>.</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b/>
                <w:bCs/>
                <w:color w:val="000000"/>
                <w:sz w:val="20"/>
                <w:szCs w:val="20"/>
              </w:rPr>
            </w:pPr>
            <w:r w:rsidRPr="00335FE3">
              <w:rPr>
                <w:rFonts w:ascii="Arial" w:eastAsia="Times New Roman" w:hAnsi="Arial" w:cs="Arial"/>
                <w:b/>
                <w:bCs/>
                <w:color w:val="000000"/>
                <w:sz w:val="20"/>
                <w:szCs w:val="20"/>
              </w:rPr>
              <w:t>Individual</w:t>
            </w:r>
          </w:p>
          <w:p w:rsidR="00116D21" w:rsidRPr="00335FE3" w:rsidRDefault="00116D21" w:rsidP="00CC2233">
            <w:pPr>
              <w:spacing w:after="0" w:line="240" w:lineRule="auto"/>
              <w:jc w:val="center"/>
              <w:rPr>
                <w:rFonts w:ascii="Arial" w:eastAsia="Times New Roman" w:hAnsi="Arial" w:cs="Arial"/>
                <w:b/>
                <w:bCs/>
                <w:color w:val="000000"/>
                <w:sz w:val="18"/>
                <w:szCs w:val="18"/>
              </w:rPr>
            </w:pPr>
          </w:p>
          <w:p w:rsidR="00116D21" w:rsidRPr="00335FE3" w:rsidRDefault="00116D21" w:rsidP="00CC2233">
            <w:pPr>
              <w:spacing w:after="0" w:line="240" w:lineRule="auto"/>
              <w:jc w:val="center"/>
              <w:rPr>
                <w:rFonts w:ascii="Arial" w:eastAsia="Times New Roman" w:hAnsi="Arial" w:cs="Arial"/>
                <w:bCs/>
                <w:color w:val="000000"/>
                <w:sz w:val="18"/>
                <w:szCs w:val="18"/>
              </w:rPr>
            </w:pPr>
            <w:r w:rsidRPr="00335FE3">
              <w:rPr>
                <w:rFonts w:ascii="Arial" w:eastAsia="Times New Roman" w:hAnsi="Arial" w:cs="Arial"/>
                <w:bCs/>
                <w:color w:val="000000"/>
                <w:sz w:val="18"/>
                <w:szCs w:val="18"/>
              </w:rPr>
              <w:t>The baseline is calculated for each individual custo</w:t>
            </w:r>
            <w:r>
              <w:rPr>
                <w:rFonts w:ascii="Arial" w:eastAsia="Times New Roman" w:hAnsi="Arial" w:cs="Arial"/>
                <w:bCs/>
                <w:color w:val="000000"/>
                <w:sz w:val="18"/>
                <w:szCs w:val="18"/>
              </w:rPr>
              <w:t>mer, and the in-day adjustment</w:t>
            </w:r>
            <w:r w:rsidRPr="00335FE3">
              <w:rPr>
                <w:rFonts w:ascii="Arial" w:eastAsia="Times New Roman" w:hAnsi="Arial" w:cs="Arial"/>
                <w:bCs/>
                <w:color w:val="000000"/>
                <w:sz w:val="18"/>
                <w:szCs w:val="18"/>
              </w:rPr>
              <w:t xml:space="preserve"> and cap </w:t>
            </w:r>
            <w:r>
              <w:rPr>
                <w:rFonts w:ascii="Arial" w:eastAsia="Times New Roman" w:hAnsi="Arial" w:cs="Arial"/>
                <w:bCs/>
                <w:color w:val="000000"/>
                <w:sz w:val="18"/>
                <w:szCs w:val="18"/>
              </w:rPr>
              <w:t xml:space="preserve">are </w:t>
            </w:r>
            <w:r w:rsidRPr="00335FE3">
              <w:rPr>
                <w:rFonts w:ascii="Arial" w:eastAsia="Times New Roman" w:hAnsi="Arial" w:cs="Arial"/>
                <w:bCs/>
                <w:color w:val="000000"/>
                <w:sz w:val="18"/>
                <w:szCs w:val="18"/>
              </w:rPr>
              <w:t xml:space="preserve">applied at the individual customer level.  The individual customer results </w:t>
            </w:r>
            <w:r>
              <w:rPr>
                <w:rFonts w:ascii="Arial" w:eastAsia="Times New Roman" w:hAnsi="Arial" w:cs="Arial"/>
                <w:bCs/>
                <w:color w:val="000000"/>
                <w:sz w:val="18"/>
                <w:szCs w:val="18"/>
              </w:rPr>
              <w:t xml:space="preserve">are </w:t>
            </w:r>
            <w:r w:rsidRPr="00335FE3">
              <w:rPr>
                <w:rFonts w:ascii="Arial" w:eastAsia="Times New Roman" w:hAnsi="Arial" w:cs="Arial"/>
                <w:bCs/>
                <w:color w:val="000000"/>
                <w:sz w:val="18"/>
                <w:szCs w:val="18"/>
              </w:rPr>
              <w:t xml:space="preserve">then aggregated for each </w:t>
            </w:r>
            <w:r>
              <w:rPr>
                <w:rFonts w:ascii="Arial" w:eastAsia="Times New Roman" w:hAnsi="Arial" w:cs="Arial"/>
                <w:bCs/>
                <w:color w:val="000000"/>
                <w:sz w:val="18"/>
                <w:szCs w:val="18"/>
              </w:rPr>
              <w:t>settlement portfolio</w:t>
            </w:r>
            <w:r w:rsidRPr="00335FE3">
              <w:rPr>
                <w:rFonts w:ascii="Arial" w:eastAsia="Times New Roman" w:hAnsi="Arial" w:cs="Arial"/>
                <w:bCs/>
                <w:color w:val="000000"/>
                <w:sz w:val="18"/>
                <w:szCs w:val="18"/>
              </w:rPr>
              <w:t>.</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D21" w:rsidRPr="00335FE3" w:rsidRDefault="00116D21" w:rsidP="00CC2233">
            <w:pPr>
              <w:spacing w:after="0" w:line="240" w:lineRule="auto"/>
              <w:jc w:val="center"/>
              <w:rPr>
                <w:rFonts w:ascii="Arial" w:eastAsia="Times New Roman" w:hAnsi="Arial" w:cs="Arial"/>
                <w:b/>
                <w:bCs/>
                <w:color w:val="000000"/>
                <w:sz w:val="20"/>
                <w:szCs w:val="20"/>
              </w:rPr>
            </w:pPr>
            <w:r w:rsidRPr="00335FE3">
              <w:rPr>
                <w:rFonts w:ascii="Arial" w:eastAsia="Times New Roman" w:hAnsi="Arial" w:cs="Arial"/>
                <w:b/>
                <w:bCs/>
                <w:color w:val="000000"/>
                <w:sz w:val="20"/>
                <w:szCs w:val="20"/>
              </w:rPr>
              <w:t>Aggregator Choice</w:t>
            </w:r>
          </w:p>
          <w:p w:rsidR="00116D21" w:rsidRPr="00335FE3" w:rsidRDefault="00116D21" w:rsidP="00CC2233">
            <w:pPr>
              <w:spacing w:after="0" w:line="240" w:lineRule="auto"/>
              <w:jc w:val="center"/>
              <w:rPr>
                <w:rFonts w:ascii="Arial" w:eastAsia="Times New Roman" w:hAnsi="Arial" w:cs="Arial"/>
                <w:bCs/>
                <w:color w:val="000000"/>
                <w:sz w:val="18"/>
                <w:szCs w:val="18"/>
              </w:rPr>
            </w:pPr>
          </w:p>
          <w:p w:rsidR="00116D21" w:rsidRPr="00335FE3" w:rsidRDefault="00116D21" w:rsidP="00CC2233">
            <w:pPr>
              <w:spacing w:after="0" w:line="240" w:lineRule="auto"/>
              <w:jc w:val="center"/>
              <w:rPr>
                <w:rFonts w:ascii="Arial" w:eastAsia="Times New Roman" w:hAnsi="Arial" w:cs="Arial"/>
                <w:bCs/>
                <w:color w:val="000000"/>
                <w:sz w:val="18"/>
                <w:szCs w:val="18"/>
              </w:rPr>
            </w:pPr>
            <w:r w:rsidRPr="00335FE3">
              <w:rPr>
                <w:rFonts w:ascii="Arial" w:eastAsia="Times New Roman" w:hAnsi="Arial" w:cs="Arial"/>
                <w:bCs/>
                <w:color w:val="000000"/>
                <w:sz w:val="18"/>
                <w:szCs w:val="18"/>
              </w:rPr>
              <w:t>The aggregator decides prior to events whether or not to apply same-day adjustments to the baseline</w:t>
            </w:r>
            <w:r>
              <w:rPr>
                <w:rFonts w:ascii="Arial" w:eastAsia="Times New Roman" w:hAnsi="Arial" w:cs="Arial"/>
                <w:bCs/>
                <w:color w:val="000000"/>
                <w:sz w:val="18"/>
                <w:szCs w:val="18"/>
              </w:rPr>
              <w: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Unadjusted</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100%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 20%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80%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120%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 30%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130%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 35%</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65%</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135%</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 40%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140%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6</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 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150%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7</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2x</w:t>
            </w:r>
            <w:r w:rsidR="00C07AEB">
              <w:rPr>
                <w:rStyle w:val="FootnoteReference"/>
                <w:rFonts w:ascii="Arial" w:eastAsia="Times New Roman" w:hAnsi="Arial" w:cs="Arial"/>
                <w:color w:val="000000"/>
                <w:sz w:val="18"/>
                <w:szCs w:val="18"/>
              </w:rPr>
              <w:footnoteReference w:id="7"/>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200%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8</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Unlimited</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9</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b/>
                <w:bCs/>
                <w:color w:val="000000"/>
                <w:sz w:val="20"/>
                <w:szCs w:val="20"/>
              </w:rPr>
            </w:pPr>
            <w:r w:rsidRPr="00335FE3">
              <w:rPr>
                <w:rFonts w:ascii="Arial" w:eastAsia="Times New Roman" w:hAnsi="Arial" w:cs="Arial"/>
                <w:b/>
                <w:bCs/>
                <w:color w:val="000000"/>
                <w:sz w:val="20"/>
                <w:szCs w:val="20"/>
              </w:rPr>
              <w:t>Universal</w:t>
            </w:r>
          </w:p>
          <w:p w:rsidR="00116D21" w:rsidRPr="00335FE3" w:rsidRDefault="00116D21" w:rsidP="00CC2233">
            <w:pPr>
              <w:spacing w:after="0" w:line="240" w:lineRule="auto"/>
              <w:jc w:val="center"/>
              <w:rPr>
                <w:rFonts w:ascii="Arial" w:eastAsia="Times New Roman" w:hAnsi="Arial" w:cs="Arial"/>
                <w:bCs/>
                <w:color w:val="000000"/>
                <w:sz w:val="18"/>
                <w:szCs w:val="18"/>
              </w:rPr>
            </w:pPr>
          </w:p>
          <w:p w:rsidR="00116D21" w:rsidRPr="00335FE3" w:rsidRDefault="00116D21" w:rsidP="00CC2233">
            <w:pPr>
              <w:spacing w:after="0" w:line="240" w:lineRule="auto"/>
              <w:jc w:val="center"/>
              <w:rPr>
                <w:rFonts w:ascii="Arial" w:eastAsia="Times New Roman" w:hAnsi="Arial" w:cs="Arial"/>
                <w:bCs/>
                <w:color w:val="000000"/>
                <w:sz w:val="18"/>
                <w:szCs w:val="18"/>
              </w:rPr>
            </w:pPr>
            <w:r w:rsidRPr="00335FE3">
              <w:rPr>
                <w:rFonts w:ascii="Arial" w:eastAsia="Times New Roman" w:hAnsi="Arial" w:cs="Arial"/>
                <w:bCs/>
                <w:color w:val="000000"/>
                <w:sz w:val="18"/>
                <w:szCs w:val="18"/>
              </w:rPr>
              <w:t xml:space="preserve">The </w:t>
            </w:r>
            <w:r w:rsidR="00E535D9">
              <w:rPr>
                <w:rFonts w:ascii="Arial" w:eastAsia="Times New Roman" w:hAnsi="Arial" w:cs="Arial"/>
                <w:bCs/>
                <w:color w:val="000000"/>
                <w:sz w:val="18"/>
                <w:szCs w:val="18"/>
              </w:rPr>
              <w:t>same-day</w:t>
            </w:r>
            <w:r w:rsidRPr="00335FE3">
              <w:rPr>
                <w:rFonts w:ascii="Arial" w:eastAsia="Times New Roman" w:hAnsi="Arial" w:cs="Arial"/>
                <w:bCs/>
                <w:color w:val="000000"/>
                <w:sz w:val="18"/>
                <w:szCs w:val="18"/>
              </w:rPr>
              <w:t xml:space="preserve"> adjustment is applied to </w:t>
            </w:r>
            <w:r>
              <w:rPr>
                <w:rFonts w:ascii="Arial" w:eastAsia="Times New Roman" w:hAnsi="Arial" w:cs="Arial"/>
                <w:bCs/>
                <w:color w:val="000000"/>
                <w:sz w:val="18"/>
                <w:szCs w:val="18"/>
              </w:rPr>
              <w:t>all customers and settlement portfolio</w:t>
            </w:r>
            <w:r w:rsidRPr="00335FE3">
              <w:rPr>
                <w:rFonts w:ascii="Arial" w:eastAsia="Times New Roman" w:hAnsi="Arial" w:cs="Arial"/>
                <w:bCs/>
                <w:color w:val="000000"/>
                <w:sz w:val="18"/>
                <w:szCs w:val="18"/>
              </w:rPr>
              <w:t>s</w:t>
            </w:r>
            <w:r>
              <w:rPr>
                <w:rFonts w:ascii="Arial" w:eastAsia="Times New Roman" w:hAnsi="Arial" w:cs="Arial"/>
                <w:bCs/>
                <w:color w:val="000000"/>
                <w:sz w:val="18"/>
                <w:szCs w:val="18"/>
              </w:rPr>
              <w:t>.</w:t>
            </w: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Unadjusted</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100%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100%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10</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80%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120%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130%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35%</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65%</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135%</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40%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140%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150%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2x</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200%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16</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Unlimited</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17</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b/>
                <w:bCs/>
                <w:color w:val="000000"/>
                <w:sz w:val="20"/>
                <w:szCs w:val="20"/>
              </w:rPr>
            </w:pPr>
            <w:r w:rsidRPr="00335FE3">
              <w:rPr>
                <w:rFonts w:ascii="Arial" w:eastAsia="Times New Roman" w:hAnsi="Arial" w:cs="Arial"/>
                <w:b/>
                <w:bCs/>
                <w:color w:val="000000"/>
                <w:sz w:val="20"/>
                <w:szCs w:val="20"/>
              </w:rPr>
              <w:t>Aggregate</w:t>
            </w:r>
          </w:p>
          <w:p w:rsidR="00116D21" w:rsidRPr="00335FE3" w:rsidRDefault="00116D21" w:rsidP="00CC2233">
            <w:pPr>
              <w:spacing w:after="0" w:line="240" w:lineRule="auto"/>
              <w:jc w:val="center"/>
              <w:rPr>
                <w:rFonts w:ascii="Arial" w:eastAsia="Times New Roman" w:hAnsi="Arial" w:cs="Arial"/>
                <w:b/>
                <w:bCs/>
                <w:color w:val="000000"/>
                <w:sz w:val="20"/>
                <w:szCs w:val="20"/>
              </w:rPr>
            </w:pPr>
          </w:p>
          <w:p w:rsidR="00116D21" w:rsidRPr="00335FE3" w:rsidRDefault="00116D21" w:rsidP="00CC2233">
            <w:pPr>
              <w:spacing w:after="0" w:line="240" w:lineRule="auto"/>
              <w:jc w:val="center"/>
              <w:rPr>
                <w:rFonts w:ascii="Arial" w:eastAsia="Times New Roman" w:hAnsi="Arial" w:cs="Arial"/>
                <w:b/>
                <w:bCs/>
                <w:color w:val="000000"/>
                <w:sz w:val="18"/>
                <w:szCs w:val="18"/>
              </w:rPr>
            </w:pPr>
            <w:r w:rsidRPr="00335FE3">
              <w:rPr>
                <w:rFonts w:ascii="Arial" w:eastAsia="Times New Roman" w:hAnsi="Arial" w:cs="Arial"/>
                <w:bCs/>
                <w:color w:val="000000"/>
                <w:sz w:val="18"/>
                <w:szCs w:val="18"/>
              </w:rPr>
              <w:t xml:space="preserve">Customer loads are </w:t>
            </w:r>
            <w:r>
              <w:rPr>
                <w:rFonts w:ascii="Arial" w:eastAsia="Times New Roman" w:hAnsi="Arial" w:cs="Arial"/>
                <w:bCs/>
                <w:color w:val="000000"/>
                <w:sz w:val="18"/>
                <w:szCs w:val="18"/>
              </w:rPr>
              <w:t xml:space="preserve">first </w:t>
            </w:r>
            <w:r w:rsidRPr="00335FE3">
              <w:rPr>
                <w:rFonts w:ascii="Arial" w:eastAsia="Times New Roman" w:hAnsi="Arial" w:cs="Arial"/>
                <w:bCs/>
                <w:color w:val="000000"/>
                <w:sz w:val="18"/>
                <w:szCs w:val="18"/>
              </w:rPr>
              <w:t xml:space="preserve">aggregated for each </w:t>
            </w:r>
            <w:r>
              <w:rPr>
                <w:rFonts w:ascii="Arial" w:eastAsia="Times New Roman" w:hAnsi="Arial" w:cs="Arial"/>
                <w:bCs/>
                <w:color w:val="000000"/>
                <w:sz w:val="18"/>
                <w:szCs w:val="18"/>
              </w:rPr>
              <w:t>settlement portfolio</w:t>
            </w:r>
            <w:r w:rsidRPr="00335FE3">
              <w:rPr>
                <w:rFonts w:ascii="Arial" w:eastAsia="Times New Roman" w:hAnsi="Arial" w:cs="Arial"/>
                <w:bCs/>
                <w:color w:val="000000"/>
                <w:sz w:val="18"/>
                <w:szCs w:val="18"/>
              </w:rPr>
              <w:t xml:space="preserve">.  The baseline is </w:t>
            </w:r>
            <w:r>
              <w:rPr>
                <w:rFonts w:ascii="Arial" w:eastAsia="Times New Roman" w:hAnsi="Arial" w:cs="Arial"/>
                <w:bCs/>
                <w:color w:val="000000"/>
                <w:sz w:val="18"/>
                <w:szCs w:val="18"/>
              </w:rPr>
              <w:t xml:space="preserve">then </w:t>
            </w:r>
            <w:r w:rsidRPr="00335FE3">
              <w:rPr>
                <w:rFonts w:ascii="Arial" w:eastAsia="Times New Roman" w:hAnsi="Arial" w:cs="Arial"/>
                <w:bCs/>
                <w:color w:val="000000"/>
                <w:sz w:val="18"/>
                <w:szCs w:val="18"/>
              </w:rPr>
              <w:t xml:space="preserve">calculated using the aggregated </w:t>
            </w:r>
            <w:r w:rsidR="00F7630F" w:rsidRPr="00335FE3">
              <w:rPr>
                <w:rFonts w:ascii="Arial" w:eastAsia="Times New Roman" w:hAnsi="Arial" w:cs="Arial"/>
                <w:bCs/>
                <w:color w:val="000000"/>
                <w:sz w:val="18"/>
                <w:szCs w:val="18"/>
              </w:rPr>
              <w:t>loads</w:t>
            </w:r>
            <w:r w:rsidRPr="00335FE3">
              <w:rPr>
                <w:rFonts w:ascii="Arial" w:eastAsia="Times New Roman" w:hAnsi="Arial" w:cs="Arial"/>
                <w:bCs/>
                <w:color w:val="000000"/>
                <w:sz w:val="18"/>
                <w:szCs w:val="18"/>
              </w:rPr>
              <w:t xml:space="preserve"> and the </w:t>
            </w:r>
            <w:r w:rsidR="00E535D9">
              <w:rPr>
                <w:rFonts w:ascii="Arial" w:eastAsia="Times New Roman" w:hAnsi="Arial" w:cs="Arial"/>
                <w:bCs/>
                <w:color w:val="000000"/>
                <w:sz w:val="18"/>
                <w:szCs w:val="18"/>
              </w:rPr>
              <w:t>same-day</w:t>
            </w:r>
            <w:r w:rsidRPr="00335FE3">
              <w:rPr>
                <w:rFonts w:ascii="Arial" w:eastAsia="Times New Roman" w:hAnsi="Arial" w:cs="Arial"/>
                <w:bCs/>
                <w:color w:val="000000"/>
                <w:sz w:val="18"/>
                <w:szCs w:val="18"/>
              </w:rPr>
              <w:t xml:space="preserve"> adjustment and caps are applied using the aggregated loads.</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116D21" w:rsidRPr="00335FE3" w:rsidRDefault="00116D21" w:rsidP="00CC2233">
            <w:pPr>
              <w:spacing w:after="0" w:line="240" w:lineRule="auto"/>
              <w:jc w:val="center"/>
              <w:rPr>
                <w:rFonts w:ascii="Arial" w:eastAsia="Times New Roman" w:hAnsi="Arial" w:cs="Arial"/>
                <w:b/>
                <w:bCs/>
                <w:color w:val="000000"/>
                <w:sz w:val="20"/>
                <w:szCs w:val="20"/>
              </w:rPr>
            </w:pPr>
            <w:r w:rsidRPr="00335FE3">
              <w:rPr>
                <w:rFonts w:ascii="Arial" w:eastAsia="Times New Roman" w:hAnsi="Arial" w:cs="Arial"/>
                <w:b/>
                <w:bCs/>
                <w:color w:val="000000"/>
                <w:sz w:val="20"/>
                <w:szCs w:val="20"/>
              </w:rPr>
              <w:t>Aggregator Choice</w:t>
            </w:r>
          </w:p>
          <w:p w:rsidR="00116D21" w:rsidRPr="00335FE3" w:rsidRDefault="00116D21" w:rsidP="00CC2233">
            <w:pPr>
              <w:spacing w:after="0" w:line="240" w:lineRule="auto"/>
              <w:jc w:val="center"/>
              <w:rPr>
                <w:rFonts w:ascii="Arial" w:eastAsia="Times New Roman" w:hAnsi="Arial" w:cs="Arial"/>
                <w:bCs/>
                <w:color w:val="000000"/>
                <w:sz w:val="18"/>
                <w:szCs w:val="18"/>
              </w:rPr>
            </w:pPr>
          </w:p>
          <w:p w:rsidR="00116D21" w:rsidRPr="00335FE3" w:rsidRDefault="00116D21" w:rsidP="00CC2233">
            <w:pPr>
              <w:spacing w:after="0" w:line="240" w:lineRule="auto"/>
              <w:jc w:val="center"/>
              <w:rPr>
                <w:rFonts w:ascii="Arial" w:eastAsia="Times New Roman" w:hAnsi="Arial" w:cs="Arial"/>
                <w:b/>
                <w:bCs/>
                <w:color w:val="000000"/>
                <w:sz w:val="18"/>
                <w:szCs w:val="18"/>
              </w:rPr>
            </w:pPr>
            <w:r w:rsidRPr="00335FE3">
              <w:rPr>
                <w:rFonts w:ascii="Arial" w:eastAsia="Times New Roman" w:hAnsi="Arial" w:cs="Arial"/>
                <w:bCs/>
                <w:color w:val="000000"/>
                <w:sz w:val="18"/>
                <w:szCs w:val="18"/>
              </w:rPr>
              <w:t>The aggregator decides prior to events whether or not to apply same-day adjustments to the baseline</w:t>
            </w:r>
            <w:r>
              <w:rPr>
                <w:rFonts w:ascii="Arial" w:eastAsia="Times New Roman" w:hAnsi="Arial" w:cs="Arial"/>
                <w:bCs/>
                <w:color w:val="000000"/>
                <w:sz w:val="18"/>
                <w:szCs w:val="18"/>
              </w:rPr>
              <w:t>.</w:t>
            </w: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Unadjusted</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100%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100%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18</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80%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120%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19</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130%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20</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35%</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65%</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135%</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40%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140%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150%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2x</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200%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Unlimited</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b/>
                <w:bCs/>
                <w:color w:val="000000"/>
                <w:sz w:val="20"/>
                <w:szCs w:val="20"/>
              </w:rPr>
            </w:pPr>
            <w:r w:rsidRPr="00335FE3">
              <w:rPr>
                <w:rFonts w:ascii="Arial" w:eastAsia="Times New Roman" w:hAnsi="Arial" w:cs="Arial"/>
                <w:b/>
                <w:bCs/>
                <w:color w:val="000000"/>
                <w:sz w:val="20"/>
                <w:szCs w:val="20"/>
              </w:rPr>
              <w:t>Universal</w:t>
            </w:r>
          </w:p>
          <w:p w:rsidR="00116D21" w:rsidRPr="00335FE3" w:rsidRDefault="00116D21" w:rsidP="00CC2233">
            <w:pPr>
              <w:spacing w:after="0" w:line="240" w:lineRule="auto"/>
              <w:jc w:val="center"/>
              <w:rPr>
                <w:rFonts w:ascii="Arial" w:eastAsia="Times New Roman" w:hAnsi="Arial" w:cs="Arial"/>
                <w:b/>
                <w:bCs/>
                <w:color w:val="000000"/>
                <w:sz w:val="18"/>
                <w:szCs w:val="18"/>
              </w:rPr>
            </w:pPr>
          </w:p>
          <w:p w:rsidR="00116D21" w:rsidRPr="00335FE3" w:rsidRDefault="00116D21" w:rsidP="00CC2233">
            <w:pPr>
              <w:spacing w:after="0" w:line="240" w:lineRule="auto"/>
              <w:jc w:val="center"/>
              <w:rPr>
                <w:rFonts w:ascii="Arial" w:eastAsia="Times New Roman" w:hAnsi="Arial" w:cs="Arial"/>
                <w:b/>
                <w:bCs/>
                <w:color w:val="000000"/>
                <w:sz w:val="18"/>
                <w:szCs w:val="18"/>
              </w:rPr>
            </w:pPr>
            <w:r w:rsidRPr="00335FE3">
              <w:rPr>
                <w:rFonts w:ascii="Arial" w:eastAsia="Times New Roman" w:hAnsi="Arial" w:cs="Arial"/>
                <w:bCs/>
                <w:color w:val="000000"/>
                <w:sz w:val="18"/>
                <w:szCs w:val="18"/>
              </w:rPr>
              <w:t xml:space="preserve">The </w:t>
            </w:r>
            <w:r w:rsidR="00E535D9">
              <w:rPr>
                <w:rFonts w:ascii="Arial" w:eastAsia="Times New Roman" w:hAnsi="Arial" w:cs="Arial"/>
                <w:bCs/>
                <w:color w:val="000000"/>
                <w:sz w:val="18"/>
                <w:szCs w:val="18"/>
              </w:rPr>
              <w:t>same-day</w:t>
            </w:r>
            <w:r w:rsidRPr="00335FE3">
              <w:rPr>
                <w:rFonts w:ascii="Arial" w:eastAsia="Times New Roman" w:hAnsi="Arial" w:cs="Arial"/>
                <w:bCs/>
                <w:color w:val="000000"/>
                <w:sz w:val="18"/>
                <w:szCs w:val="18"/>
              </w:rPr>
              <w:t xml:space="preserve"> adjustment is applied to </w:t>
            </w:r>
            <w:r>
              <w:rPr>
                <w:rFonts w:ascii="Arial" w:eastAsia="Times New Roman" w:hAnsi="Arial" w:cs="Arial"/>
                <w:bCs/>
                <w:color w:val="000000"/>
                <w:sz w:val="18"/>
                <w:szCs w:val="18"/>
              </w:rPr>
              <w:t>all customers and settlement portfolio</w:t>
            </w:r>
            <w:r w:rsidRPr="00335FE3">
              <w:rPr>
                <w:rFonts w:ascii="Arial" w:eastAsia="Times New Roman" w:hAnsi="Arial" w:cs="Arial"/>
                <w:bCs/>
                <w:color w:val="000000"/>
                <w:sz w:val="18"/>
                <w:szCs w:val="18"/>
              </w:rPr>
              <w:t>s</w:t>
            </w:r>
            <w:r>
              <w:rPr>
                <w:rFonts w:ascii="Arial" w:eastAsia="Times New Roman" w:hAnsi="Arial" w:cs="Arial"/>
                <w:bCs/>
                <w:color w:val="000000"/>
                <w:sz w:val="18"/>
                <w:szCs w:val="18"/>
              </w:rPr>
              <w:t>.</w:t>
            </w: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Unadjusted</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100%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100%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26</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80%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120%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27</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130%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28</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35%</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65%</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135%</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29</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40%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140%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30</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150%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31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2x</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200%</w:t>
            </w:r>
          </w:p>
        </w:tc>
      </w:tr>
      <w:tr w:rsidR="00116D21" w:rsidRPr="00335FE3" w:rsidTr="00CC2233">
        <w:trPr>
          <w:trHeight w:hRule="exact" w:val="25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32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116D21" w:rsidRPr="00335FE3" w:rsidRDefault="00116D21" w:rsidP="00CC2233">
            <w:pPr>
              <w:spacing w:after="0" w:line="240" w:lineRule="auto"/>
              <w:jc w:val="center"/>
              <w:rPr>
                <w:rFonts w:ascii="Arial" w:eastAsia="Times New Roman" w:hAnsi="Arial" w:cs="Arial"/>
                <w:b/>
                <w:bCs/>
                <w:color w:val="000000"/>
                <w:sz w:val="18"/>
                <w:szCs w:val="18"/>
              </w:rPr>
            </w:pPr>
          </w:p>
        </w:tc>
        <w:tc>
          <w:tcPr>
            <w:tcW w:w="117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Unlimited</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w:t>
            </w:r>
          </w:p>
        </w:tc>
        <w:tc>
          <w:tcPr>
            <w:tcW w:w="1080" w:type="dxa"/>
            <w:tcBorders>
              <w:top w:val="nil"/>
              <w:left w:val="nil"/>
              <w:bottom w:val="single" w:sz="4" w:space="0" w:color="auto"/>
              <w:right w:val="single" w:sz="4" w:space="0" w:color="auto"/>
            </w:tcBorders>
            <w:shd w:val="clear" w:color="auto" w:fill="auto"/>
            <w:noWrap/>
            <w:vAlign w:val="center"/>
            <w:hideMark/>
          </w:tcPr>
          <w:p w:rsidR="00116D21" w:rsidRPr="00335FE3" w:rsidRDefault="00116D21" w:rsidP="00CC2233">
            <w:pPr>
              <w:spacing w:after="0" w:line="240" w:lineRule="auto"/>
              <w:jc w:val="center"/>
              <w:rPr>
                <w:rFonts w:ascii="Arial" w:eastAsia="Times New Roman" w:hAnsi="Arial" w:cs="Arial"/>
                <w:color w:val="000000"/>
                <w:sz w:val="18"/>
                <w:szCs w:val="18"/>
              </w:rPr>
            </w:pPr>
            <w:r w:rsidRPr="00335FE3">
              <w:rPr>
                <w:rFonts w:ascii="Arial" w:eastAsia="Times New Roman" w:hAnsi="Arial" w:cs="Arial"/>
                <w:color w:val="000000"/>
                <w:sz w:val="18"/>
                <w:szCs w:val="18"/>
              </w:rPr>
              <w:t>-</w:t>
            </w:r>
          </w:p>
        </w:tc>
      </w:tr>
    </w:tbl>
    <w:p w:rsidR="008B5314" w:rsidRDefault="00116D21">
      <w:pPr>
        <w:pStyle w:val="Heading2"/>
        <w:spacing w:before="360"/>
        <w:ind w:left="547" w:hanging="547"/>
      </w:pPr>
      <w:bookmarkStart w:id="15" w:name="_Toc326055565"/>
      <w:bookmarkStart w:id="16" w:name="_Toc326064037"/>
      <w:bookmarkStart w:id="17" w:name="_Toc318789276"/>
      <w:bookmarkStart w:id="18" w:name="_Toc324232549"/>
      <w:bookmarkStart w:id="19" w:name="_Toc326150794"/>
      <w:bookmarkEnd w:id="15"/>
      <w:bookmarkEnd w:id="16"/>
      <w:r>
        <w:t>Report Focus and Contents</w:t>
      </w:r>
      <w:bookmarkEnd w:id="17"/>
      <w:bookmarkEnd w:id="18"/>
      <w:bookmarkEnd w:id="19"/>
    </w:p>
    <w:p w:rsidR="00116D21" w:rsidRDefault="00403E51" w:rsidP="00F7630F">
      <w:pPr>
        <w:pStyle w:val="BodyParagraph"/>
      </w:pPr>
      <w:r>
        <w:t>T</w:t>
      </w:r>
      <w:r w:rsidR="00116D21">
        <w:t>his report</w:t>
      </w:r>
      <w:r>
        <w:t xml:space="preserve"> focuses</w:t>
      </w:r>
      <w:r w:rsidR="00116D21">
        <w:t xml:space="preserve"> on the accuracy of the demand reduction</w:t>
      </w:r>
      <w:r>
        <w:t xml:space="preserve"> estimate</w:t>
      </w:r>
      <w:r w:rsidR="00116D21">
        <w:t xml:space="preserve">s calculated using </w:t>
      </w:r>
      <w:r>
        <w:t xml:space="preserve">various </w:t>
      </w:r>
      <w:r w:rsidR="00116D21">
        <w:t>baseline</w:t>
      </w:r>
      <w:r>
        <w:t xml:space="preserve"> methods</w:t>
      </w:r>
      <w:r w:rsidR="00116D21">
        <w:t xml:space="preserve"> rather than the accuracy of the baseline itself.  The reason a baseline is calculated in the first place is to estimate demand reductions.  Aggregators, </w:t>
      </w:r>
      <w:r w:rsidR="00F7630F">
        <w:t>customers</w:t>
      </w:r>
      <w:r w:rsidR="00116D21">
        <w:t xml:space="preserve"> and system operators are </w:t>
      </w:r>
      <w:r w:rsidR="00116D21">
        <w:lastRenderedPageBreak/>
        <w:t xml:space="preserve">concerned with how well a baseline estimates load reduction because this impacts system operations and how much customers are compensated.  In other words, baselines are a means to an end, not the end in itself.  Thus, we assess each baseline </w:t>
      </w:r>
      <w:r>
        <w:t>method on</w:t>
      </w:r>
      <w:r w:rsidR="00116D21">
        <w:t xml:space="preserve"> how accurately it estimates demand reductions, not </w:t>
      </w:r>
      <w:r>
        <w:t xml:space="preserve">on </w:t>
      </w:r>
      <w:r w:rsidR="00116D21">
        <w:t>how well it estimates the load itself.</w:t>
      </w:r>
      <w:r w:rsidR="00047B43">
        <w:rPr>
          <w:rStyle w:val="FootnoteReference"/>
        </w:rPr>
        <w:footnoteReference w:id="8"/>
      </w:r>
    </w:p>
    <w:p w:rsidR="00116D21" w:rsidRDefault="00403E51" w:rsidP="00F7630F">
      <w:pPr>
        <w:pStyle w:val="BodyParagraph"/>
      </w:pPr>
      <w:r>
        <w:t>In Section 2</w:t>
      </w:r>
      <w:r w:rsidR="00116D21">
        <w:t xml:space="preserve"> of this volume, the results for each of the 32 baseline</w:t>
      </w:r>
      <w:r>
        <w:t xml:space="preserve"> methods</w:t>
      </w:r>
      <w:r w:rsidR="00116D21">
        <w:t xml:space="preserve"> </w:t>
      </w:r>
      <w:r>
        <w:t xml:space="preserve">summarized </w:t>
      </w:r>
      <w:r w:rsidR="00116D21">
        <w:t xml:space="preserve">in Table </w:t>
      </w:r>
      <w:r w:rsidR="0037784F">
        <w:t>1</w:t>
      </w:r>
      <w:r w:rsidR="00116D21">
        <w:t>-1 are compared to the 2011 evaluation results presented in Volume I, which were estimated using regression metho</w:t>
      </w:r>
      <w:r>
        <w:t xml:space="preserve">ds.  Note that this is </w:t>
      </w:r>
      <w:r w:rsidR="00116D21">
        <w:t xml:space="preserve">a comparison between two </w:t>
      </w:r>
      <w:r w:rsidR="00116D21" w:rsidRPr="00050374">
        <w:t>estimates</w:t>
      </w:r>
      <w:r w:rsidR="00116D21">
        <w:t>: one that uses more sophisticated regression methods and another that uses less sophisticated baseline methods.  Comparing results from actual event days is useful because it provides insight into how baselines perform in the real world; for example, customers may shift load to pre</w:t>
      </w:r>
      <w:r>
        <w:t>-e</w:t>
      </w:r>
      <w:r w:rsidR="00116D21">
        <w:t xml:space="preserve">vent hours, or may reduce demand early in anticipation of a load curtailment period.  </w:t>
      </w:r>
    </w:p>
    <w:p w:rsidR="008B5314" w:rsidRDefault="00403E51">
      <w:pPr>
        <w:pStyle w:val="BodyBeforeBullet"/>
      </w:pPr>
      <w:r>
        <w:t>Section 3</w:t>
      </w:r>
      <w:r w:rsidR="00116D21">
        <w:t xml:space="preserve"> includes a systematic assessment of how accurately each baseline </w:t>
      </w:r>
      <w:r>
        <w:t xml:space="preserve">method </w:t>
      </w:r>
      <w:r w:rsidR="00116D21">
        <w:t>estimates demand reductions under a set of idealized conditions.  This is achieved by simulating a load reduction on an event-like day and then ca</w:t>
      </w:r>
      <w:r>
        <w:t xml:space="preserve">lculating </w:t>
      </w:r>
      <w:r w:rsidR="00116D21">
        <w:t>baseline</w:t>
      </w:r>
      <w:r>
        <w:t>s and impacts</w:t>
      </w:r>
      <w:r w:rsidR="00116D21">
        <w:t xml:space="preserve"> for this event-like day.  In this way, one can assess how well the baseline accords with the unperturbed load, and how well the baseline impact accords with the true impact, because both the unperturbed load and the true impact are known.  Note that there are two key assumptions embedded within this analysis: first, that customers provide a complete load reduction, and second, that there are no load increases or decreases in anticipation of the event.  This allows an investigation of baseline accuracy without having to worry about confounding factors that can be difficult fo</w:t>
      </w:r>
      <w:r>
        <w:t>r a baseline to discern.  Se</w:t>
      </w:r>
      <w:r w:rsidR="00116D21">
        <w:t xml:space="preserve">ction </w:t>
      </w:r>
      <w:r>
        <w:t xml:space="preserve">3 </w:t>
      </w:r>
      <w:r w:rsidR="00116D21">
        <w:t xml:space="preserve">outlines the framework used to carry out this analysis and presents the analysis results for PG&amp;E, </w:t>
      </w:r>
      <w:r w:rsidR="00F7630F">
        <w:t>SCE</w:t>
      </w:r>
      <w:r w:rsidR="00116D21">
        <w:t xml:space="preserve"> and SDG&amp;E, respectively.</w:t>
      </w:r>
      <w:r w:rsidR="00D45F76">
        <w:t xml:space="preserve">  </w:t>
      </w:r>
    </w:p>
    <w:p w:rsidR="00D45F76" w:rsidRDefault="00D45F76">
      <w:r>
        <w:br w:type="page"/>
      </w:r>
    </w:p>
    <w:p w:rsidR="008B5314" w:rsidRDefault="00D45F76">
      <w:pPr>
        <w:pStyle w:val="Heading1"/>
      </w:pPr>
      <w:bookmarkStart w:id="20" w:name="_Toc326150795"/>
      <w:r>
        <w:lastRenderedPageBreak/>
        <w:t>Comparison of EM&amp;V and Baseline Results</w:t>
      </w:r>
      <w:bookmarkEnd w:id="20"/>
    </w:p>
    <w:p w:rsidR="008B5314" w:rsidRDefault="00116D21">
      <w:r>
        <w:t xml:space="preserve">This section compares the 2011 load impact evaluation estimates (documented in Volume 1) for each  event day with the demand reductions estimated using the current settlement baseline rules and the alternative baseline rules outlined in Table </w:t>
      </w:r>
      <w:r w:rsidR="0037784F">
        <w:t>1</w:t>
      </w:r>
      <w:r>
        <w:t xml:space="preserve">-1.  In each case, the </w:t>
      </w:r>
      <w:r w:rsidRPr="00050374">
        <w:t>baseline load impacts</w:t>
      </w:r>
      <w:r>
        <w:t xml:space="preserve"> are</w:t>
      </w:r>
      <w:r w:rsidRPr="00050374">
        <w:t xml:space="preserve"> </w:t>
      </w:r>
      <w:r>
        <w:t xml:space="preserve">presented </w:t>
      </w:r>
      <w:r w:rsidRPr="00050374">
        <w:t>as a percentage of the ex</w:t>
      </w:r>
      <w:r>
        <w:t xml:space="preserve"> </w:t>
      </w:r>
      <w:r w:rsidRPr="00050374">
        <w:t>post (regression</w:t>
      </w:r>
      <w:r w:rsidR="00403E51">
        <w:t>-based</w:t>
      </w:r>
      <w:r w:rsidRPr="00050374">
        <w:t xml:space="preserve">) </w:t>
      </w:r>
      <w:r>
        <w:t xml:space="preserve">evaluation results.  This is done </w:t>
      </w:r>
      <w:r w:rsidRPr="00050374">
        <w:t>for each of the demand response programs evaluated in this report.</w:t>
      </w:r>
      <w:r w:rsidR="004025E5">
        <w:t xml:space="preserve">  This section is designed to satisfy requirements set forth by the California Public Utilities Commission in </w:t>
      </w:r>
      <w:r w:rsidR="0079600B" w:rsidRPr="003122AC">
        <w:t>D.12-04-045</w:t>
      </w:r>
      <w:r w:rsidR="004025E5">
        <w:t>.</w:t>
      </w:r>
      <w:r w:rsidRPr="00050374">
        <w:t xml:space="preserve"> </w:t>
      </w:r>
    </w:p>
    <w:p w:rsidR="00116D21" w:rsidRDefault="00116D21" w:rsidP="00116D21">
      <w:pPr>
        <w:pStyle w:val="BodyParagraph"/>
      </w:pPr>
      <w:r>
        <w:t xml:space="preserve">Although comparing EM&amp;V and baseline results is a comparison of two estimates – that is, neither one provides a perfect, true answer – this comparison </w:t>
      </w:r>
      <w:r w:rsidRPr="00050374">
        <w:t xml:space="preserve">is </w:t>
      </w:r>
      <w:r>
        <w:t xml:space="preserve">useful because it reflects customer behavior and weather patterns during actual event days.  In particular, the regressions can detect whether a customer is changing their load patterns in anticipation of an event.  In contrast, the baseline adjustment processes can confound early load reductions or load shifting with estimation error and improperly adjust for those behaviors.  </w:t>
      </w:r>
    </w:p>
    <w:p w:rsidR="00116D21" w:rsidRPr="00A2035F" w:rsidRDefault="00116D21" w:rsidP="00116D21">
      <w:pPr>
        <w:pStyle w:val="BodyParagraph"/>
      </w:pPr>
      <w:r>
        <w:t xml:space="preserve">Table </w:t>
      </w:r>
      <w:r w:rsidR="00394A94">
        <w:t>2</w:t>
      </w:r>
      <w:r>
        <w:t xml:space="preserve">-1 summarizes the comparison between the evaluation results and the demand reductions estimated using the current baseline </w:t>
      </w:r>
      <w:r w:rsidR="00403E51">
        <w:t xml:space="preserve">method </w:t>
      </w:r>
      <w:r>
        <w:t xml:space="preserve">for all three utilities.  It presents results by program and advance dispatch notification.  In each instance, the settlement baselines were calculated </w:t>
      </w:r>
      <w:r w:rsidRPr="00050374">
        <w:t xml:space="preserve">based on the same-hour average of </w:t>
      </w:r>
      <w:r>
        <w:t>the 10</w:t>
      </w:r>
      <w:r w:rsidRPr="00050374">
        <w:t xml:space="preserve"> weekdays immediately preceding the </w:t>
      </w:r>
      <w:r>
        <w:t xml:space="preserve">curtailment </w:t>
      </w:r>
      <w:r w:rsidRPr="00050374">
        <w:t>event</w:t>
      </w:r>
      <w:r>
        <w:t xml:space="preserve"> in question</w:t>
      </w:r>
      <w:r w:rsidRPr="00050374">
        <w:t>, excluding other event day</w:t>
      </w:r>
      <w:r>
        <w:t>s</w:t>
      </w:r>
      <w:r w:rsidRPr="00050374">
        <w:t xml:space="preserve"> and holidays.  </w:t>
      </w:r>
      <w:r>
        <w:t xml:space="preserve">The baselines were calculated individually for each customer, the </w:t>
      </w:r>
      <w:r w:rsidR="00E535D9">
        <w:t>same-day</w:t>
      </w:r>
      <w:r>
        <w:t xml:space="preserve"> adjustments (if selected) and cap were applied individually for each </w:t>
      </w:r>
      <w:r w:rsidR="00F7630F">
        <w:t>customer</w:t>
      </w:r>
      <w:r>
        <w:t xml:space="preserve"> and then the results for each customer were summed to obtain the aggregate estimates. </w:t>
      </w:r>
    </w:p>
    <w:p w:rsidR="00116D21" w:rsidRDefault="00116D21" w:rsidP="00BB2A20">
      <w:pPr>
        <w:pStyle w:val="BodyBeforeBullet"/>
      </w:pPr>
      <w:r>
        <w:t xml:space="preserve">Table </w:t>
      </w:r>
      <w:r w:rsidR="00394A94">
        <w:t>2</w:t>
      </w:r>
      <w:r w:rsidR="0037784F">
        <w:t>-1</w:t>
      </w:r>
      <w:r>
        <w:t xml:space="preserve"> also includes three potential explanations for the difference between evaluation load impact estimates and the baseline estimates:</w:t>
      </w:r>
    </w:p>
    <w:p w:rsidR="004D6CC3" w:rsidRDefault="004D6CC3" w:rsidP="00BB2A20">
      <w:pPr>
        <w:pStyle w:val="BulletLast"/>
      </w:pPr>
      <w:r>
        <w:t>The current baseline tends to over or under predict impacts when the true demand reductions are known  (absent load shifting to adjustment period or early demand reductions) – that is, it exhibits bias.</w:t>
      </w:r>
      <w:r>
        <w:rPr>
          <w:rStyle w:val="FootnoteReference"/>
        </w:rPr>
        <w:footnoteReference w:id="9"/>
      </w:r>
    </w:p>
    <w:p w:rsidR="00116D21" w:rsidRDefault="00116D21" w:rsidP="00BB2A20">
      <w:pPr>
        <w:pStyle w:val="BulletLast"/>
      </w:pPr>
      <w:r>
        <w:t>Customers increase load in the pre-event hours used to calculate the adjustment, leading to upward adjustments that are too high and that over estimate demand reduction;</w:t>
      </w:r>
    </w:p>
    <w:p w:rsidR="00116D21" w:rsidRDefault="00116D21" w:rsidP="00BB2A20">
      <w:pPr>
        <w:pStyle w:val="Bullets"/>
      </w:pPr>
      <w:r>
        <w:t>Customers provide early demand reductions and decrease load in the pre-event hours used to calculate the adjustment, leading to downward adjustments that are too low and that under estimate the demand reduction; and</w:t>
      </w:r>
    </w:p>
    <w:p w:rsidR="00CA7291" w:rsidRDefault="00116D21" w:rsidP="00CA7291">
      <w:pPr>
        <w:pStyle w:val="BodyParagraph"/>
      </w:pPr>
      <w:r w:rsidRPr="00BB2A20">
        <w:t>The</w:t>
      </w:r>
      <w:r>
        <w:t xml:space="preserve"> results for program options that </w:t>
      </w:r>
      <w:r w:rsidR="0019158E">
        <w:t>have few customers</w:t>
      </w:r>
      <w:r>
        <w:t xml:space="preserve"> or were dispatched </w:t>
      </w:r>
      <w:r w:rsidR="0019158E">
        <w:t>infrequently</w:t>
      </w:r>
      <w:r>
        <w:t xml:space="preserve"> in 2011 should be interpreted with caution, since they typically have more uncertainty around the demand reduction estimates.  For programs and resource options where more events are called and more customers are aggregated, patterns are more stable and provide more reliable information.</w:t>
      </w:r>
    </w:p>
    <w:p w:rsidR="00CA7291" w:rsidRDefault="00CA7291" w:rsidP="00AB380F">
      <w:pPr>
        <w:pStyle w:val="BodyParagraph"/>
        <w:sectPr w:rsidR="00CA7291" w:rsidSect="00D04113">
          <w:pgSz w:w="12240" w:h="15840"/>
          <w:pgMar w:top="1440" w:right="1440" w:bottom="1440" w:left="1440" w:header="720" w:footer="720" w:gutter="0"/>
          <w:pgNumType w:start="1"/>
          <w:cols w:space="720"/>
          <w:docGrid w:linePitch="360"/>
        </w:sectPr>
      </w:pPr>
    </w:p>
    <w:p w:rsidR="00116D21" w:rsidRDefault="00116D21" w:rsidP="00116D21">
      <w:pPr>
        <w:pStyle w:val="TableFigureCaption"/>
      </w:pPr>
      <w:r>
        <w:lastRenderedPageBreak/>
        <w:t>Table 2-1: Comparison of Evaluation Results and Demand Reductions Estimated Using the Current Baseline</w:t>
      </w:r>
      <w:r>
        <w:rPr>
          <w:rStyle w:val="FootnoteReference"/>
        </w:rPr>
        <w:footnoteReference w:id="10"/>
      </w:r>
    </w:p>
    <w:tbl>
      <w:tblPr>
        <w:tblW w:w="0" w:type="auto"/>
        <w:tblCellMar>
          <w:left w:w="72" w:type="dxa"/>
          <w:right w:w="72" w:type="dxa"/>
        </w:tblCellMar>
        <w:tblLook w:val="04A0"/>
      </w:tblPr>
      <w:tblGrid>
        <w:gridCol w:w="775"/>
        <w:gridCol w:w="885"/>
        <w:gridCol w:w="1266"/>
        <w:gridCol w:w="754"/>
        <w:gridCol w:w="1377"/>
        <w:gridCol w:w="1315"/>
        <w:gridCol w:w="1241"/>
        <w:gridCol w:w="1422"/>
        <w:gridCol w:w="1097"/>
        <w:gridCol w:w="1174"/>
        <w:gridCol w:w="1798"/>
      </w:tblGrid>
      <w:tr w:rsidR="007F2266" w:rsidRPr="00536442" w:rsidTr="00F123C2">
        <w:trPr>
          <w:trHeight w:val="612"/>
        </w:trPr>
        <w:tc>
          <w:tcPr>
            <w:tcW w:w="0" w:type="auto"/>
            <w:vMerge w:val="restart"/>
            <w:tcBorders>
              <w:top w:val="single" w:sz="4" w:space="0" w:color="000000"/>
              <w:left w:val="single" w:sz="4" w:space="0" w:color="000000"/>
              <w:bottom w:val="single" w:sz="4" w:space="0" w:color="000000"/>
              <w:right w:val="single" w:sz="4" w:space="0" w:color="FFFFFF"/>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sidRPr="00536442">
              <w:rPr>
                <w:rFonts w:ascii="Arial" w:eastAsia="Times New Roman" w:hAnsi="Arial" w:cs="Arial"/>
                <w:b/>
                <w:bCs/>
                <w:color w:val="FFFFFF"/>
                <w:sz w:val="18"/>
                <w:szCs w:val="18"/>
              </w:rPr>
              <w:t>Utility</w:t>
            </w:r>
          </w:p>
        </w:tc>
        <w:tc>
          <w:tcPr>
            <w:tcW w:w="0" w:type="auto"/>
            <w:vMerge w:val="restart"/>
            <w:tcBorders>
              <w:top w:val="single" w:sz="4" w:space="0" w:color="000000"/>
              <w:left w:val="single" w:sz="4" w:space="0" w:color="FFFFFF"/>
              <w:bottom w:val="single" w:sz="4" w:space="0" w:color="000000"/>
              <w:right w:val="single" w:sz="4" w:space="0" w:color="FFFFFF"/>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sidRPr="00536442">
              <w:rPr>
                <w:rFonts w:ascii="Arial" w:eastAsia="Times New Roman" w:hAnsi="Arial" w:cs="Arial"/>
                <w:b/>
                <w:bCs/>
                <w:color w:val="FFFFFF"/>
                <w:sz w:val="18"/>
                <w:szCs w:val="18"/>
              </w:rPr>
              <w:t>Program</w:t>
            </w:r>
          </w:p>
        </w:tc>
        <w:tc>
          <w:tcPr>
            <w:tcW w:w="0" w:type="auto"/>
            <w:vMerge w:val="restart"/>
            <w:tcBorders>
              <w:top w:val="single" w:sz="4" w:space="0" w:color="000000"/>
              <w:left w:val="single" w:sz="4" w:space="0" w:color="FFFFFF"/>
              <w:bottom w:val="single" w:sz="4" w:space="0" w:color="000000"/>
              <w:right w:val="single" w:sz="4" w:space="0" w:color="FFFFFF"/>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sidRPr="00536442">
              <w:rPr>
                <w:rFonts w:ascii="Arial" w:eastAsia="Times New Roman" w:hAnsi="Arial" w:cs="Arial"/>
                <w:b/>
                <w:bCs/>
                <w:color w:val="FFFFFF"/>
                <w:sz w:val="18"/>
                <w:szCs w:val="18"/>
              </w:rPr>
              <w:t>Advance Notification</w:t>
            </w:r>
          </w:p>
        </w:tc>
        <w:tc>
          <w:tcPr>
            <w:tcW w:w="0" w:type="auto"/>
            <w:gridSpan w:val="4"/>
            <w:tcBorders>
              <w:top w:val="single" w:sz="4" w:space="0" w:color="000000"/>
              <w:left w:val="nil"/>
              <w:bottom w:val="single" w:sz="4" w:space="0" w:color="FFFFFF"/>
              <w:right w:val="single" w:sz="4" w:space="0" w:color="FFFFFF"/>
            </w:tcBorders>
            <w:shd w:val="clear" w:color="000000" w:fill="376091"/>
            <w:noWrap/>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sidRPr="00536442">
              <w:rPr>
                <w:rFonts w:ascii="Arial" w:eastAsia="Times New Roman" w:hAnsi="Arial" w:cs="Arial"/>
                <w:b/>
                <w:bCs/>
                <w:color w:val="FFFFFF"/>
                <w:sz w:val="18"/>
                <w:szCs w:val="18"/>
              </w:rPr>
              <w:t>Average Event Comparison</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sidRPr="00536442">
              <w:rPr>
                <w:rFonts w:ascii="Arial" w:eastAsia="Times New Roman" w:hAnsi="Arial" w:cs="Arial"/>
                <w:b/>
                <w:bCs/>
                <w:color w:val="FFFFFF"/>
                <w:sz w:val="18"/>
                <w:szCs w:val="18"/>
              </w:rPr>
              <w:t>Baseline Bias (simulation</w:t>
            </w:r>
            <w:r>
              <w:rPr>
                <w:rFonts w:ascii="Arial" w:eastAsia="Times New Roman" w:hAnsi="Arial" w:cs="Arial"/>
                <w:b/>
                <w:bCs/>
                <w:color w:val="FFFFFF"/>
                <w:sz w:val="18"/>
                <w:szCs w:val="18"/>
              </w:rPr>
              <w:t xml:space="preserve"> results</w:t>
            </w:r>
            <w:r w:rsidRPr="00536442">
              <w:rPr>
                <w:rFonts w:ascii="Arial" w:eastAsia="Times New Roman" w:hAnsi="Arial" w:cs="Arial"/>
                <w:b/>
                <w:bCs/>
                <w:color w:val="FFFFFF"/>
                <w:sz w:val="18"/>
                <w:szCs w:val="18"/>
              </w:rPr>
              <w:t>)</w:t>
            </w:r>
          </w:p>
        </w:tc>
        <w:tc>
          <w:tcPr>
            <w:tcW w:w="0" w:type="auto"/>
            <w:gridSpan w:val="3"/>
            <w:tcBorders>
              <w:top w:val="single" w:sz="4" w:space="0" w:color="auto"/>
              <w:left w:val="nil"/>
              <w:bottom w:val="single" w:sz="4" w:space="0" w:color="FFFFFF"/>
              <w:right w:val="single" w:sz="4" w:space="0" w:color="auto"/>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Change in Customer Behavior During Pre-event Adjustment Period (Compared to Behavior on Non-event Days)</w:t>
            </w:r>
          </w:p>
        </w:tc>
      </w:tr>
      <w:tr w:rsidR="007F2266" w:rsidRPr="00536442" w:rsidTr="00F123C2">
        <w:trPr>
          <w:trHeight w:val="960"/>
        </w:trPr>
        <w:tc>
          <w:tcPr>
            <w:tcW w:w="0" w:type="auto"/>
            <w:vMerge/>
            <w:tcBorders>
              <w:top w:val="single" w:sz="4" w:space="0" w:color="000000"/>
              <w:left w:val="single" w:sz="4" w:space="0" w:color="000000"/>
              <w:bottom w:val="single" w:sz="4" w:space="0" w:color="000000"/>
              <w:right w:val="single" w:sz="4" w:space="0" w:color="FFFFFF"/>
            </w:tcBorders>
            <w:vAlign w:val="center"/>
            <w:hideMark/>
          </w:tcPr>
          <w:p w:rsidR="007F2266" w:rsidRPr="00536442" w:rsidRDefault="007F2266" w:rsidP="00F123C2">
            <w:pPr>
              <w:spacing w:after="0" w:line="240" w:lineRule="auto"/>
              <w:rPr>
                <w:rFonts w:ascii="Arial" w:eastAsia="Times New Roman" w:hAnsi="Arial" w:cs="Arial"/>
                <w:b/>
                <w:bCs/>
                <w:color w:val="FFFFFF"/>
                <w:sz w:val="18"/>
                <w:szCs w:val="18"/>
              </w:rPr>
            </w:pPr>
          </w:p>
        </w:tc>
        <w:tc>
          <w:tcPr>
            <w:tcW w:w="0" w:type="auto"/>
            <w:vMerge/>
            <w:tcBorders>
              <w:top w:val="single" w:sz="4" w:space="0" w:color="000000"/>
              <w:left w:val="single" w:sz="4" w:space="0" w:color="FFFFFF"/>
              <w:bottom w:val="single" w:sz="4" w:space="0" w:color="000000"/>
              <w:right w:val="single" w:sz="4" w:space="0" w:color="FFFFFF"/>
            </w:tcBorders>
            <w:vAlign w:val="center"/>
            <w:hideMark/>
          </w:tcPr>
          <w:p w:rsidR="007F2266" w:rsidRPr="00536442" w:rsidRDefault="007F2266" w:rsidP="00F123C2">
            <w:pPr>
              <w:spacing w:after="0" w:line="240" w:lineRule="auto"/>
              <w:rPr>
                <w:rFonts w:ascii="Arial" w:eastAsia="Times New Roman" w:hAnsi="Arial" w:cs="Arial"/>
                <w:b/>
                <w:bCs/>
                <w:color w:val="FFFFFF"/>
                <w:sz w:val="18"/>
                <w:szCs w:val="18"/>
              </w:rPr>
            </w:pPr>
          </w:p>
        </w:tc>
        <w:tc>
          <w:tcPr>
            <w:tcW w:w="0" w:type="auto"/>
            <w:vMerge/>
            <w:tcBorders>
              <w:top w:val="single" w:sz="4" w:space="0" w:color="000000"/>
              <w:left w:val="single" w:sz="4" w:space="0" w:color="FFFFFF"/>
              <w:bottom w:val="single" w:sz="4" w:space="0" w:color="000000"/>
              <w:right w:val="single" w:sz="4" w:space="0" w:color="FFFFFF"/>
            </w:tcBorders>
            <w:vAlign w:val="center"/>
            <w:hideMark/>
          </w:tcPr>
          <w:p w:rsidR="007F2266" w:rsidRPr="00536442" w:rsidRDefault="007F2266" w:rsidP="00F123C2">
            <w:pPr>
              <w:spacing w:after="0" w:line="240" w:lineRule="auto"/>
              <w:rPr>
                <w:rFonts w:ascii="Arial" w:eastAsia="Times New Roman" w:hAnsi="Arial" w:cs="Arial"/>
                <w:b/>
                <w:bCs/>
                <w:color w:val="FFFFFF"/>
                <w:sz w:val="18"/>
                <w:szCs w:val="18"/>
              </w:rPr>
            </w:pPr>
          </w:p>
        </w:tc>
        <w:tc>
          <w:tcPr>
            <w:tcW w:w="0" w:type="auto"/>
            <w:tcBorders>
              <w:top w:val="nil"/>
              <w:left w:val="nil"/>
              <w:bottom w:val="single" w:sz="4" w:space="0" w:color="000000"/>
              <w:right w:val="single" w:sz="4" w:space="0" w:color="FFFFFF"/>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Event H</w:t>
            </w:r>
            <w:r w:rsidRPr="00536442">
              <w:rPr>
                <w:rFonts w:ascii="Arial" w:eastAsia="Times New Roman" w:hAnsi="Arial" w:cs="Arial"/>
                <w:b/>
                <w:bCs/>
                <w:color w:val="FFFFFF"/>
                <w:sz w:val="18"/>
                <w:szCs w:val="18"/>
              </w:rPr>
              <w:t>ours</w:t>
            </w:r>
          </w:p>
        </w:tc>
        <w:tc>
          <w:tcPr>
            <w:tcW w:w="0" w:type="auto"/>
            <w:tcBorders>
              <w:top w:val="nil"/>
              <w:left w:val="nil"/>
              <w:bottom w:val="single" w:sz="4" w:space="0" w:color="000000"/>
              <w:right w:val="single" w:sz="4" w:space="0" w:color="FFFFFF"/>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sidRPr="00536442">
              <w:rPr>
                <w:rFonts w:ascii="Arial" w:eastAsia="Times New Roman" w:hAnsi="Arial" w:cs="Arial"/>
                <w:b/>
                <w:bCs/>
                <w:color w:val="FFFFFF"/>
                <w:sz w:val="18"/>
                <w:szCs w:val="18"/>
              </w:rPr>
              <w:t>Evaluation  Load Reduction (MW)</w:t>
            </w:r>
          </w:p>
        </w:tc>
        <w:tc>
          <w:tcPr>
            <w:tcW w:w="0" w:type="auto"/>
            <w:tcBorders>
              <w:top w:val="nil"/>
              <w:left w:val="nil"/>
              <w:bottom w:val="single" w:sz="4" w:space="0" w:color="000000"/>
              <w:right w:val="single" w:sz="4" w:space="0" w:color="FFFFFF"/>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sidRPr="00536442">
              <w:rPr>
                <w:rFonts w:ascii="Arial" w:eastAsia="Times New Roman" w:hAnsi="Arial" w:cs="Arial"/>
                <w:b/>
                <w:bCs/>
                <w:color w:val="FFFFFF"/>
                <w:sz w:val="18"/>
                <w:szCs w:val="18"/>
              </w:rPr>
              <w:t>Baseline Load Reduction (MW)</w:t>
            </w:r>
          </w:p>
        </w:tc>
        <w:tc>
          <w:tcPr>
            <w:tcW w:w="0" w:type="auto"/>
            <w:tcBorders>
              <w:top w:val="nil"/>
              <w:left w:val="nil"/>
              <w:bottom w:val="single" w:sz="4" w:space="0" w:color="000000"/>
              <w:right w:val="single" w:sz="4" w:space="0" w:color="FFFFFF"/>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sidRPr="00536442">
              <w:rPr>
                <w:rFonts w:ascii="Arial" w:eastAsia="Times New Roman" w:hAnsi="Arial" w:cs="Arial"/>
                <w:b/>
                <w:bCs/>
                <w:color w:val="FFFFFF"/>
                <w:sz w:val="18"/>
                <w:szCs w:val="18"/>
              </w:rPr>
              <w:t>% of Evaluation Results</w:t>
            </w:r>
          </w:p>
        </w:tc>
        <w:tc>
          <w:tcPr>
            <w:tcW w:w="0" w:type="auto"/>
            <w:vMerge/>
            <w:tcBorders>
              <w:top w:val="nil"/>
              <w:left w:val="single" w:sz="4" w:space="0" w:color="FFFFFF"/>
              <w:bottom w:val="single" w:sz="4" w:space="0" w:color="000000"/>
              <w:right w:val="single" w:sz="4" w:space="0" w:color="FFFFFF"/>
            </w:tcBorders>
            <w:vAlign w:val="center"/>
            <w:hideMark/>
          </w:tcPr>
          <w:p w:rsidR="007F2266" w:rsidRPr="00536442" w:rsidRDefault="007F2266" w:rsidP="00F123C2">
            <w:pPr>
              <w:spacing w:after="0" w:line="240" w:lineRule="auto"/>
              <w:rPr>
                <w:rFonts w:ascii="Arial" w:eastAsia="Times New Roman" w:hAnsi="Arial" w:cs="Arial"/>
                <w:b/>
                <w:bCs/>
                <w:color w:val="FFFFFF"/>
                <w:sz w:val="18"/>
                <w:szCs w:val="18"/>
              </w:rPr>
            </w:pPr>
          </w:p>
        </w:tc>
        <w:tc>
          <w:tcPr>
            <w:tcW w:w="0" w:type="auto"/>
            <w:tcBorders>
              <w:top w:val="nil"/>
              <w:left w:val="nil"/>
              <w:bottom w:val="single" w:sz="4" w:space="0" w:color="000000"/>
              <w:right w:val="single" w:sz="4" w:space="0" w:color="FFFFFF"/>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 xml:space="preserve">Load Increase </w:t>
            </w:r>
          </w:p>
        </w:tc>
        <w:tc>
          <w:tcPr>
            <w:tcW w:w="0" w:type="auto"/>
            <w:tcBorders>
              <w:top w:val="nil"/>
              <w:left w:val="nil"/>
              <w:bottom w:val="single" w:sz="4" w:space="0" w:color="000000"/>
              <w:right w:val="single" w:sz="4" w:space="0" w:color="FFFFFF"/>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 xml:space="preserve">Load Decrease </w:t>
            </w:r>
          </w:p>
        </w:tc>
        <w:tc>
          <w:tcPr>
            <w:tcW w:w="0" w:type="auto"/>
            <w:tcBorders>
              <w:top w:val="nil"/>
              <w:left w:val="nil"/>
              <w:bottom w:val="single" w:sz="4" w:space="0" w:color="000000"/>
              <w:right w:val="single" w:sz="4" w:space="0" w:color="auto"/>
            </w:tcBorders>
            <w:shd w:val="clear" w:color="000000" w:fill="376091"/>
            <w:vAlign w:val="center"/>
            <w:hideMark/>
          </w:tcPr>
          <w:p w:rsidR="007F2266" w:rsidRPr="00536442" w:rsidRDefault="007F2266" w:rsidP="00F123C2">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No Statistically Significant Change</w:t>
            </w:r>
          </w:p>
        </w:tc>
      </w:tr>
      <w:tr w:rsidR="007F2266" w:rsidRPr="00536442" w:rsidTr="00F123C2">
        <w:trPr>
          <w:trHeight w:val="441"/>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PG&amp;E</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CBP</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Day Ahead</w:t>
            </w:r>
          </w:p>
        </w:tc>
        <w:tc>
          <w:tcPr>
            <w:tcW w:w="0" w:type="auto"/>
            <w:tcBorders>
              <w:top w:val="nil"/>
              <w:left w:val="nil"/>
              <w:bottom w:val="single" w:sz="4" w:space="0" w:color="000000"/>
              <w:right w:val="single" w:sz="4" w:space="0" w:color="000000"/>
            </w:tcBorders>
            <w:shd w:val="clear" w:color="auto" w:fill="auto"/>
            <w:vAlign w:val="center"/>
            <w:hideMark/>
          </w:tcPr>
          <w:p w:rsidR="007F2266" w:rsidRDefault="007F2266" w:rsidP="00F123C2">
            <w:pPr>
              <w:spacing w:before="60" w:after="60" w:line="240" w:lineRule="auto"/>
              <w:jc w:val="center"/>
              <w:rPr>
                <w:rFonts w:ascii="Arial" w:hAnsi="Arial" w:cs="Arial"/>
                <w:color w:val="000000"/>
                <w:sz w:val="18"/>
                <w:szCs w:val="18"/>
              </w:rPr>
            </w:pPr>
            <w:r>
              <w:rPr>
                <w:rFonts w:ascii="Arial" w:hAnsi="Arial" w:cs="Arial"/>
                <w:color w:val="000000"/>
                <w:sz w:val="18"/>
                <w:szCs w:val="18"/>
              </w:rPr>
              <w:t>15</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D06F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13.6</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15.2</w:t>
            </w:r>
          </w:p>
        </w:tc>
        <w:tc>
          <w:tcPr>
            <w:tcW w:w="0" w:type="auto"/>
            <w:tcBorders>
              <w:top w:val="nil"/>
              <w:left w:val="nil"/>
              <w:bottom w:val="single" w:sz="4" w:space="0" w:color="000000"/>
              <w:right w:val="single" w:sz="4" w:space="0" w:color="000000"/>
            </w:tcBorders>
            <w:shd w:val="clear" w:color="auto" w:fill="auto"/>
            <w:vAlign w:val="center"/>
            <w:hideMark/>
          </w:tcPr>
          <w:p w:rsidR="00464E41" w:rsidRDefault="007F2266">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11</w:t>
            </w:r>
            <w:r w:rsidR="007D06F6">
              <w:rPr>
                <w:rFonts w:ascii="Arial" w:eastAsia="Times New Roman" w:hAnsi="Arial" w:cs="Arial"/>
                <w:color w:val="000000"/>
                <w:sz w:val="18"/>
                <w:szCs w:val="18"/>
              </w:rPr>
              <w:t>2</w:t>
            </w:r>
            <w:r w:rsidRPr="00536442">
              <w:rPr>
                <w:rFonts w:ascii="Arial" w:eastAsia="Times New Roman" w:hAnsi="Arial" w:cs="Arial"/>
                <w:color w:val="000000"/>
                <w:sz w:val="18"/>
                <w:szCs w:val="18"/>
              </w:rPr>
              <w:t>.</w:t>
            </w:r>
            <w:r>
              <w:rPr>
                <w:rFonts w:ascii="Arial" w:eastAsia="Times New Roman" w:hAnsi="Arial" w:cs="Arial"/>
                <w:color w:val="000000"/>
                <w:sz w:val="18"/>
                <w:szCs w:val="18"/>
              </w:rPr>
              <w:t>0</w:t>
            </w:r>
            <w:r w:rsidRPr="00536442">
              <w:rPr>
                <w:rFonts w:ascii="Arial" w:eastAsia="Times New Roman" w:hAnsi="Arial" w:cs="Arial"/>
                <w:color w:val="000000"/>
                <w:sz w:val="18"/>
                <w:szCs w:val="18"/>
              </w:rPr>
              <w:t>%</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CB1CB5" w:rsidRDefault="007F2266" w:rsidP="00F123C2">
            <w:pPr>
              <w:spacing w:after="0" w:line="240" w:lineRule="auto"/>
              <w:jc w:val="center"/>
              <w:rPr>
                <w:rFonts w:ascii="Arial" w:eastAsia="Times New Roman" w:hAnsi="Arial" w:cs="Arial"/>
                <w:color w:val="000000"/>
                <w:sz w:val="18"/>
                <w:szCs w:val="18"/>
              </w:rPr>
            </w:pPr>
            <w:r w:rsidRPr="00CB1CB5">
              <w:rPr>
                <w:rFonts w:ascii="Arial" w:eastAsia="Times New Roman" w:hAnsi="Arial" w:cs="Arial"/>
                <w:color w:val="000000"/>
                <w:sz w:val="18"/>
                <w:szCs w:val="18"/>
              </w:rPr>
              <w:t>-</w:t>
            </w:r>
            <w:r>
              <w:rPr>
                <w:rFonts w:ascii="Arial" w:eastAsia="Times New Roman" w:hAnsi="Arial" w:cs="Arial"/>
                <w:color w:val="000000"/>
                <w:sz w:val="18"/>
                <w:szCs w:val="18"/>
              </w:rPr>
              <w:t>22.3</w:t>
            </w:r>
            <w:r w:rsidRPr="00CB1CB5">
              <w:rPr>
                <w:rFonts w:ascii="Arial" w:eastAsia="Times New Roman" w:hAnsi="Arial" w:cs="Arial"/>
                <w:color w:val="000000"/>
                <w:sz w:val="18"/>
                <w:szCs w:val="18"/>
              </w:rPr>
              <w:t>%</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X</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r>
      <w:tr w:rsidR="007F2266" w:rsidRPr="00536442" w:rsidTr="00F123C2">
        <w:trPr>
          <w:trHeight w:val="441"/>
        </w:trPr>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Day-of</w:t>
            </w:r>
          </w:p>
        </w:tc>
        <w:tc>
          <w:tcPr>
            <w:tcW w:w="0" w:type="auto"/>
            <w:tcBorders>
              <w:top w:val="nil"/>
              <w:left w:val="nil"/>
              <w:bottom w:val="single" w:sz="4" w:space="0" w:color="000000"/>
              <w:right w:val="single" w:sz="4" w:space="0" w:color="000000"/>
            </w:tcBorders>
            <w:shd w:val="clear" w:color="auto" w:fill="auto"/>
            <w:vAlign w:val="center"/>
            <w:hideMark/>
          </w:tcPr>
          <w:p w:rsidR="007F2266" w:rsidRDefault="007F2266" w:rsidP="00F123C2">
            <w:pPr>
              <w:spacing w:before="60" w:after="60" w:line="240" w:lineRule="auto"/>
              <w:jc w:val="center"/>
              <w:rPr>
                <w:rFonts w:ascii="Arial" w:hAnsi="Arial" w:cs="Arial"/>
                <w:color w:val="000000"/>
                <w:sz w:val="18"/>
                <w:szCs w:val="18"/>
              </w:rPr>
            </w:pPr>
            <w:r>
              <w:rPr>
                <w:rFonts w:ascii="Arial" w:hAnsi="Arial" w:cs="Arial"/>
                <w:color w:val="000000"/>
                <w:sz w:val="18"/>
                <w:szCs w:val="18"/>
              </w:rPr>
              <w:t>3</w:t>
            </w:r>
          </w:p>
        </w:tc>
        <w:tc>
          <w:tcPr>
            <w:tcW w:w="0" w:type="auto"/>
            <w:tcBorders>
              <w:top w:val="nil"/>
              <w:left w:val="nil"/>
              <w:bottom w:val="single" w:sz="4" w:space="0" w:color="000000"/>
              <w:right w:val="single" w:sz="4" w:space="0" w:color="000000"/>
            </w:tcBorders>
            <w:shd w:val="clear" w:color="auto" w:fill="auto"/>
            <w:vAlign w:val="center"/>
            <w:hideMark/>
          </w:tcPr>
          <w:p w:rsidR="00464E41" w:rsidRDefault="007F226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14.</w:t>
            </w:r>
            <w:r w:rsidR="007D06F6">
              <w:rPr>
                <w:rFonts w:ascii="Arial" w:eastAsia="Times New Roman" w:hAnsi="Arial" w:cs="Arial"/>
                <w:color w:val="000000"/>
                <w:sz w:val="18"/>
                <w:szCs w:val="18"/>
              </w:rPr>
              <w:t>2</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12.5</w:t>
            </w:r>
          </w:p>
        </w:tc>
        <w:tc>
          <w:tcPr>
            <w:tcW w:w="0" w:type="auto"/>
            <w:tcBorders>
              <w:top w:val="nil"/>
              <w:left w:val="nil"/>
              <w:bottom w:val="single" w:sz="4" w:space="0" w:color="000000"/>
              <w:right w:val="single" w:sz="4" w:space="0" w:color="000000"/>
            </w:tcBorders>
            <w:shd w:val="clear" w:color="auto" w:fill="auto"/>
            <w:vAlign w:val="center"/>
            <w:hideMark/>
          </w:tcPr>
          <w:p w:rsidR="00464E41" w:rsidRDefault="00A635D8" w:rsidP="00464E41">
            <w:pPr>
              <w:spacing w:after="0" w:line="240" w:lineRule="auto"/>
              <w:jc w:val="center"/>
              <w:rPr>
                <w:rFonts w:ascii="Arial" w:eastAsia="Times New Roman" w:hAnsi="Arial" w:cs="Arial"/>
                <w:b/>
                <w:color w:val="000000"/>
                <w:sz w:val="18"/>
                <w:szCs w:val="18"/>
              </w:rPr>
            </w:pPr>
            <w:r>
              <w:rPr>
                <w:rFonts w:ascii="Arial" w:eastAsia="Times New Roman" w:hAnsi="Arial" w:cs="Arial"/>
                <w:color w:val="000000"/>
                <w:sz w:val="18"/>
                <w:szCs w:val="18"/>
              </w:rPr>
              <w:t>87.</w:t>
            </w:r>
            <w:r w:rsidR="007D06F6">
              <w:rPr>
                <w:rFonts w:ascii="Arial" w:eastAsia="Times New Roman" w:hAnsi="Arial" w:cs="Arial"/>
                <w:color w:val="000000"/>
                <w:sz w:val="18"/>
                <w:szCs w:val="18"/>
              </w:rPr>
              <w:t>7</w:t>
            </w:r>
            <w:r w:rsidR="007F2266" w:rsidRPr="00536442">
              <w:rPr>
                <w:rFonts w:ascii="Arial" w:eastAsia="Times New Roman" w:hAnsi="Arial" w:cs="Arial"/>
                <w:color w:val="000000"/>
                <w:sz w:val="18"/>
                <w:szCs w:val="18"/>
              </w:rPr>
              <w:t>%</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CB1CB5"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-9.7</w:t>
            </w:r>
            <w:r w:rsidRPr="00CB1CB5">
              <w:rPr>
                <w:rFonts w:ascii="Arial" w:eastAsia="Times New Roman" w:hAnsi="Arial" w:cs="Arial"/>
                <w:color w:val="000000"/>
                <w:sz w:val="18"/>
                <w:szCs w:val="18"/>
              </w:rPr>
              <w:t>%</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X</w:t>
            </w:r>
          </w:p>
        </w:tc>
      </w:tr>
      <w:tr w:rsidR="007F2266" w:rsidRPr="00536442" w:rsidTr="00F123C2">
        <w:trPr>
          <w:trHeight w:val="441"/>
        </w:trPr>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AMP</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Day Ahead</w:t>
            </w:r>
          </w:p>
        </w:tc>
        <w:tc>
          <w:tcPr>
            <w:tcW w:w="0" w:type="auto"/>
            <w:tcBorders>
              <w:top w:val="nil"/>
              <w:left w:val="nil"/>
              <w:bottom w:val="single" w:sz="4" w:space="0" w:color="000000"/>
              <w:right w:val="single" w:sz="4" w:space="0" w:color="000000"/>
            </w:tcBorders>
            <w:shd w:val="clear" w:color="auto" w:fill="auto"/>
            <w:vAlign w:val="center"/>
            <w:hideMark/>
          </w:tcPr>
          <w:p w:rsidR="007F2266" w:rsidRDefault="007F2266" w:rsidP="00F123C2">
            <w:pPr>
              <w:spacing w:before="60" w:after="60" w:line="240" w:lineRule="auto"/>
              <w:jc w:val="center"/>
              <w:rPr>
                <w:rFonts w:ascii="Arial" w:hAnsi="Arial" w:cs="Arial"/>
                <w:color w:val="000000"/>
                <w:sz w:val="18"/>
                <w:szCs w:val="18"/>
              </w:rPr>
            </w:pPr>
            <w:r>
              <w:rPr>
                <w:rFonts w:ascii="Arial" w:hAnsi="Arial" w:cs="Arial"/>
                <w:color w:val="000000"/>
                <w:sz w:val="18"/>
                <w:szCs w:val="18"/>
              </w:rPr>
              <w:t>4</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52.8</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43.3</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82.1</w:t>
            </w:r>
            <w:r w:rsidRPr="00536442">
              <w:rPr>
                <w:rFonts w:ascii="Arial" w:eastAsia="Times New Roman" w:hAnsi="Arial" w:cs="Arial"/>
                <w:color w:val="000000"/>
                <w:sz w:val="18"/>
                <w:szCs w:val="18"/>
              </w:rPr>
              <w:t>%</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CB1CB5" w:rsidRDefault="007F2266" w:rsidP="00F123C2">
            <w:pPr>
              <w:spacing w:after="0" w:line="240" w:lineRule="auto"/>
              <w:jc w:val="center"/>
              <w:rPr>
                <w:rFonts w:ascii="Arial" w:eastAsia="Times New Roman" w:hAnsi="Arial" w:cs="Arial"/>
                <w:color w:val="000000"/>
                <w:sz w:val="18"/>
                <w:szCs w:val="18"/>
              </w:rPr>
            </w:pPr>
            <w:r w:rsidRPr="00CB1CB5">
              <w:rPr>
                <w:rFonts w:ascii="Arial" w:eastAsia="Times New Roman" w:hAnsi="Arial" w:cs="Arial"/>
                <w:color w:val="000000"/>
                <w:sz w:val="18"/>
                <w:szCs w:val="18"/>
              </w:rPr>
              <w:t>-</w:t>
            </w:r>
            <w:r>
              <w:rPr>
                <w:rFonts w:ascii="Arial" w:eastAsia="Times New Roman" w:hAnsi="Arial" w:cs="Arial"/>
                <w:color w:val="000000"/>
                <w:sz w:val="18"/>
                <w:szCs w:val="18"/>
              </w:rPr>
              <w:t>22.8</w:t>
            </w:r>
            <w:r w:rsidRPr="00CB1CB5">
              <w:rPr>
                <w:rFonts w:ascii="Arial" w:eastAsia="Times New Roman" w:hAnsi="Arial" w:cs="Arial"/>
                <w:color w:val="000000"/>
                <w:sz w:val="18"/>
                <w:szCs w:val="18"/>
              </w:rPr>
              <w:t>%</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X</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r>
      <w:tr w:rsidR="007F2266" w:rsidRPr="00536442" w:rsidTr="00F123C2">
        <w:trPr>
          <w:trHeight w:val="441"/>
        </w:trPr>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Day-of</w:t>
            </w:r>
          </w:p>
        </w:tc>
        <w:tc>
          <w:tcPr>
            <w:tcW w:w="0" w:type="auto"/>
            <w:tcBorders>
              <w:top w:val="nil"/>
              <w:left w:val="nil"/>
              <w:bottom w:val="single" w:sz="4" w:space="0" w:color="000000"/>
              <w:right w:val="single" w:sz="4" w:space="0" w:color="000000"/>
            </w:tcBorders>
            <w:shd w:val="clear" w:color="auto" w:fill="auto"/>
            <w:vAlign w:val="center"/>
            <w:hideMark/>
          </w:tcPr>
          <w:p w:rsidR="007F2266" w:rsidRDefault="007F2266" w:rsidP="00F123C2">
            <w:pPr>
              <w:spacing w:before="60" w:after="60" w:line="240" w:lineRule="auto"/>
              <w:jc w:val="center"/>
              <w:rPr>
                <w:rFonts w:ascii="Arial" w:hAnsi="Arial" w:cs="Arial"/>
                <w:color w:val="000000"/>
                <w:sz w:val="18"/>
                <w:szCs w:val="18"/>
              </w:rPr>
            </w:pPr>
            <w:r>
              <w:rPr>
                <w:rFonts w:ascii="Arial" w:hAnsi="Arial" w:cs="Arial"/>
                <w:color w:val="000000"/>
                <w:sz w:val="18"/>
                <w:szCs w:val="18"/>
              </w:rPr>
              <w:t>4</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111.</w:t>
            </w:r>
            <w:r w:rsidR="00A635D8">
              <w:rPr>
                <w:rFonts w:ascii="Arial" w:eastAsia="Times New Roman" w:hAnsi="Arial" w:cs="Arial"/>
                <w:color w:val="000000"/>
                <w:sz w:val="18"/>
                <w:szCs w:val="18"/>
              </w:rPr>
              <w:t>2</w:t>
            </w:r>
          </w:p>
        </w:tc>
        <w:tc>
          <w:tcPr>
            <w:tcW w:w="0" w:type="auto"/>
            <w:tcBorders>
              <w:top w:val="nil"/>
              <w:left w:val="nil"/>
              <w:bottom w:val="single" w:sz="4" w:space="0" w:color="000000"/>
              <w:right w:val="single" w:sz="4" w:space="0" w:color="000000"/>
            </w:tcBorders>
            <w:shd w:val="clear" w:color="auto" w:fill="auto"/>
            <w:vAlign w:val="center"/>
            <w:hideMark/>
          </w:tcPr>
          <w:p w:rsidR="00464E41" w:rsidRDefault="007F2266" w:rsidP="00464E41">
            <w:pPr>
              <w:spacing w:after="0" w:line="240" w:lineRule="auto"/>
              <w:jc w:val="center"/>
              <w:rPr>
                <w:rFonts w:ascii="Arial" w:eastAsia="Times New Roman" w:hAnsi="Arial" w:cs="Arial"/>
                <w:b/>
                <w:color w:val="000000"/>
                <w:sz w:val="18"/>
                <w:szCs w:val="18"/>
              </w:rPr>
            </w:pPr>
            <w:r>
              <w:rPr>
                <w:rFonts w:ascii="Arial" w:eastAsia="Times New Roman" w:hAnsi="Arial" w:cs="Arial"/>
                <w:color w:val="000000"/>
                <w:sz w:val="18"/>
                <w:szCs w:val="18"/>
              </w:rPr>
              <w:t>10</w:t>
            </w:r>
            <w:r w:rsidR="00A635D8">
              <w:rPr>
                <w:rFonts w:ascii="Arial" w:eastAsia="Times New Roman" w:hAnsi="Arial" w:cs="Arial"/>
                <w:color w:val="000000"/>
                <w:sz w:val="18"/>
                <w:szCs w:val="18"/>
              </w:rPr>
              <w:t>4.5</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282E71"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94.0</w:t>
            </w:r>
            <w:r w:rsidR="007F2266">
              <w:rPr>
                <w:rFonts w:ascii="Arial" w:eastAsia="Times New Roman" w:hAnsi="Arial" w:cs="Arial"/>
                <w:color w:val="000000"/>
                <w:sz w:val="18"/>
                <w:szCs w:val="18"/>
              </w:rPr>
              <w:t>%</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CB1CB5" w:rsidRDefault="007F2266" w:rsidP="00F123C2">
            <w:pPr>
              <w:spacing w:after="0" w:line="240" w:lineRule="auto"/>
              <w:jc w:val="center"/>
              <w:rPr>
                <w:rFonts w:ascii="Arial" w:eastAsia="Times New Roman" w:hAnsi="Arial" w:cs="Arial"/>
                <w:color w:val="000000"/>
                <w:sz w:val="18"/>
                <w:szCs w:val="18"/>
              </w:rPr>
            </w:pPr>
            <w:r w:rsidRPr="00CB1CB5">
              <w:rPr>
                <w:rFonts w:ascii="Arial" w:eastAsia="Times New Roman" w:hAnsi="Arial" w:cs="Arial"/>
                <w:color w:val="000000"/>
                <w:sz w:val="18"/>
                <w:szCs w:val="18"/>
              </w:rPr>
              <w:t>-</w:t>
            </w:r>
            <w:r>
              <w:rPr>
                <w:rFonts w:ascii="Arial" w:eastAsia="Times New Roman" w:hAnsi="Arial" w:cs="Arial"/>
                <w:color w:val="000000"/>
                <w:sz w:val="18"/>
                <w:szCs w:val="18"/>
              </w:rPr>
              <w:t>5.1</w:t>
            </w:r>
            <w:r w:rsidRPr="00CB1CB5">
              <w:rPr>
                <w:rFonts w:ascii="Arial" w:eastAsia="Times New Roman" w:hAnsi="Arial" w:cs="Arial"/>
                <w:color w:val="000000"/>
                <w:sz w:val="18"/>
                <w:szCs w:val="18"/>
              </w:rPr>
              <w:t>%</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X</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r>
      <w:tr w:rsidR="007F2266" w:rsidRPr="00536442" w:rsidTr="00F123C2">
        <w:trPr>
          <w:trHeight w:val="441"/>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SCE</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CBP</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Day Ahead</w:t>
            </w:r>
          </w:p>
        </w:tc>
        <w:tc>
          <w:tcPr>
            <w:tcW w:w="0" w:type="auto"/>
            <w:tcBorders>
              <w:top w:val="nil"/>
              <w:left w:val="nil"/>
              <w:bottom w:val="single" w:sz="4" w:space="0" w:color="000000"/>
              <w:right w:val="single" w:sz="4" w:space="0" w:color="000000"/>
            </w:tcBorders>
            <w:shd w:val="clear" w:color="auto" w:fill="auto"/>
            <w:vAlign w:val="center"/>
            <w:hideMark/>
          </w:tcPr>
          <w:p w:rsidR="007F2266" w:rsidRDefault="007F2266" w:rsidP="00F123C2">
            <w:pPr>
              <w:spacing w:before="60" w:after="60" w:line="240" w:lineRule="auto"/>
              <w:jc w:val="center"/>
              <w:rPr>
                <w:rFonts w:ascii="Arial" w:hAnsi="Arial" w:cs="Arial"/>
                <w:color w:val="000000"/>
                <w:sz w:val="18"/>
                <w:szCs w:val="18"/>
              </w:rPr>
            </w:pPr>
            <w:r>
              <w:rPr>
                <w:rFonts w:ascii="Arial" w:hAnsi="Arial" w:cs="Arial"/>
                <w:color w:val="000000"/>
                <w:sz w:val="18"/>
                <w:szCs w:val="18"/>
              </w:rPr>
              <w:t>48</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4.0</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3.2</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-15.0%</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X</w:t>
            </w:r>
          </w:p>
        </w:tc>
      </w:tr>
      <w:tr w:rsidR="007F2266" w:rsidRPr="00536442" w:rsidTr="00F123C2">
        <w:trPr>
          <w:trHeight w:val="441"/>
        </w:trPr>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Day-of</w:t>
            </w:r>
          </w:p>
        </w:tc>
        <w:tc>
          <w:tcPr>
            <w:tcW w:w="0" w:type="auto"/>
            <w:tcBorders>
              <w:top w:val="nil"/>
              <w:left w:val="nil"/>
              <w:bottom w:val="single" w:sz="4" w:space="0" w:color="000000"/>
              <w:right w:val="single" w:sz="4" w:space="0" w:color="000000"/>
            </w:tcBorders>
            <w:shd w:val="clear" w:color="auto" w:fill="auto"/>
            <w:vAlign w:val="center"/>
            <w:hideMark/>
          </w:tcPr>
          <w:p w:rsidR="007F2266" w:rsidRDefault="007F2266" w:rsidP="00F123C2">
            <w:pPr>
              <w:spacing w:before="60" w:after="60" w:line="240" w:lineRule="auto"/>
              <w:jc w:val="center"/>
              <w:rPr>
                <w:rFonts w:ascii="Arial" w:hAnsi="Arial" w:cs="Arial"/>
                <w:color w:val="000000"/>
                <w:sz w:val="18"/>
                <w:szCs w:val="18"/>
              </w:rPr>
            </w:pPr>
            <w:r>
              <w:rPr>
                <w:rFonts w:ascii="Arial" w:hAnsi="Arial" w:cs="Arial"/>
                <w:color w:val="000000"/>
                <w:sz w:val="18"/>
                <w:szCs w:val="18"/>
              </w:rPr>
              <w:t>10</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15.2</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13.6</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89.5%</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-11.3%</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X</w:t>
            </w:r>
          </w:p>
        </w:tc>
      </w:tr>
      <w:tr w:rsidR="007F2266" w:rsidRPr="00536442" w:rsidTr="00F123C2">
        <w:trPr>
          <w:trHeight w:val="441"/>
        </w:trPr>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DRRC</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Day Ahead</w:t>
            </w:r>
          </w:p>
        </w:tc>
        <w:tc>
          <w:tcPr>
            <w:tcW w:w="0" w:type="auto"/>
            <w:tcBorders>
              <w:top w:val="nil"/>
              <w:left w:val="nil"/>
              <w:bottom w:val="single" w:sz="4" w:space="0" w:color="000000"/>
              <w:right w:val="single" w:sz="4" w:space="0" w:color="000000"/>
            </w:tcBorders>
            <w:shd w:val="clear" w:color="auto" w:fill="auto"/>
            <w:vAlign w:val="center"/>
            <w:hideMark/>
          </w:tcPr>
          <w:p w:rsidR="007F2266" w:rsidRDefault="007F2266" w:rsidP="00F123C2">
            <w:pPr>
              <w:spacing w:before="60" w:after="60" w:line="240" w:lineRule="auto"/>
              <w:jc w:val="center"/>
              <w:rPr>
                <w:rFonts w:ascii="Arial" w:hAnsi="Arial" w:cs="Arial"/>
                <w:color w:val="000000"/>
                <w:sz w:val="18"/>
                <w:szCs w:val="18"/>
              </w:rPr>
            </w:pPr>
            <w:r>
              <w:rPr>
                <w:rFonts w:ascii="Arial" w:hAnsi="Arial" w:cs="Arial"/>
                <w:color w:val="000000"/>
                <w:sz w:val="18"/>
                <w:szCs w:val="18"/>
              </w:rPr>
              <w:t>4</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17.4</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17.0</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97.7%</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-3.3%</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X</w:t>
            </w:r>
          </w:p>
        </w:tc>
      </w:tr>
      <w:tr w:rsidR="007F2266" w:rsidRPr="00536442" w:rsidTr="00F123C2">
        <w:trPr>
          <w:trHeight w:val="441"/>
        </w:trPr>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Day-of</w:t>
            </w:r>
          </w:p>
        </w:tc>
        <w:tc>
          <w:tcPr>
            <w:tcW w:w="0" w:type="auto"/>
            <w:tcBorders>
              <w:top w:val="nil"/>
              <w:left w:val="nil"/>
              <w:bottom w:val="single" w:sz="4" w:space="0" w:color="000000"/>
              <w:right w:val="single" w:sz="4" w:space="0" w:color="000000"/>
            </w:tcBorders>
            <w:shd w:val="clear" w:color="auto" w:fill="auto"/>
            <w:vAlign w:val="center"/>
            <w:hideMark/>
          </w:tcPr>
          <w:p w:rsidR="007F2266" w:rsidRDefault="007F2266" w:rsidP="00F123C2">
            <w:pPr>
              <w:spacing w:before="60" w:after="60" w:line="240" w:lineRule="auto"/>
              <w:jc w:val="center"/>
              <w:rPr>
                <w:rFonts w:ascii="Arial" w:hAnsi="Arial" w:cs="Arial"/>
                <w:color w:val="000000"/>
                <w:sz w:val="18"/>
                <w:szCs w:val="18"/>
              </w:rPr>
            </w:pPr>
            <w:r>
              <w:rPr>
                <w:rFonts w:ascii="Arial" w:hAnsi="Arial" w:cs="Arial"/>
                <w:color w:val="000000"/>
                <w:sz w:val="18"/>
                <w:szCs w:val="18"/>
              </w:rPr>
              <w:t>8</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81.4</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81.8</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100.5%</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-2.8%</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X</w:t>
            </w:r>
          </w:p>
        </w:tc>
      </w:tr>
      <w:tr w:rsidR="007F2266" w:rsidRPr="00536442" w:rsidTr="00F123C2">
        <w:trPr>
          <w:trHeight w:val="441"/>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SDG&amp;E</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CBP</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Day Ahead</w:t>
            </w:r>
          </w:p>
        </w:tc>
        <w:tc>
          <w:tcPr>
            <w:tcW w:w="0" w:type="auto"/>
            <w:tcBorders>
              <w:top w:val="nil"/>
              <w:left w:val="nil"/>
              <w:bottom w:val="single" w:sz="4" w:space="0" w:color="000000"/>
              <w:right w:val="single" w:sz="4" w:space="0" w:color="000000"/>
            </w:tcBorders>
            <w:shd w:val="clear" w:color="auto" w:fill="auto"/>
            <w:vAlign w:val="center"/>
            <w:hideMark/>
          </w:tcPr>
          <w:p w:rsidR="007F2266" w:rsidRDefault="007F2266" w:rsidP="00F123C2">
            <w:pPr>
              <w:spacing w:before="60" w:after="60" w:line="240" w:lineRule="auto"/>
              <w:jc w:val="center"/>
              <w:rPr>
                <w:rFonts w:ascii="Arial" w:hAnsi="Arial" w:cs="Arial"/>
                <w:color w:val="000000"/>
                <w:sz w:val="18"/>
                <w:szCs w:val="18"/>
              </w:rPr>
            </w:pPr>
            <w:r>
              <w:rPr>
                <w:rFonts w:ascii="Arial" w:hAnsi="Arial" w:cs="Arial"/>
                <w:color w:val="000000"/>
                <w:sz w:val="18"/>
                <w:szCs w:val="18"/>
              </w:rPr>
              <w:t>19</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11.0</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8.6</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78.2%</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-12.5%</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X</w:t>
            </w:r>
          </w:p>
        </w:tc>
      </w:tr>
      <w:tr w:rsidR="007F2266" w:rsidRPr="00536442" w:rsidTr="00F123C2">
        <w:trPr>
          <w:trHeight w:val="441"/>
        </w:trPr>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rsidR="007F2266" w:rsidRPr="00536442" w:rsidRDefault="007F2266" w:rsidP="00F123C2">
            <w:pPr>
              <w:spacing w:after="0" w:line="240" w:lineRule="auto"/>
              <w:rPr>
                <w:rFonts w:ascii="Arial" w:eastAsia="Times New Roman"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Day-of</w:t>
            </w:r>
          </w:p>
        </w:tc>
        <w:tc>
          <w:tcPr>
            <w:tcW w:w="0" w:type="auto"/>
            <w:tcBorders>
              <w:top w:val="nil"/>
              <w:left w:val="nil"/>
              <w:bottom w:val="single" w:sz="4" w:space="0" w:color="000000"/>
              <w:right w:val="single" w:sz="4" w:space="0" w:color="000000"/>
            </w:tcBorders>
            <w:shd w:val="clear" w:color="auto" w:fill="auto"/>
            <w:vAlign w:val="center"/>
            <w:hideMark/>
          </w:tcPr>
          <w:p w:rsidR="007F2266" w:rsidRDefault="007F2266" w:rsidP="00F123C2">
            <w:pPr>
              <w:spacing w:before="60" w:after="60" w:line="240" w:lineRule="auto"/>
              <w:jc w:val="center"/>
              <w:rPr>
                <w:rFonts w:ascii="Arial" w:hAnsi="Arial" w:cs="Arial"/>
                <w:color w:val="000000"/>
                <w:sz w:val="18"/>
                <w:szCs w:val="18"/>
              </w:rPr>
            </w:pPr>
            <w:r>
              <w:rPr>
                <w:rFonts w:ascii="Arial" w:hAnsi="Arial" w:cs="Arial"/>
                <w:color w:val="000000"/>
                <w:sz w:val="18"/>
                <w:szCs w:val="18"/>
              </w:rPr>
              <w:t>21</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11.4</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9.9</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86.8%</w:t>
            </w:r>
          </w:p>
        </w:tc>
        <w:tc>
          <w:tcPr>
            <w:tcW w:w="0" w:type="auto"/>
            <w:tcBorders>
              <w:top w:val="nil"/>
              <w:left w:val="nil"/>
              <w:bottom w:val="single" w:sz="4" w:space="0" w:color="000000"/>
              <w:right w:val="single" w:sz="4" w:space="0" w:color="000000"/>
            </w:tcBorders>
            <w:shd w:val="clear" w:color="auto" w:fill="auto"/>
            <w:noWrap/>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-18.0%</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vAlign w:val="center"/>
            <w:hideMark/>
          </w:tcPr>
          <w:p w:rsidR="007F2266" w:rsidRPr="00536442" w:rsidRDefault="007F2266" w:rsidP="00F123C2">
            <w:pPr>
              <w:spacing w:after="0" w:line="240" w:lineRule="auto"/>
              <w:jc w:val="center"/>
              <w:rPr>
                <w:rFonts w:ascii="Arial" w:eastAsia="Times New Roman" w:hAnsi="Arial" w:cs="Arial"/>
                <w:color w:val="000000"/>
                <w:sz w:val="18"/>
                <w:szCs w:val="18"/>
              </w:rPr>
            </w:pPr>
            <w:r w:rsidRPr="00536442">
              <w:rPr>
                <w:rFonts w:ascii="Arial" w:eastAsia="Times New Roman" w:hAnsi="Arial" w:cs="Arial"/>
                <w:color w:val="000000"/>
                <w:sz w:val="18"/>
                <w:szCs w:val="18"/>
              </w:rPr>
              <w:t>X</w:t>
            </w:r>
          </w:p>
        </w:tc>
      </w:tr>
    </w:tbl>
    <w:p w:rsidR="00CA7291" w:rsidRDefault="00CA7291" w:rsidP="00AB380F">
      <w:pPr>
        <w:pStyle w:val="BodyParagraph"/>
      </w:pPr>
    </w:p>
    <w:p w:rsidR="00116D21" w:rsidRDefault="00116D21" w:rsidP="00116D21">
      <w:pPr>
        <w:pStyle w:val="BodyParagraph"/>
        <w:sectPr w:rsidR="00116D21" w:rsidSect="00CC2233">
          <w:headerReference w:type="default" r:id="rId20"/>
          <w:pgSz w:w="15840" w:h="12240" w:orient="landscape"/>
          <w:pgMar w:top="1440" w:right="1440" w:bottom="1440" w:left="1440" w:header="720" w:footer="720" w:gutter="0"/>
          <w:cols w:space="720"/>
          <w:docGrid w:linePitch="360"/>
        </w:sectPr>
      </w:pPr>
    </w:p>
    <w:p w:rsidR="00116D21" w:rsidRDefault="00116D21" w:rsidP="00116D21">
      <w:pPr>
        <w:pStyle w:val="BodyParagraph"/>
        <w:rPr>
          <w:rFonts w:cs="Arial"/>
        </w:rPr>
      </w:pPr>
      <w:r>
        <w:rPr>
          <w:rFonts w:cs="Arial"/>
        </w:rPr>
        <w:lastRenderedPageBreak/>
        <w:t>In eight out of ten cases, the</w:t>
      </w:r>
      <w:r w:rsidR="001E36FB">
        <w:rPr>
          <w:rFonts w:cs="Arial"/>
        </w:rPr>
        <w:t xml:space="preserve"> current</w:t>
      </w:r>
      <w:r>
        <w:rPr>
          <w:rFonts w:cs="Arial"/>
        </w:rPr>
        <w:t xml:space="preserve"> baseline </w:t>
      </w:r>
      <w:r w:rsidRPr="00AC4C87">
        <w:rPr>
          <w:rFonts w:cs="Arial"/>
          <w:i/>
        </w:rPr>
        <w:t>underestimates</w:t>
      </w:r>
      <w:r>
        <w:rPr>
          <w:rFonts w:cs="Arial"/>
        </w:rPr>
        <w:t xml:space="preserve"> the reduction measured by the regression</w:t>
      </w:r>
      <w:r w:rsidR="006A42A2">
        <w:rPr>
          <w:rFonts w:cs="Arial"/>
        </w:rPr>
        <w:t>s</w:t>
      </w:r>
      <w:r>
        <w:rPr>
          <w:rFonts w:cs="Arial"/>
        </w:rPr>
        <w:t xml:space="preserve">; in one case, PG&amp;E’s CBP day-ahead option, the baseline </w:t>
      </w:r>
      <w:r>
        <w:rPr>
          <w:rFonts w:cs="Arial"/>
          <w:i/>
        </w:rPr>
        <w:t>overestimates</w:t>
      </w:r>
      <w:r>
        <w:rPr>
          <w:rFonts w:cs="Arial"/>
        </w:rPr>
        <w:t xml:space="preserve"> the reduction</w:t>
      </w:r>
      <w:r w:rsidR="00F7630F">
        <w:rPr>
          <w:rFonts w:cs="Arial"/>
        </w:rPr>
        <w:t xml:space="preserve">.  </w:t>
      </w:r>
      <w:r>
        <w:rPr>
          <w:rFonts w:cs="Arial"/>
        </w:rPr>
        <w:t xml:space="preserve">Unless the customer changes their behavior during the adjustment window, under- or over-estimation of the demand reduction measured by the baseline is due to upward or downward bias in the baseline.  In seven out of ten cases, underestimates in the baseline load reductions are </w:t>
      </w:r>
      <w:r w:rsidR="006A42A2">
        <w:rPr>
          <w:rFonts w:cs="Arial"/>
        </w:rPr>
        <w:t xml:space="preserve">explained </w:t>
      </w:r>
      <w:r>
        <w:rPr>
          <w:rFonts w:cs="Arial"/>
        </w:rPr>
        <w:t xml:space="preserve">solely by downward bias in the baseline, </w:t>
      </w:r>
      <w:r w:rsidRPr="004F674A">
        <w:rPr>
          <w:rFonts w:cs="Arial"/>
          <w:i/>
        </w:rPr>
        <w:t>not</w:t>
      </w:r>
      <w:r>
        <w:rPr>
          <w:rFonts w:cs="Arial"/>
        </w:rPr>
        <w:t xml:space="preserve"> by changes in behavior during the adjustment window. </w:t>
      </w:r>
    </w:p>
    <w:p w:rsidR="00116D21" w:rsidRPr="00AC4C87" w:rsidRDefault="00116D21" w:rsidP="00116D21">
      <w:pPr>
        <w:pStyle w:val="BodyParagraph"/>
        <w:rPr>
          <w:rFonts w:cs="Arial"/>
        </w:rPr>
      </w:pPr>
      <w:r>
        <w:t xml:space="preserve">This is not the case for customers in PG&amp;E’s CBP day-ahead program; they receive notice a day in advance and consistently shift load to the pre-event hours, including those used to adjust baselines, compounding the effects of baseline bias.  As noted earlier, the baseline adjustment mechanism treats </w:t>
      </w:r>
      <w:r>
        <w:rPr>
          <w:rFonts w:cs="Arial"/>
        </w:rPr>
        <w:t>changes in electricity use during pre-event hours leading to the event as error</w:t>
      </w:r>
      <w:r w:rsidR="006A42A2">
        <w:rPr>
          <w:rFonts w:cs="Arial"/>
        </w:rPr>
        <w:t xml:space="preserve"> and adjusts for it</w:t>
      </w:r>
      <w:r>
        <w:rPr>
          <w:rFonts w:cs="Arial"/>
        </w:rPr>
        <w:t xml:space="preserve">, leading to incorrect </w:t>
      </w:r>
      <w:r w:rsidRPr="00E37F74">
        <w:rPr>
          <w:rFonts w:cs="Arial"/>
          <w:i/>
        </w:rPr>
        <w:t>upward</w:t>
      </w:r>
      <w:r>
        <w:rPr>
          <w:rFonts w:cs="Arial"/>
        </w:rPr>
        <w:t xml:space="preserve"> adjustments when customers shift loads to those hours.  Moreover, in the case of PG&amp;E’s AMP program, customers reduce their load in pre-event hours, including those used to adjust baselines, leading to incorrect </w:t>
      </w:r>
      <w:r>
        <w:rPr>
          <w:rFonts w:cs="Arial"/>
          <w:i/>
        </w:rPr>
        <w:t>downward</w:t>
      </w:r>
      <w:r>
        <w:rPr>
          <w:rFonts w:cs="Arial"/>
        </w:rPr>
        <w:t xml:space="preserve"> adjustments</w:t>
      </w:r>
      <w:r w:rsidR="00CA7291">
        <w:rPr>
          <w:rFonts w:cs="Arial"/>
        </w:rPr>
        <w:t>.</w:t>
      </w:r>
      <w:r>
        <w:rPr>
          <w:rFonts w:cs="Arial"/>
        </w:rPr>
        <w:t xml:space="preserve">  </w:t>
      </w:r>
    </w:p>
    <w:p w:rsidR="00116D21" w:rsidRDefault="00116D21" w:rsidP="00116D21">
      <w:pPr>
        <w:pStyle w:val="Heading2"/>
      </w:pPr>
      <w:bookmarkStart w:id="21" w:name="_Toc318393833"/>
      <w:bookmarkStart w:id="22" w:name="_Toc318789278"/>
      <w:bookmarkStart w:id="23" w:name="_Toc324232551"/>
      <w:bookmarkStart w:id="24" w:name="_Toc326150796"/>
      <w:r>
        <w:t>PG&amp;E Event Day Comparison</w:t>
      </w:r>
      <w:bookmarkEnd w:id="21"/>
      <w:bookmarkEnd w:id="22"/>
      <w:bookmarkEnd w:id="23"/>
      <w:bookmarkEnd w:id="24"/>
    </w:p>
    <w:p w:rsidR="00116D21" w:rsidRDefault="00116D21" w:rsidP="00116D21">
      <w:pPr>
        <w:pStyle w:val="BodyParagraph"/>
      </w:pPr>
      <w:bookmarkStart w:id="25" w:name="_Toc318393834"/>
      <w:r>
        <w:t>This section compares the evaluation results to the estimates produced by a</w:t>
      </w:r>
      <w:r w:rsidR="00403E51">
        <w:t xml:space="preserve">pplying the 32 baseline methods </w:t>
      </w:r>
      <w:r>
        <w:t xml:space="preserve">shown in Table </w:t>
      </w:r>
      <w:r w:rsidR="0037784F">
        <w:t>1-1</w:t>
      </w:r>
      <w:r>
        <w:t>.  It also discusses the impact of adjusting baselines at the individual level and at the settlement portfolio level on the magnitude of in-day adjustments.</w:t>
      </w:r>
    </w:p>
    <w:p w:rsidR="00116D21" w:rsidRDefault="00116D21" w:rsidP="00116D21">
      <w:pPr>
        <w:pStyle w:val="Heading3"/>
      </w:pPr>
      <w:bookmarkStart w:id="26" w:name="_Toc318789279"/>
      <w:bookmarkStart w:id="27" w:name="_Toc324232552"/>
      <w:bookmarkStart w:id="28" w:name="_Toc326150797"/>
      <w:r>
        <w:t>Detailed Comparison of Evaluation and Baseline Results</w:t>
      </w:r>
      <w:bookmarkEnd w:id="25"/>
      <w:bookmarkEnd w:id="26"/>
      <w:bookmarkEnd w:id="27"/>
      <w:bookmarkEnd w:id="28"/>
    </w:p>
    <w:p w:rsidR="00116D21" w:rsidRDefault="00116D21" w:rsidP="00116D21">
      <w:pPr>
        <w:pStyle w:val="BodyParagraph"/>
      </w:pPr>
      <w:r>
        <w:t xml:space="preserve">Table 2-2 shows the </w:t>
      </w:r>
      <w:r w:rsidR="00403E51">
        <w:t xml:space="preserve">estimated </w:t>
      </w:r>
      <w:r>
        <w:t xml:space="preserve">demand reductions </w:t>
      </w:r>
      <w:r w:rsidR="00403E51">
        <w:t xml:space="preserve">for each </w:t>
      </w:r>
      <w:r>
        <w:t xml:space="preserve">baseline </w:t>
      </w:r>
      <w:r w:rsidR="00403E51">
        <w:t xml:space="preserve">method </w:t>
      </w:r>
      <w:r>
        <w:t xml:space="preserve">for PG&amp;E’s </w:t>
      </w:r>
      <w:r w:rsidR="00403E51">
        <w:t xml:space="preserve">AMP and </w:t>
      </w:r>
      <w:r>
        <w:t xml:space="preserve">CBP programs.  The day-ahead and </w:t>
      </w:r>
      <w:r w:rsidR="00403E51">
        <w:t>day-of resource</w:t>
      </w:r>
      <w:r>
        <w:t xml:space="preserve"> options are presented separately.  The first row in the table shows the </w:t>
      </w:r>
      <w:r w:rsidR="00403E51">
        <w:t>impacts estimated using regression methods</w:t>
      </w:r>
      <w:r>
        <w:t xml:space="preserve">.  In addition, </w:t>
      </w:r>
      <w:r w:rsidR="00403E51">
        <w:t xml:space="preserve">estimates using the </w:t>
      </w:r>
      <w:r>
        <w:t xml:space="preserve">current baseline </w:t>
      </w:r>
      <w:r w:rsidR="00403E51">
        <w:t xml:space="preserve">method are </w:t>
      </w:r>
      <w:r>
        <w:t xml:space="preserve">shown in bold.  The main finding is simple: for AMP-DO, CBP-DO and CBP-DA, changing the baseline rules does not help align the settlement demand reductions with the evaluation results.  For AMP-DA, the baseline results better align with the evaluation results when </w:t>
      </w:r>
      <w:r w:rsidR="00E535D9">
        <w:t>same-day</w:t>
      </w:r>
      <w:r>
        <w:t xml:space="preserve"> adjustments are applied to all customers (the “universal” adjustment option baselines).  </w:t>
      </w:r>
    </w:p>
    <w:p w:rsidR="00116D21" w:rsidRDefault="00464E41" w:rsidP="00116D21">
      <w:pPr>
        <w:pStyle w:val="BodyParagraph"/>
      </w:pPr>
      <w:r w:rsidRPr="00464E41">
        <w:t xml:space="preserve">For the AMP-DO resource, the current baseline produces load impact estimates that are </w:t>
      </w:r>
      <w:r w:rsidR="00282E71">
        <w:t>94.0</w:t>
      </w:r>
      <w:r w:rsidRPr="00464E41">
        <w:t xml:space="preserve">% of the evaluation results – that is, the baseline results are lower by </w:t>
      </w:r>
      <w:r w:rsidR="00282E71">
        <w:t>6.0</w:t>
      </w:r>
      <w:r w:rsidRPr="00464E41">
        <w:t>%.</w:t>
      </w:r>
      <w:r w:rsidR="00116D21">
        <w:t xml:space="preserve">  Some of this difference can be explained by bias caused by baseline methods; the remaining difference between the evaluation and baseline results is explained primarily by customer behavior during the hours used to calculate the adjustment.  Specifically, some customers start reducing load early, leading to downward adjustments that are too large and demand reductions that are too low.  All the baseline rules tested produce similar results for PG&amp;E’s </w:t>
      </w:r>
      <w:r w:rsidR="00403E51">
        <w:t>AMP program</w:t>
      </w:r>
      <w:r w:rsidR="00116D21">
        <w:t xml:space="preserve"> contracts with </w:t>
      </w:r>
      <w:r w:rsidR="00403E51">
        <w:t xml:space="preserve">day-of </w:t>
      </w:r>
      <w:r w:rsidR="00116D21">
        <w:t>notification, as long as some type of day adjustment is applied.</w:t>
      </w:r>
    </w:p>
    <w:p w:rsidR="00F85449" w:rsidRPr="00F85449" w:rsidRDefault="007D29BF" w:rsidP="008759AD">
      <w:r>
        <w:t>For both the AMP-DO and AMP-DA resources, relaxing the baseline ad</w:t>
      </w:r>
      <w:r w:rsidR="00F85449">
        <w:t>justment cap does not lead to improvements relative</w:t>
      </w:r>
      <w:r>
        <w:t xml:space="preserve"> the evaluation results</w:t>
      </w:r>
      <w:r w:rsidR="00F85449">
        <w:t>, as one would expect</w:t>
      </w:r>
      <w:r>
        <w:t xml:space="preserve">. </w:t>
      </w:r>
      <w:r w:rsidR="00F85449">
        <w:t>While we do not see an improvement during actual event days, we do see an improvement when we measure the accuracy using a simulation</w:t>
      </w:r>
      <w:r w:rsidR="008759AD">
        <w:t>. This suggests that we don’t see improvements because customers are shifting</w:t>
      </w:r>
      <w:r>
        <w:t xml:space="preserve"> load to pre-event hours or reducing load in anticipation of the event</w:t>
      </w:r>
      <w:r w:rsidR="008759AD">
        <w:t xml:space="preserve"> during actual events.  Such behavior can affect baseline adjustments and counter the improvements expected from using same-day adjustments. </w:t>
      </w:r>
    </w:p>
    <w:p w:rsidR="00116D21" w:rsidRDefault="00116D21" w:rsidP="00116D21">
      <w:pPr>
        <w:pStyle w:val="TableFigureCaption"/>
      </w:pPr>
      <w:r>
        <w:lastRenderedPageBreak/>
        <w:t xml:space="preserve">Table 2-2: Comparison of Evaluation Results and Demand Reductions </w:t>
      </w:r>
      <w:r w:rsidR="000E10B0">
        <w:br/>
      </w:r>
      <w:r>
        <w:t>Estimated Using the Alternate Baseline Rules</w:t>
      </w:r>
    </w:p>
    <w:tbl>
      <w:tblPr>
        <w:tblW w:w="10560" w:type="dxa"/>
        <w:jc w:val="center"/>
        <w:tblInd w:w="93" w:type="dxa"/>
        <w:tblCellMar>
          <w:left w:w="43" w:type="dxa"/>
          <w:right w:w="43" w:type="dxa"/>
        </w:tblCellMar>
        <w:tblLook w:val="04A0"/>
      </w:tblPr>
      <w:tblGrid>
        <w:gridCol w:w="960"/>
        <w:gridCol w:w="966"/>
        <w:gridCol w:w="966"/>
        <w:gridCol w:w="960"/>
        <w:gridCol w:w="960"/>
        <w:gridCol w:w="960"/>
        <w:gridCol w:w="960"/>
        <w:gridCol w:w="960"/>
        <w:gridCol w:w="960"/>
        <w:gridCol w:w="960"/>
        <w:gridCol w:w="960"/>
      </w:tblGrid>
      <w:tr w:rsidR="00020528" w:rsidRPr="00020528" w:rsidTr="00020528">
        <w:trPr>
          <w:trHeight w:val="288"/>
          <w:jc w:val="center"/>
        </w:trPr>
        <w:tc>
          <w:tcPr>
            <w:tcW w:w="960" w:type="dxa"/>
            <w:vMerge w:val="restart"/>
            <w:tcBorders>
              <w:top w:val="single" w:sz="8" w:space="0" w:color="auto"/>
              <w:left w:val="single" w:sz="8" w:space="0" w:color="auto"/>
              <w:bottom w:val="single" w:sz="8" w:space="0" w:color="000000"/>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Application of Baselines</w:t>
            </w:r>
          </w:p>
        </w:tc>
        <w:tc>
          <w:tcPr>
            <w:tcW w:w="960" w:type="dxa"/>
            <w:vMerge w:val="restart"/>
            <w:tcBorders>
              <w:top w:val="single" w:sz="8" w:space="0" w:color="auto"/>
              <w:left w:val="single" w:sz="8" w:space="0" w:color="FFFFFF"/>
              <w:bottom w:val="single" w:sz="8" w:space="0" w:color="000000"/>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Adjustment Option</w:t>
            </w:r>
          </w:p>
        </w:tc>
        <w:tc>
          <w:tcPr>
            <w:tcW w:w="960" w:type="dxa"/>
            <w:vMerge w:val="restart"/>
            <w:tcBorders>
              <w:top w:val="single" w:sz="8" w:space="0" w:color="auto"/>
              <w:left w:val="single" w:sz="8" w:space="0" w:color="FFFFFF"/>
              <w:bottom w:val="single" w:sz="8" w:space="0" w:color="000000"/>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Adjustment Cap</w:t>
            </w:r>
          </w:p>
        </w:tc>
        <w:tc>
          <w:tcPr>
            <w:tcW w:w="3840" w:type="dxa"/>
            <w:gridSpan w:val="4"/>
            <w:tcBorders>
              <w:top w:val="single" w:sz="8" w:space="0" w:color="auto"/>
              <w:left w:val="nil"/>
              <w:bottom w:val="single" w:sz="8" w:space="0" w:color="FFFFFF"/>
              <w:right w:val="single" w:sz="8" w:space="0" w:color="FFFFFF"/>
            </w:tcBorders>
            <w:shd w:val="clear" w:color="000000" w:fill="376091"/>
            <w:noWrap/>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Aggregator Managed Portfolio</w:t>
            </w:r>
          </w:p>
        </w:tc>
        <w:tc>
          <w:tcPr>
            <w:tcW w:w="3840" w:type="dxa"/>
            <w:gridSpan w:val="4"/>
            <w:tcBorders>
              <w:top w:val="single" w:sz="8" w:space="0" w:color="auto"/>
              <w:left w:val="nil"/>
              <w:bottom w:val="single" w:sz="8" w:space="0" w:color="FFFFFF"/>
              <w:right w:val="single" w:sz="8" w:space="0" w:color="000000"/>
            </w:tcBorders>
            <w:shd w:val="clear" w:color="000000" w:fill="376091"/>
            <w:noWrap/>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Capacity Bidding Program</w:t>
            </w:r>
          </w:p>
        </w:tc>
      </w:tr>
      <w:tr w:rsidR="00020528" w:rsidRPr="00020528" w:rsidTr="00020528">
        <w:trPr>
          <w:trHeight w:val="288"/>
          <w:jc w:val="center"/>
        </w:trPr>
        <w:tc>
          <w:tcPr>
            <w:tcW w:w="960" w:type="dxa"/>
            <w:vMerge/>
            <w:tcBorders>
              <w:top w:val="single" w:sz="8" w:space="0" w:color="auto"/>
              <w:left w:val="single" w:sz="8" w:space="0" w:color="auto"/>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vMerge/>
            <w:tcBorders>
              <w:top w:val="single" w:sz="8" w:space="0" w:color="auto"/>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vMerge/>
            <w:tcBorders>
              <w:top w:val="single" w:sz="8" w:space="0" w:color="auto"/>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1920" w:type="dxa"/>
            <w:gridSpan w:val="2"/>
            <w:tcBorders>
              <w:top w:val="single" w:sz="8" w:space="0" w:color="FFFFFF"/>
              <w:left w:val="nil"/>
              <w:bottom w:val="single" w:sz="8" w:space="0" w:color="FFFFFF"/>
              <w:right w:val="single" w:sz="8" w:space="0" w:color="FFFFFF"/>
            </w:tcBorders>
            <w:shd w:val="clear" w:color="000000" w:fill="376091"/>
            <w:noWrap/>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Day-of</w:t>
            </w:r>
          </w:p>
        </w:tc>
        <w:tc>
          <w:tcPr>
            <w:tcW w:w="1920" w:type="dxa"/>
            <w:gridSpan w:val="2"/>
            <w:tcBorders>
              <w:top w:val="single" w:sz="8" w:space="0" w:color="FFFFFF"/>
              <w:left w:val="nil"/>
              <w:bottom w:val="single" w:sz="8" w:space="0" w:color="FFFFFF"/>
              <w:right w:val="single" w:sz="8" w:space="0" w:color="FFFFFF"/>
            </w:tcBorders>
            <w:shd w:val="clear" w:color="000000" w:fill="376091"/>
            <w:noWrap/>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Day-ahead</w:t>
            </w:r>
          </w:p>
        </w:tc>
        <w:tc>
          <w:tcPr>
            <w:tcW w:w="1920" w:type="dxa"/>
            <w:gridSpan w:val="2"/>
            <w:tcBorders>
              <w:top w:val="single" w:sz="8" w:space="0" w:color="FFFFFF"/>
              <w:left w:val="nil"/>
              <w:bottom w:val="single" w:sz="8" w:space="0" w:color="FFFFFF"/>
              <w:right w:val="single" w:sz="8" w:space="0" w:color="FFFFFF"/>
            </w:tcBorders>
            <w:shd w:val="clear" w:color="000000" w:fill="376091"/>
            <w:noWrap/>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Day-of</w:t>
            </w:r>
          </w:p>
        </w:tc>
        <w:tc>
          <w:tcPr>
            <w:tcW w:w="1920" w:type="dxa"/>
            <w:gridSpan w:val="2"/>
            <w:tcBorders>
              <w:top w:val="single" w:sz="8" w:space="0" w:color="FFFFFF"/>
              <w:left w:val="nil"/>
              <w:bottom w:val="single" w:sz="8" w:space="0" w:color="FFFFFF"/>
              <w:right w:val="single" w:sz="8" w:space="0" w:color="000000"/>
            </w:tcBorders>
            <w:shd w:val="clear" w:color="000000" w:fill="376091"/>
            <w:noWrap/>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Day-ahead</w:t>
            </w:r>
          </w:p>
        </w:tc>
      </w:tr>
      <w:tr w:rsidR="00E771A0" w:rsidRPr="00020528" w:rsidTr="00020528">
        <w:trPr>
          <w:trHeight w:val="288"/>
          <w:jc w:val="center"/>
        </w:trPr>
        <w:tc>
          <w:tcPr>
            <w:tcW w:w="960" w:type="dxa"/>
            <w:vMerge/>
            <w:tcBorders>
              <w:top w:val="single" w:sz="8" w:space="0" w:color="auto"/>
              <w:left w:val="single" w:sz="8" w:space="0" w:color="auto"/>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vMerge/>
            <w:tcBorders>
              <w:top w:val="single" w:sz="8" w:space="0" w:color="auto"/>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vMerge/>
            <w:tcBorders>
              <w:top w:val="single" w:sz="8" w:space="0" w:color="auto"/>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vMerge w:val="restart"/>
            <w:tcBorders>
              <w:top w:val="nil"/>
              <w:left w:val="single" w:sz="8" w:space="0" w:color="FFFFFF"/>
              <w:bottom w:val="single" w:sz="8" w:space="0" w:color="000000"/>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Estimated Impacts</w:t>
            </w:r>
          </w:p>
        </w:tc>
        <w:tc>
          <w:tcPr>
            <w:tcW w:w="960" w:type="dxa"/>
            <w:tcBorders>
              <w:top w:val="nil"/>
              <w:left w:val="nil"/>
              <w:bottom w:val="nil"/>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w:t>
            </w:r>
          </w:p>
        </w:tc>
        <w:tc>
          <w:tcPr>
            <w:tcW w:w="960" w:type="dxa"/>
            <w:vMerge w:val="restart"/>
            <w:tcBorders>
              <w:top w:val="nil"/>
              <w:left w:val="single" w:sz="8" w:space="0" w:color="FFFFFF"/>
              <w:bottom w:val="single" w:sz="8" w:space="0" w:color="000000"/>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Estimated Impacts</w:t>
            </w:r>
          </w:p>
        </w:tc>
        <w:tc>
          <w:tcPr>
            <w:tcW w:w="960" w:type="dxa"/>
            <w:tcBorders>
              <w:top w:val="nil"/>
              <w:left w:val="nil"/>
              <w:bottom w:val="nil"/>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w:t>
            </w:r>
          </w:p>
        </w:tc>
        <w:tc>
          <w:tcPr>
            <w:tcW w:w="960" w:type="dxa"/>
            <w:vMerge w:val="restart"/>
            <w:tcBorders>
              <w:top w:val="nil"/>
              <w:left w:val="single" w:sz="8" w:space="0" w:color="FFFFFF"/>
              <w:bottom w:val="single" w:sz="8" w:space="0" w:color="000000"/>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Estimated Impacts</w:t>
            </w:r>
          </w:p>
        </w:tc>
        <w:tc>
          <w:tcPr>
            <w:tcW w:w="960" w:type="dxa"/>
            <w:tcBorders>
              <w:top w:val="nil"/>
              <w:left w:val="nil"/>
              <w:bottom w:val="nil"/>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w:t>
            </w:r>
          </w:p>
        </w:tc>
        <w:tc>
          <w:tcPr>
            <w:tcW w:w="960" w:type="dxa"/>
            <w:vMerge w:val="restart"/>
            <w:tcBorders>
              <w:top w:val="nil"/>
              <w:left w:val="single" w:sz="8" w:space="0" w:color="FFFFFF"/>
              <w:bottom w:val="single" w:sz="8" w:space="0" w:color="000000"/>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Estimated Impacts</w:t>
            </w:r>
          </w:p>
        </w:tc>
        <w:tc>
          <w:tcPr>
            <w:tcW w:w="960" w:type="dxa"/>
            <w:tcBorders>
              <w:top w:val="nil"/>
              <w:left w:val="nil"/>
              <w:bottom w:val="nil"/>
              <w:right w:val="single" w:sz="8" w:space="0" w:color="auto"/>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w:t>
            </w:r>
          </w:p>
        </w:tc>
      </w:tr>
      <w:tr w:rsidR="00E771A0" w:rsidRPr="00020528" w:rsidTr="00020528">
        <w:trPr>
          <w:trHeight w:val="288"/>
          <w:jc w:val="center"/>
        </w:trPr>
        <w:tc>
          <w:tcPr>
            <w:tcW w:w="960" w:type="dxa"/>
            <w:vMerge/>
            <w:tcBorders>
              <w:top w:val="single" w:sz="8" w:space="0" w:color="auto"/>
              <w:left w:val="single" w:sz="8" w:space="0" w:color="auto"/>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vMerge/>
            <w:tcBorders>
              <w:top w:val="single" w:sz="8" w:space="0" w:color="auto"/>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vMerge/>
            <w:tcBorders>
              <w:top w:val="single" w:sz="8" w:space="0" w:color="auto"/>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vMerge/>
            <w:tcBorders>
              <w:top w:val="nil"/>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tcBorders>
              <w:top w:val="nil"/>
              <w:left w:val="nil"/>
              <w:bottom w:val="nil"/>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of M&amp;E</w:t>
            </w:r>
          </w:p>
        </w:tc>
        <w:tc>
          <w:tcPr>
            <w:tcW w:w="960" w:type="dxa"/>
            <w:vMerge/>
            <w:tcBorders>
              <w:top w:val="nil"/>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tcBorders>
              <w:top w:val="nil"/>
              <w:left w:val="nil"/>
              <w:bottom w:val="nil"/>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of M&amp;E</w:t>
            </w:r>
          </w:p>
        </w:tc>
        <w:tc>
          <w:tcPr>
            <w:tcW w:w="960" w:type="dxa"/>
            <w:vMerge/>
            <w:tcBorders>
              <w:top w:val="nil"/>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tcBorders>
              <w:top w:val="nil"/>
              <w:left w:val="nil"/>
              <w:bottom w:val="nil"/>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of M&amp;E</w:t>
            </w:r>
          </w:p>
        </w:tc>
        <w:tc>
          <w:tcPr>
            <w:tcW w:w="960" w:type="dxa"/>
            <w:vMerge/>
            <w:tcBorders>
              <w:top w:val="nil"/>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tcBorders>
              <w:top w:val="nil"/>
              <w:left w:val="nil"/>
              <w:bottom w:val="nil"/>
              <w:right w:val="single" w:sz="8" w:space="0" w:color="auto"/>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of M&amp;E</w:t>
            </w:r>
          </w:p>
        </w:tc>
      </w:tr>
      <w:tr w:rsidR="00E771A0" w:rsidRPr="00020528" w:rsidTr="00020528">
        <w:trPr>
          <w:trHeight w:val="288"/>
          <w:jc w:val="center"/>
        </w:trPr>
        <w:tc>
          <w:tcPr>
            <w:tcW w:w="960" w:type="dxa"/>
            <w:vMerge/>
            <w:tcBorders>
              <w:top w:val="single" w:sz="8" w:space="0" w:color="auto"/>
              <w:left w:val="single" w:sz="8" w:space="0" w:color="auto"/>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vMerge/>
            <w:tcBorders>
              <w:top w:val="single" w:sz="8" w:space="0" w:color="auto"/>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vMerge/>
            <w:tcBorders>
              <w:top w:val="single" w:sz="8" w:space="0" w:color="auto"/>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vMerge/>
            <w:tcBorders>
              <w:top w:val="nil"/>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tcBorders>
              <w:top w:val="nil"/>
              <w:left w:val="nil"/>
              <w:bottom w:val="single" w:sz="8" w:space="0" w:color="auto"/>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Results</w:t>
            </w:r>
          </w:p>
        </w:tc>
        <w:tc>
          <w:tcPr>
            <w:tcW w:w="960" w:type="dxa"/>
            <w:vMerge/>
            <w:tcBorders>
              <w:top w:val="nil"/>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tcBorders>
              <w:top w:val="nil"/>
              <w:left w:val="nil"/>
              <w:bottom w:val="single" w:sz="8" w:space="0" w:color="auto"/>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Results</w:t>
            </w:r>
          </w:p>
        </w:tc>
        <w:tc>
          <w:tcPr>
            <w:tcW w:w="960" w:type="dxa"/>
            <w:vMerge/>
            <w:tcBorders>
              <w:top w:val="nil"/>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tcBorders>
              <w:top w:val="nil"/>
              <w:left w:val="nil"/>
              <w:bottom w:val="single" w:sz="8" w:space="0" w:color="auto"/>
              <w:right w:val="single" w:sz="8" w:space="0" w:color="FFFFFF"/>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Results</w:t>
            </w:r>
          </w:p>
        </w:tc>
        <w:tc>
          <w:tcPr>
            <w:tcW w:w="960" w:type="dxa"/>
            <w:vMerge/>
            <w:tcBorders>
              <w:top w:val="nil"/>
              <w:left w:val="single" w:sz="8" w:space="0" w:color="FFFFFF"/>
              <w:bottom w:val="single" w:sz="8" w:space="0" w:color="000000"/>
              <w:right w:val="single" w:sz="8" w:space="0" w:color="FFFFFF"/>
            </w:tcBorders>
            <w:vAlign w:val="center"/>
            <w:hideMark/>
          </w:tcPr>
          <w:p w:rsidR="00464E41" w:rsidRDefault="00464E41" w:rsidP="00464E41">
            <w:pPr>
              <w:spacing w:after="0" w:line="240" w:lineRule="auto"/>
              <w:jc w:val="center"/>
              <w:rPr>
                <w:rFonts w:ascii="Arial" w:eastAsia="Times New Roman" w:hAnsi="Arial" w:cs="Arial"/>
                <w:b/>
                <w:bCs/>
                <w:color w:val="FFFFFF"/>
                <w:sz w:val="16"/>
                <w:szCs w:val="16"/>
              </w:rPr>
            </w:pPr>
          </w:p>
        </w:tc>
        <w:tc>
          <w:tcPr>
            <w:tcW w:w="960" w:type="dxa"/>
            <w:tcBorders>
              <w:top w:val="nil"/>
              <w:left w:val="nil"/>
              <w:bottom w:val="single" w:sz="8" w:space="0" w:color="auto"/>
              <w:right w:val="single" w:sz="8" w:space="0" w:color="auto"/>
            </w:tcBorders>
            <w:shd w:val="clear" w:color="000000" w:fill="376091"/>
            <w:vAlign w:val="center"/>
            <w:hideMark/>
          </w:tcPr>
          <w:p w:rsidR="00464E41" w:rsidRDefault="00020528">
            <w:pPr>
              <w:spacing w:after="0" w:line="240" w:lineRule="auto"/>
              <w:jc w:val="center"/>
              <w:rPr>
                <w:rFonts w:ascii="Arial" w:eastAsia="Times New Roman" w:hAnsi="Arial" w:cs="Arial"/>
                <w:b/>
                <w:bCs/>
                <w:color w:val="FFFFFF"/>
                <w:sz w:val="16"/>
                <w:szCs w:val="16"/>
              </w:rPr>
            </w:pPr>
            <w:r w:rsidRPr="00020528">
              <w:rPr>
                <w:rFonts w:ascii="Arial" w:eastAsia="Times New Roman" w:hAnsi="Arial" w:cs="Arial"/>
                <w:b/>
                <w:bCs/>
                <w:color w:val="FFFFFF"/>
                <w:sz w:val="16"/>
                <w:szCs w:val="16"/>
              </w:rPr>
              <w:t>Results</w:t>
            </w:r>
          </w:p>
        </w:tc>
      </w:tr>
      <w:tr w:rsidR="00020528" w:rsidRPr="00020528" w:rsidTr="00020528">
        <w:trPr>
          <w:trHeight w:val="288"/>
          <w:jc w:val="center"/>
        </w:trPr>
        <w:tc>
          <w:tcPr>
            <w:tcW w:w="2880" w:type="dxa"/>
            <w:gridSpan w:val="3"/>
            <w:tcBorders>
              <w:top w:val="single" w:sz="8" w:space="0" w:color="000000"/>
              <w:left w:val="single" w:sz="8" w:space="0" w:color="auto"/>
              <w:bottom w:val="single" w:sz="8" w:space="0" w:color="auto"/>
              <w:right w:val="single" w:sz="8" w:space="0" w:color="000000"/>
            </w:tcBorders>
            <w:shd w:val="clear" w:color="000000" w:fill="FFFFFF"/>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M&amp;E Result</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111.2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52.8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14.2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13.6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w:t>
            </w:r>
          </w:p>
        </w:tc>
      </w:tr>
      <w:tr w:rsidR="00020528" w:rsidRPr="00020528" w:rsidTr="00020528">
        <w:trPr>
          <w:trHeight w:val="288"/>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Individual</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Aggregator Choice</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Unadjusted</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105.0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94.4%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71.7%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94.4%</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b/>
                <w:bCs/>
                <w:color w:val="000000"/>
                <w:sz w:val="16"/>
                <w:szCs w:val="16"/>
              </w:rPr>
            </w:pPr>
            <w:r w:rsidRPr="00020528">
              <w:rPr>
                <w:rFonts w:ascii="Arial" w:eastAsia="Times New Roman" w:hAnsi="Arial" w:cs="Arial"/>
                <w:b/>
                <w:bCs/>
                <w:color w:val="000000"/>
                <w:sz w:val="16"/>
                <w:szCs w:val="16"/>
              </w:rPr>
              <w:t xml:space="preserve">20% </w:t>
            </w:r>
            <w:r w:rsidRPr="00020528">
              <w:rPr>
                <w:rFonts w:ascii="Arial" w:eastAsia="Times New Roman" w:hAnsi="Arial" w:cs="Arial"/>
                <w:b/>
                <w:bCs/>
                <w:color w:val="000000"/>
                <w:sz w:val="16"/>
                <w:szCs w:val="16"/>
                <w:vertAlign w:val="superscript"/>
              </w:rPr>
              <w:t>[1]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b/>
                <w:bCs/>
                <w:color w:val="000000"/>
                <w:sz w:val="16"/>
                <w:szCs w:val="16"/>
              </w:rPr>
            </w:pPr>
            <w:r w:rsidRPr="00020528">
              <w:rPr>
                <w:rFonts w:ascii="Arial" w:eastAsia="Times New Roman" w:hAnsi="Arial" w:cs="Arial"/>
                <w:b/>
                <w:bCs/>
                <w:color w:val="000000"/>
                <w:sz w:val="16"/>
                <w:szCs w:val="16"/>
              </w:rPr>
              <w:t>104.5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b/>
                <w:bCs/>
                <w:color w:val="000000"/>
                <w:sz w:val="16"/>
                <w:szCs w:val="16"/>
              </w:rPr>
            </w:pPr>
            <w:r w:rsidRPr="00020528">
              <w:rPr>
                <w:rFonts w:ascii="Arial" w:eastAsia="Times New Roman" w:hAnsi="Arial" w:cs="Arial"/>
                <w:b/>
                <w:bCs/>
                <w:color w:val="000000"/>
                <w:sz w:val="16"/>
                <w:szCs w:val="16"/>
              </w:rPr>
              <w:t>94.0%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b/>
                <w:bCs/>
                <w:color w:val="000000"/>
                <w:sz w:val="16"/>
                <w:szCs w:val="16"/>
              </w:rPr>
            </w:pPr>
            <w:r w:rsidRPr="00020528">
              <w:rPr>
                <w:rFonts w:ascii="Arial" w:eastAsia="Times New Roman" w:hAnsi="Arial" w:cs="Arial"/>
                <w:b/>
                <w:bCs/>
                <w:color w:val="000000"/>
                <w:sz w:val="16"/>
                <w:szCs w:val="16"/>
              </w:rPr>
              <w:t>43.3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b/>
                <w:bCs/>
                <w:color w:val="000000"/>
                <w:sz w:val="16"/>
                <w:szCs w:val="16"/>
              </w:rPr>
            </w:pPr>
            <w:r w:rsidRPr="00020528">
              <w:rPr>
                <w:rFonts w:ascii="Arial" w:eastAsia="Times New Roman" w:hAnsi="Arial" w:cs="Arial"/>
                <w:b/>
                <w:bCs/>
                <w:color w:val="000000"/>
                <w:sz w:val="16"/>
                <w:szCs w:val="16"/>
              </w:rPr>
              <w:t>82.1%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b/>
                <w:bCs/>
                <w:color w:val="000000"/>
                <w:sz w:val="16"/>
                <w:szCs w:val="16"/>
              </w:rPr>
            </w:pPr>
            <w:r w:rsidRPr="00020528">
              <w:rPr>
                <w:rFonts w:ascii="Arial" w:eastAsia="Times New Roman" w:hAnsi="Arial" w:cs="Arial"/>
                <w:b/>
                <w:bCs/>
                <w:color w:val="000000"/>
                <w:sz w:val="16"/>
                <w:szCs w:val="16"/>
              </w:rPr>
              <w:t>12.5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b/>
                <w:bCs/>
                <w:color w:val="000000"/>
                <w:sz w:val="16"/>
                <w:szCs w:val="16"/>
              </w:rPr>
            </w:pPr>
            <w:r w:rsidRPr="00020528">
              <w:rPr>
                <w:rFonts w:ascii="Arial" w:eastAsia="Times New Roman" w:hAnsi="Arial" w:cs="Arial"/>
                <w:b/>
                <w:bCs/>
                <w:color w:val="000000"/>
                <w:sz w:val="16"/>
                <w:szCs w:val="16"/>
              </w:rPr>
              <w:t>87.7%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b/>
                <w:bCs/>
                <w:color w:val="000000"/>
                <w:sz w:val="16"/>
                <w:szCs w:val="16"/>
              </w:rPr>
            </w:pPr>
            <w:r w:rsidRPr="00020528">
              <w:rPr>
                <w:rFonts w:ascii="Arial" w:eastAsia="Times New Roman" w:hAnsi="Arial" w:cs="Arial"/>
                <w:b/>
                <w:bCs/>
                <w:color w:val="000000"/>
                <w:sz w:val="16"/>
                <w:szCs w:val="16"/>
              </w:rPr>
              <w:t>15.2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b/>
                <w:bCs/>
                <w:color w:val="000000"/>
                <w:sz w:val="16"/>
                <w:szCs w:val="16"/>
              </w:rPr>
            </w:pPr>
            <w:r w:rsidRPr="00020528">
              <w:rPr>
                <w:rFonts w:ascii="Arial" w:eastAsia="Times New Roman" w:hAnsi="Arial" w:cs="Arial"/>
                <w:b/>
                <w:bCs/>
                <w:color w:val="000000"/>
                <w:sz w:val="16"/>
                <w:szCs w:val="16"/>
              </w:rPr>
              <w:t>112.0%</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30%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113.2%</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113.3%</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92.6%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113.3%</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50%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102.7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92.3%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113.2%</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2x</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89.2%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116.5%</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Unlimited</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116.0%</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Universal</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Unadjusted</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105.0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94.4%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71.7%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94.4%</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20%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104.1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45.3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85.8%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87.8%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111.8%</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30%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45.3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85.9%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112.9%</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92.6%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45.3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85.7%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112.9%</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102.5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92.2%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45.2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85.7%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112.9%</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50%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102.3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92.0%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45.5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86.2%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112.8%</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2x</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92.8%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46.6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89.3%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116.1%</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Unlimited</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46.7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115.4%</w:t>
            </w:r>
          </w:p>
        </w:tc>
      </w:tr>
      <w:tr w:rsidR="00020528" w:rsidRPr="00020528" w:rsidTr="00020528">
        <w:trPr>
          <w:trHeight w:val="288"/>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Aggregate</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Aggregator Choice</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Unadjusted</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104.0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75.2%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13.7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100.7%</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20%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104.1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16.0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117.4%</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30%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104.1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116.6%</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104.1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116.6%</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104.1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116.7%</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50%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104.1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116.7%</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2x</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104.1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116.7%</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Unlimited</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104.1</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43.4</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116.7%</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Universal</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Unadjusted</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104.0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43.7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82.8%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75.2%</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13.7</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100.7%</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20%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46.6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117.2%</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30%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46.6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116.3%</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46.6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116.3%</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46.6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116.3%</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50%</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46.6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116.2%</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2x</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46.6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116.2%</w:t>
            </w:r>
          </w:p>
        </w:tc>
      </w:tr>
      <w:tr w:rsidR="00020528" w:rsidRPr="00020528" w:rsidTr="00020528">
        <w:trPr>
          <w:trHeight w:val="288"/>
          <w:jc w:val="center"/>
        </w:trPr>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hideMark/>
          </w:tcPr>
          <w:p w:rsidR="00464E41" w:rsidRDefault="00464E41" w:rsidP="00464E41">
            <w:pPr>
              <w:spacing w:after="0" w:line="240" w:lineRule="auto"/>
              <w:jc w:val="center"/>
              <w:rPr>
                <w:rFonts w:ascii="Arial" w:eastAsia="Times New Roman"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Unlimited</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103.9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93.5%</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46.6</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88.3%</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12.9</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90.8%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15.8</w:t>
            </w:r>
          </w:p>
        </w:tc>
        <w:tc>
          <w:tcPr>
            <w:tcW w:w="960" w:type="dxa"/>
            <w:tcBorders>
              <w:top w:val="nil"/>
              <w:left w:val="nil"/>
              <w:bottom w:val="single" w:sz="8" w:space="0" w:color="auto"/>
              <w:right w:val="single" w:sz="8" w:space="0" w:color="auto"/>
            </w:tcBorders>
            <w:shd w:val="clear" w:color="auto" w:fill="auto"/>
            <w:noWrap/>
            <w:vAlign w:val="center"/>
            <w:hideMark/>
          </w:tcPr>
          <w:p w:rsidR="00464E41" w:rsidRDefault="00020528">
            <w:pPr>
              <w:spacing w:after="0" w:line="240" w:lineRule="auto"/>
              <w:jc w:val="center"/>
              <w:rPr>
                <w:rFonts w:ascii="Arial" w:eastAsia="Times New Roman" w:hAnsi="Arial" w:cs="Arial"/>
                <w:color w:val="000000"/>
                <w:sz w:val="16"/>
                <w:szCs w:val="16"/>
              </w:rPr>
            </w:pPr>
            <w:r w:rsidRPr="00020528">
              <w:rPr>
                <w:rFonts w:ascii="Arial" w:eastAsia="Times New Roman" w:hAnsi="Arial" w:cs="Arial"/>
                <w:color w:val="000000"/>
                <w:sz w:val="16"/>
                <w:szCs w:val="16"/>
              </w:rPr>
              <w:t>116.1%</w:t>
            </w:r>
          </w:p>
        </w:tc>
      </w:tr>
    </w:tbl>
    <w:p w:rsidR="00116D21" w:rsidRDefault="00464E41" w:rsidP="00B523D8">
      <w:pPr>
        <w:pStyle w:val="BodyParaAfterTableFigure"/>
      </w:pPr>
      <w:r w:rsidRPr="00464E41">
        <w:rPr>
          <w:rStyle w:val="BodyParagraphChar"/>
        </w:rPr>
        <w:lastRenderedPageBreak/>
        <w:t xml:space="preserve">For the AMP-DA resource, the current baseline produces load impact estimates that are </w:t>
      </w:r>
      <w:r w:rsidR="00CA7291">
        <w:rPr>
          <w:rStyle w:val="BodyParagraphChar"/>
        </w:rPr>
        <w:t>82.1</w:t>
      </w:r>
      <w:r w:rsidRPr="00464E41">
        <w:rPr>
          <w:rStyle w:val="BodyParagraphChar"/>
        </w:rPr>
        <w:t xml:space="preserve">% of the evaluation results – that is, the baseline results are lower by </w:t>
      </w:r>
      <w:r w:rsidR="00CA7291">
        <w:rPr>
          <w:rStyle w:val="BodyParagraphChar"/>
        </w:rPr>
        <w:t>17</w:t>
      </w:r>
      <w:r w:rsidRPr="00464E41">
        <w:rPr>
          <w:rStyle w:val="BodyParagraphChar"/>
        </w:rPr>
        <w:t>.9%</w:t>
      </w:r>
      <w:r w:rsidR="00116D21" w:rsidRPr="00F053EB">
        <w:rPr>
          <w:rStyle w:val="BodyParagraphChar"/>
        </w:rPr>
        <w:t xml:space="preserve">.  </w:t>
      </w:r>
      <w:r w:rsidR="00116D21">
        <w:t xml:space="preserve">The baseline results better align with the evaluation results when </w:t>
      </w:r>
      <w:r w:rsidR="00E535D9">
        <w:t>same-day</w:t>
      </w:r>
      <w:r w:rsidR="00116D21">
        <w:t xml:space="preserve"> adjustments are universally applied to all customers.  Put differently, the difference between the baseline and evaluation results is in part due to aggregator decisions about whether or not to apply same-day adjustments.  These findings are consistent with the simulation analysis of baseline accuracy discussed in Section 3, where the biggest improvement is from applying same-day adjustments universally for AMP-DA.</w:t>
      </w:r>
    </w:p>
    <w:p w:rsidR="00116D21" w:rsidRDefault="00464E41" w:rsidP="00116D21">
      <w:pPr>
        <w:pStyle w:val="BodyParagraph"/>
      </w:pPr>
      <w:r w:rsidRPr="00464E41">
        <w:t xml:space="preserve">For the CBP day-of notification option, the current baseline produces load impact estimates that are </w:t>
      </w:r>
      <w:r w:rsidR="00A635D8">
        <w:t>87.7</w:t>
      </w:r>
      <w:r w:rsidRPr="00464E41">
        <w:t xml:space="preserve">% of the evaluation results – that is, the baseline results are lower by </w:t>
      </w:r>
      <w:r w:rsidR="00A635D8">
        <w:t>12.3</w:t>
      </w:r>
      <w:r w:rsidRPr="00464E41">
        <w:t>%.</w:t>
      </w:r>
      <w:r w:rsidR="00116D21">
        <w:t xml:space="preserve">  When assuming that customers do not change their behavior during the adjustment window, the current baseline produces estimates that are, on average, </w:t>
      </w:r>
      <w:r w:rsidR="00CA7291" w:rsidRPr="00265789">
        <w:t>9</w:t>
      </w:r>
      <w:r w:rsidRPr="00464E41">
        <w:t>.7</w:t>
      </w:r>
      <w:r w:rsidR="00116D21" w:rsidRPr="00CB1CB5">
        <w:t>% too low</w:t>
      </w:r>
      <w:r w:rsidR="00116D21">
        <w:t>.</w:t>
      </w:r>
      <w:r w:rsidR="00116D21">
        <w:rPr>
          <w:rStyle w:val="FootnoteReference"/>
        </w:rPr>
        <w:footnoteReference w:id="11"/>
      </w:r>
      <w:r w:rsidR="003119A6">
        <w:t xml:space="preserve">  </w:t>
      </w:r>
      <w:r w:rsidR="00116D21">
        <w:t xml:space="preserve">Changing the baseline </w:t>
      </w:r>
      <w:r w:rsidR="00403E51">
        <w:t>method</w:t>
      </w:r>
      <w:r w:rsidR="00116D21">
        <w:t xml:space="preserve"> does not help align the settlement demand reductions with the evaluation results.  Neither increasing limits on the adjustment cap, universal application of same-day adjustments, nor calculating baselines after aggregating loads helps remove the downward bias</w:t>
      </w:r>
      <w:r w:rsidR="00F123C2">
        <w:t xml:space="preserve"> completely</w:t>
      </w:r>
      <w:r w:rsidR="00116D21">
        <w:t>.</w:t>
      </w:r>
      <w:r w:rsidR="00F123C2">
        <w:t xml:space="preserve">  </w:t>
      </w:r>
    </w:p>
    <w:p w:rsidR="00116D21" w:rsidRDefault="00464E41" w:rsidP="00116D21">
      <w:pPr>
        <w:pStyle w:val="BodyParagraph"/>
      </w:pPr>
      <w:r w:rsidRPr="00464E41">
        <w:t xml:space="preserve">For CBP with day-ahead notification, the current baseline method demand reduction estimates that are </w:t>
      </w:r>
      <w:r w:rsidR="00CA7291">
        <w:t>11</w:t>
      </w:r>
      <w:r w:rsidR="00020528">
        <w:t>2</w:t>
      </w:r>
      <w:r w:rsidRPr="00464E41">
        <w:t xml:space="preserve">% of the evaluation results – that is, the baseline estimates are </w:t>
      </w:r>
      <w:r w:rsidR="00020528">
        <w:t>12</w:t>
      </w:r>
      <w:r w:rsidRPr="00464E41">
        <w:t>% higher than the regression-based estimates.</w:t>
      </w:r>
      <w:r w:rsidR="00116D21">
        <w:t xml:space="preserve">  At first glance the results appear counterintuitive because the current baseline produces estimates that are, on average, </w:t>
      </w:r>
      <w:r w:rsidR="00262851">
        <w:t xml:space="preserve">22.3% </w:t>
      </w:r>
      <w:r w:rsidR="00116D21">
        <w:t>too low under idealized conditions – that is, assuming no shifting to pre-event hours or early demand reductions.</w:t>
      </w:r>
      <w:r w:rsidR="00116D21">
        <w:rPr>
          <w:rStyle w:val="FootnoteReference"/>
        </w:rPr>
        <w:footnoteReference w:id="12"/>
      </w:r>
      <w:r w:rsidR="00116D21">
        <w:t xml:space="preserve">  However, a closer inspection of the evaluation results indicates </w:t>
      </w:r>
      <w:r w:rsidR="00403E51">
        <w:t>that these customers shift load</w:t>
      </w:r>
      <w:r w:rsidR="00116D21">
        <w:t xml:space="preserve"> to the pre-event hours in response to the event, increasing use during the period used to calculate the baseline adjustments.  This leads to baseline adjustm</w:t>
      </w:r>
      <w:r w:rsidR="00403E51">
        <w:t xml:space="preserve">ents that are too high and that over </w:t>
      </w:r>
      <w:r w:rsidR="00116D21">
        <w:t xml:space="preserve">estimate demand reductions. </w:t>
      </w:r>
    </w:p>
    <w:p w:rsidR="008B5314" w:rsidRDefault="00116D21">
      <w:pPr>
        <w:pStyle w:val="Heading3"/>
        <w:numPr>
          <w:ilvl w:val="2"/>
          <w:numId w:val="13"/>
        </w:numPr>
      </w:pPr>
      <w:bookmarkStart w:id="29" w:name="_Toc314582353"/>
      <w:bookmarkStart w:id="30" w:name="_Toc318393835"/>
      <w:bookmarkStart w:id="31" w:name="_Toc318789280"/>
      <w:bookmarkStart w:id="32" w:name="_Toc324232553"/>
      <w:bookmarkStart w:id="33" w:name="_Toc326150798"/>
      <w:r>
        <w:t xml:space="preserve">Magnitude of </w:t>
      </w:r>
      <w:r w:rsidRPr="00050374">
        <w:t>Same</w:t>
      </w:r>
      <w:r>
        <w:t>-d</w:t>
      </w:r>
      <w:r w:rsidRPr="00050374">
        <w:t>ay Adjustments</w:t>
      </w:r>
      <w:bookmarkEnd w:id="29"/>
      <w:bookmarkEnd w:id="30"/>
      <w:bookmarkEnd w:id="31"/>
      <w:bookmarkEnd w:id="32"/>
      <w:bookmarkEnd w:id="33"/>
      <w:r w:rsidRPr="00050374">
        <w:t xml:space="preserve"> </w:t>
      </w:r>
    </w:p>
    <w:p w:rsidR="00116D21" w:rsidRDefault="00116D21" w:rsidP="00116D21">
      <w:pPr>
        <w:pStyle w:val="BodyParagraph"/>
      </w:pPr>
      <w:r>
        <w:t xml:space="preserve">The </w:t>
      </w:r>
      <w:r w:rsidRPr="00050374">
        <w:t xml:space="preserve">idea behind the </w:t>
      </w:r>
      <w:r w:rsidR="00E535D9">
        <w:t>same-day</w:t>
      </w:r>
      <w:r>
        <w:t xml:space="preserve"> </w:t>
      </w:r>
      <w:r w:rsidRPr="00050374">
        <w:t>adjustment is that</w:t>
      </w:r>
      <w:r>
        <w:t xml:space="preserve"> observed differences between the baseline and actual loads in the hours leading up to an event can</w:t>
      </w:r>
      <w:r w:rsidRPr="00050374">
        <w:t xml:space="preserve"> </w:t>
      </w:r>
      <w:r>
        <w:t xml:space="preserve">help correct prediction errors in the unadjusted </w:t>
      </w:r>
      <w:r w:rsidRPr="00050374">
        <w:t>baseline</w:t>
      </w:r>
      <w:r>
        <w:t xml:space="preserve">.  As noted earlier, the adjustment process implicitly assumes that electricity use during the adjustment period is unperturbed and any differences between the unadjusted baseline and actual loads are solely due to prediction error.  The adjustments are typically capped, </w:t>
      </w:r>
      <w:r w:rsidR="00064FAA">
        <w:t xml:space="preserve">to </w:t>
      </w:r>
      <w:r>
        <w:t xml:space="preserve">help limit the potential for gaming.  Large adjustments are required when </w:t>
      </w:r>
      <w:r w:rsidRPr="00050374">
        <w:t>electricity use in prior days</w:t>
      </w:r>
      <w:r>
        <w:t xml:space="preserve"> are </w:t>
      </w:r>
      <w:r w:rsidRPr="00050374">
        <w:t xml:space="preserve">a poor indicator of electricity use </w:t>
      </w:r>
      <w:r>
        <w:t>during</w:t>
      </w:r>
      <w:r w:rsidRPr="00050374">
        <w:t xml:space="preserve"> </w:t>
      </w:r>
      <w:r>
        <w:t xml:space="preserve">actual </w:t>
      </w:r>
      <w:r w:rsidRPr="00050374">
        <w:t xml:space="preserve">event days. </w:t>
      </w:r>
      <w:r>
        <w:t xml:space="preserve"> </w:t>
      </w:r>
      <w:r w:rsidRPr="001918E4">
        <w:t xml:space="preserve">In this section, we assess the </w:t>
      </w:r>
      <w:r>
        <w:t xml:space="preserve">impact </w:t>
      </w:r>
      <w:r w:rsidRPr="001918E4">
        <w:t xml:space="preserve">of </w:t>
      </w:r>
      <w:r w:rsidR="00E535D9">
        <w:t>same-day</w:t>
      </w:r>
      <w:r w:rsidRPr="001918E4">
        <w:t xml:space="preserve"> adjustments based on individual versus aggregate baseline calculation</w:t>
      </w:r>
      <w:r>
        <w:t xml:space="preserve"> rules and calculate how often different baseline caps are exceeded.</w:t>
      </w:r>
      <w:r w:rsidRPr="001918E4">
        <w:t xml:space="preserve"> </w:t>
      </w:r>
    </w:p>
    <w:p w:rsidR="00116D21" w:rsidRDefault="00116D21" w:rsidP="00116D21">
      <w:pPr>
        <w:pStyle w:val="BodyParagraph"/>
        <w:rPr>
          <w:szCs w:val="18"/>
        </w:rPr>
      </w:pPr>
      <w:r w:rsidRPr="001918E4">
        <w:t xml:space="preserve">Under the </w:t>
      </w:r>
      <w:r>
        <w:t>individual</w:t>
      </w:r>
      <w:r w:rsidRPr="001918E4">
        <w:t xml:space="preserve"> approach, </w:t>
      </w:r>
      <w:r w:rsidRPr="001918E4">
        <w:rPr>
          <w:szCs w:val="18"/>
        </w:rPr>
        <w:t>baseline</w:t>
      </w:r>
      <w:r>
        <w:rPr>
          <w:szCs w:val="18"/>
        </w:rPr>
        <w:t>s</w:t>
      </w:r>
      <w:r w:rsidRPr="001918E4">
        <w:rPr>
          <w:szCs w:val="18"/>
        </w:rPr>
        <w:t xml:space="preserve"> </w:t>
      </w:r>
      <w:r>
        <w:rPr>
          <w:szCs w:val="18"/>
        </w:rPr>
        <w:t>are</w:t>
      </w:r>
      <w:r w:rsidRPr="001918E4">
        <w:rPr>
          <w:szCs w:val="18"/>
        </w:rPr>
        <w:t xml:space="preserve"> calculated for each individual customer and the </w:t>
      </w:r>
      <w:r w:rsidR="00E535D9">
        <w:rPr>
          <w:szCs w:val="18"/>
        </w:rPr>
        <w:t>same-day</w:t>
      </w:r>
      <w:r w:rsidRPr="001918E4">
        <w:rPr>
          <w:szCs w:val="18"/>
        </w:rPr>
        <w:t xml:space="preserve"> adjustment (and cap) is applied at the individual customer level.  The individual customer results are then aggregated for each settlement portfolio.  This is how baselines are currently calculated.  </w:t>
      </w:r>
    </w:p>
    <w:p w:rsidR="00116D21" w:rsidRPr="001918E4" w:rsidRDefault="00116D21" w:rsidP="00116D21">
      <w:pPr>
        <w:pStyle w:val="BodyParagraph"/>
        <w:rPr>
          <w:szCs w:val="18"/>
        </w:rPr>
      </w:pPr>
      <w:r w:rsidRPr="001918E4">
        <w:rPr>
          <w:szCs w:val="18"/>
        </w:rPr>
        <w:t xml:space="preserve">Under the </w:t>
      </w:r>
      <w:r>
        <w:rPr>
          <w:szCs w:val="18"/>
        </w:rPr>
        <w:t>aggregated</w:t>
      </w:r>
      <w:r w:rsidRPr="001918E4">
        <w:rPr>
          <w:szCs w:val="18"/>
        </w:rPr>
        <w:t xml:space="preserve"> approach, customer loads are first aggregated for each </w:t>
      </w:r>
      <w:r>
        <w:rPr>
          <w:szCs w:val="18"/>
        </w:rPr>
        <w:t>settlement portfolio.  T</w:t>
      </w:r>
      <w:r w:rsidRPr="001918E4">
        <w:rPr>
          <w:szCs w:val="18"/>
        </w:rPr>
        <w:t xml:space="preserve">he baseline is then calculated using the aggregated loads and the </w:t>
      </w:r>
      <w:r w:rsidR="00E535D9">
        <w:rPr>
          <w:szCs w:val="18"/>
        </w:rPr>
        <w:t>same-day</w:t>
      </w:r>
      <w:r w:rsidRPr="001918E4">
        <w:rPr>
          <w:szCs w:val="18"/>
        </w:rPr>
        <w:t xml:space="preserve"> adjustment (and caps) </w:t>
      </w:r>
      <w:r>
        <w:rPr>
          <w:szCs w:val="18"/>
        </w:rPr>
        <w:t>is</w:t>
      </w:r>
      <w:r w:rsidRPr="001918E4">
        <w:rPr>
          <w:szCs w:val="18"/>
        </w:rPr>
        <w:t xml:space="preserve"> </w:t>
      </w:r>
      <w:r w:rsidRPr="001918E4">
        <w:rPr>
          <w:szCs w:val="18"/>
        </w:rPr>
        <w:lastRenderedPageBreak/>
        <w:t xml:space="preserve">applied using the aggregated </w:t>
      </w:r>
      <w:r>
        <w:rPr>
          <w:szCs w:val="18"/>
        </w:rPr>
        <w:t>value</w:t>
      </w:r>
      <w:r w:rsidRPr="001918E4">
        <w:rPr>
          <w:szCs w:val="18"/>
        </w:rPr>
        <w:t xml:space="preserve">s.  The logic for using </w:t>
      </w:r>
      <w:r>
        <w:rPr>
          <w:szCs w:val="18"/>
        </w:rPr>
        <w:t xml:space="preserve">the </w:t>
      </w:r>
      <w:r w:rsidRPr="001918E4">
        <w:rPr>
          <w:szCs w:val="18"/>
        </w:rPr>
        <w:t xml:space="preserve">aggregated approach is that individual customer idiosyncrasies and volatility are smoothed out in the aggregation process, leading to smaller </w:t>
      </w:r>
      <w:r w:rsidR="00E535D9">
        <w:rPr>
          <w:szCs w:val="18"/>
        </w:rPr>
        <w:t>same-day</w:t>
      </w:r>
      <w:r w:rsidRPr="001918E4">
        <w:rPr>
          <w:szCs w:val="18"/>
        </w:rPr>
        <w:t xml:space="preserve"> adjustments. </w:t>
      </w:r>
      <w:r>
        <w:rPr>
          <w:szCs w:val="18"/>
        </w:rPr>
        <w:t xml:space="preserve"> </w:t>
      </w:r>
      <w:r w:rsidRPr="001918E4">
        <w:rPr>
          <w:szCs w:val="18"/>
        </w:rPr>
        <w:t xml:space="preserve">Under the aggregated approach, the magnitude of the </w:t>
      </w:r>
      <w:r w:rsidR="00E535D9">
        <w:rPr>
          <w:szCs w:val="18"/>
        </w:rPr>
        <w:t>same-day</w:t>
      </w:r>
      <w:r w:rsidRPr="001918E4">
        <w:rPr>
          <w:szCs w:val="18"/>
        </w:rPr>
        <w:t xml:space="preserve"> adjustment depends on the </w:t>
      </w:r>
      <w:r>
        <w:rPr>
          <w:szCs w:val="18"/>
        </w:rPr>
        <w:t xml:space="preserve">number of </w:t>
      </w:r>
      <w:r w:rsidRPr="001918E4">
        <w:rPr>
          <w:szCs w:val="18"/>
        </w:rPr>
        <w:t>custom</w:t>
      </w:r>
      <w:r>
        <w:rPr>
          <w:szCs w:val="18"/>
        </w:rPr>
        <w:t>ers in the aggregator’s portfolio</w:t>
      </w:r>
      <w:r w:rsidR="00F7630F">
        <w:rPr>
          <w:szCs w:val="18"/>
        </w:rPr>
        <w:t xml:space="preserve">.  </w:t>
      </w:r>
      <w:r>
        <w:rPr>
          <w:szCs w:val="18"/>
        </w:rPr>
        <w:t>A</w:t>
      </w:r>
      <w:r w:rsidRPr="001918E4">
        <w:rPr>
          <w:szCs w:val="18"/>
        </w:rPr>
        <w:t xml:space="preserve"> set</w:t>
      </w:r>
      <w:r>
        <w:rPr>
          <w:szCs w:val="18"/>
        </w:rPr>
        <w:t>tlement portfolio that has one</w:t>
      </w:r>
      <w:r w:rsidRPr="001918E4">
        <w:rPr>
          <w:szCs w:val="18"/>
        </w:rPr>
        <w:t xml:space="preserve"> site is more likely to require large adjustments than a settlement portfolio with 100 sites.</w:t>
      </w:r>
    </w:p>
    <w:p w:rsidR="00116D21" w:rsidRDefault="00116D21" w:rsidP="00116D21">
      <w:pPr>
        <w:pStyle w:val="BodyParagraph"/>
      </w:pPr>
      <w:r>
        <w:t xml:space="preserve">Figure 2-1 combines two sets histograms of ratio adjustments: the first set shows adjustments calculated for individual customers for AMP and CBP, while the second shows adjustments calculated </w:t>
      </w:r>
      <w:r w:rsidR="000D3BE1">
        <w:t>when the baselines are estima</w:t>
      </w:r>
      <w:r w:rsidR="004D6CC3">
        <w:t>ted using aggregated data for each settlement</w:t>
      </w:r>
      <w:r>
        <w:t xml:space="preserve"> </w:t>
      </w:r>
      <w:r w:rsidR="00094FFB">
        <w:t>portfolio</w:t>
      </w:r>
      <w:r>
        <w:t>.  Recall that the ratio adjustment is calculated by taking the measured load during the adjustment window and dividing it by the baseline during the adjustment window.  If the resulting ratio is greater than 1, the baseline is adjusted upward; if it is less than 1, it is adjusted downward.  In Figure 2-1, the x-axis shows the magnitude of such ratio adjustments; as one moves to the right side of the axis, adjustments become more extreme.  (Note that downward adjustments have been inverted so they may be more easily compared; that is, a downward adjustment of 0.5 is shown as “2.”)  The y-axis denotes the relative frequency of each ratio</w:t>
      </w:r>
      <w:r w:rsidR="000E10B0">
        <w:t> </w:t>
      </w:r>
      <w:r>
        <w:t>adjustment.</w:t>
      </w:r>
    </w:p>
    <w:p w:rsidR="008B5314" w:rsidRDefault="00116D21">
      <w:pPr>
        <w:pStyle w:val="TableFigureCaption"/>
      </w:pPr>
      <w:r>
        <w:lastRenderedPageBreak/>
        <w:t>Figure 2</w:t>
      </w:r>
      <w:r w:rsidRPr="00050374">
        <w:t>-</w:t>
      </w:r>
      <w:r>
        <w:t>1</w:t>
      </w:r>
      <w:r w:rsidRPr="00050374">
        <w:t>:</w:t>
      </w:r>
      <w:r w:rsidR="00CA7291">
        <w:t xml:space="preserve"> </w:t>
      </w:r>
      <w:r>
        <w:t xml:space="preserve">PG&amp;E </w:t>
      </w:r>
      <w:r w:rsidRPr="00050374">
        <w:t xml:space="preserve">Distribution and Magnitude of </w:t>
      </w:r>
      <w:r>
        <w:t>Same</w:t>
      </w:r>
      <w:r w:rsidRPr="00050374">
        <w:t>-day Ratio Adjustments (</w:t>
      </w:r>
      <w:r>
        <w:t>Uncapped</w:t>
      </w:r>
      <w:r w:rsidRPr="00050374">
        <w:t>)</w:t>
      </w:r>
      <w:r w:rsidR="00AD6454" w:rsidRPr="00AD6454">
        <w:rPr>
          <w:noProof/>
        </w:rPr>
        <w:t xml:space="preserve"> </w:t>
      </w:r>
      <w:r w:rsidR="008B5314">
        <w:rPr>
          <w:noProof/>
          <w:sz w:val="22"/>
        </w:rPr>
        <w:drawing>
          <wp:inline distT="0" distB="0" distL="0" distR="0">
            <wp:extent cx="5943600" cy="2286635"/>
            <wp:effectExtent l="19050" t="0" r="0" b="0"/>
            <wp:docPr id="38" name="Picture 37" descr="PG&amp;E AMP Actual 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amp;E AMP Actual Events.png"/>
                    <pic:cNvPicPr/>
                  </pic:nvPicPr>
                  <pic:blipFill>
                    <a:blip r:embed="rId21" cstate="print"/>
                    <a:stretch>
                      <a:fillRect/>
                    </a:stretch>
                  </pic:blipFill>
                  <pic:spPr>
                    <a:xfrm>
                      <a:off x="0" y="0"/>
                      <a:ext cx="5943600" cy="2286635"/>
                    </a:xfrm>
                    <a:prstGeom prst="rect">
                      <a:avLst/>
                    </a:prstGeom>
                  </pic:spPr>
                </pic:pic>
              </a:graphicData>
            </a:graphic>
          </wp:inline>
        </w:drawing>
      </w:r>
      <w:r w:rsidR="008B5314">
        <w:rPr>
          <w:noProof/>
          <w:sz w:val="22"/>
        </w:rPr>
        <w:drawing>
          <wp:inline distT="0" distB="0" distL="0" distR="0">
            <wp:extent cx="5934075" cy="2286000"/>
            <wp:effectExtent l="19050" t="0" r="9525" b="0"/>
            <wp:docPr id="27" name="Picture 14" descr="T:\FSC\1563 2011 Statewide Aggregator Evaluation\PG&amp;E\Output\Baseline results\PG&amp;E CBP Actual 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FSC\1563 2011 Statewide Aggregator Evaluation\PG&amp;E\Output\Baseline results\PG&amp;E CBP Actual Events.png"/>
                    <pic:cNvPicPr>
                      <a:picLocks noChangeAspect="1" noChangeArrowheads="1"/>
                    </pic:cNvPicPr>
                  </pic:nvPicPr>
                  <pic:blipFill>
                    <a:blip r:embed="rId22"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116D21" w:rsidRPr="00050374" w:rsidRDefault="00116D21" w:rsidP="00116D21">
      <w:pPr>
        <w:pStyle w:val="BodyParaAfterTableFigure"/>
      </w:pPr>
      <w:r w:rsidRPr="00050374">
        <w:t xml:space="preserve">The figure highlights several key findings.  First, adjustments occur in both directions.  It is not the case that adjustments are upward because they are needed mostly for weather sensitive loads.  The same-day adjustments calibrate the unadjusted baselines to avoid over and under predictions for both weather insensitive and weather sensitive customers. </w:t>
      </w:r>
      <w:r>
        <w:t xml:space="preserve"> </w:t>
      </w:r>
      <w:r w:rsidRPr="00050374">
        <w:t xml:space="preserve">Second, the adjustments </w:t>
      </w:r>
      <w:r>
        <w:t xml:space="preserve">tend to be </w:t>
      </w:r>
      <w:r w:rsidRPr="00050374">
        <w:t xml:space="preserve">smaller when loads are aggregated prior to the baseline calculation. </w:t>
      </w:r>
      <w:r>
        <w:t xml:space="preserve"> </w:t>
      </w:r>
      <w:r w:rsidRPr="00050374">
        <w:t xml:space="preserve">Third, relatively few </w:t>
      </w:r>
      <w:r>
        <w:t>settlement portfolio</w:t>
      </w:r>
      <w:r w:rsidRPr="00050374">
        <w:t xml:space="preserve">s and customers require </w:t>
      </w:r>
      <w:r>
        <w:t xml:space="preserve">more than a twofold </w:t>
      </w:r>
      <w:r w:rsidRPr="00050374">
        <w:t xml:space="preserve">adjustment.  </w:t>
      </w:r>
    </w:p>
    <w:p w:rsidR="008B5314" w:rsidRDefault="00116D21" w:rsidP="00464E41">
      <w:pPr>
        <w:pStyle w:val="BodyBeforeBullet"/>
      </w:pPr>
      <w:r w:rsidRPr="00050374">
        <w:t xml:space="preserve">Table </w:t>
      </w:r>
      <w:r>
        <w:t>2</w:t>
      </w:r>
      <w:r w:rsidRPr="00050374">
        <w:t>-</w:t>
      </w:r>
      <w:r>
        <w:t>3</w:t>
      </w:r>
      <w:r w:rsidRPr="00050374">
        <w:t xml:space="preserve"> shows </w:t>
      </w:r>
      <w:r>
        <w:t xml:space="preserve">the share of observations </w:t>
      </w:r>
      <w:r w:rsidRPr="00050374">
        <w:t>by program</w:t>
      </w:r>
      <w:r>
        <w:t xml:space="preserve"> and dispatch option exceeding different </w:t>
      </w:r>
      <w:r w:rsidR="00E535D9">
        <w:t>same-day</w:t>
      </w:r>
      <w:r>
        <w:t xml:space="preserve"> adjustment caps</w:t>
      </w:r>
      <w:r w:rsidRPr="00050374">
        <w:t>.</w:t>
      </w:r>
      <w:r>
        <w:t xml:space="preserve">  T</w:t>
      </w:r>
      <w:r w:rsidRPr="00050374">
        <w:t xml:space="preserve">he table reinforces the point </w:t>
      </w:r>
      <w:r>
        <w:t xml:space="preserve">that </w:t>
      </w:r>
      <w:r w:rsidRPr="00050374">
        <w:t>large adjustment</w:t>
      </w:r>
      <w:r>
        <w:t>s are rarely required.  It also shows that adjustment caps are exceeded less often when baselines are calculated after aggregating loads for each settlement portfolio, particularly when settlement portfolios have a large number of customers such as those in the aggregator contracts.</w:t>
      </w:r>
      <w:r w:rsidR="00CE3792">
        <w:br/>
      </w:r>
    </w:p>
    <w:p w:rsidR="00464E41" w:rsidRDefault="008B5314" w:rsidP="00464E41">
      <w:pPr>
        <w:pStyle w:val="BodyBeforeBullet"/>
        <w:rPr>
          <w:rFonts w:ascii="Arial" w:hAnsi="Arial"/>
          <w:b/>
          <w:sz w:val="20"/>
        </w:rPr>
      </w:pPr>
      <w:r>
        <w:br w:type="column"/>
      </w:r>
    </w:p>
    <w:p w:rsidR="00116D21" w:rsidRDefault="00116D21" w:rsidP="00116D21">
      <w:pPr>
        <w:pStyle w:val="TableFigureCaption"/>
      </w:pPr>
      <w:r w:rsidRPr="00A6181C">
        <w:t xml:space="preserve">Table </w:t>
      </w:r>
      <w:r>
        <w:t>2</w:t>
      </w:r>
      <w:r w:rsidRPr="00A6181C">
        <w:t>-3</w:t>
      </w:r>
      <w:r>
        <w:t xml:space="preserve">: </w:t>
      </w:r>
      <w:r w:rsidRPr="00A6181C">
        <w:t>Share of Observation</w:t>
      </w:r>
      <w:r>
        <w:t>s</w:t>
      </w:r>
      <w:r w:rsidRPr="00A6181C">
        <w:t xml:space="preserve"> Exceeding </w:t>
      </w:r>
      <w:r w:rsidR="00E535D9">
        <w:t>Same-day</w:t>
      </w:r>
      <w:r w:rsidRPr="00A6181C">
        <w:t xml:space="preserve"> Adjustment Thresholds</w:t>
      </w:r>
      <w:r>
        <w:t xml:space="preserve"> </w:t>
      </w:r>
    </w:p>
    <w:tbl>
      <w:tblPr>
        <w:tblW w:w="702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7"/>
        <w:gridCol w:w="1316"/>
        <w:gridCol w:w="1316"/>
        <w:gridCol w:w="960"/>
        <w:gridCol w:w="960"/>
        <w:gridCol w:w="960"/>
        <w:gridCol w:w="960"/>
      </w:tblGrid>
      <w:tr w:rsidR="002606A9" w:rsidRPr="002606A9" w:rsidTr="000E10B0">
        <w:trPr>
          <w:trHeight w:val="450"/>
          <w:jc w:val="center"/>
        </w:trPr>
        <w:tc>
          <w:tcPr>
            <w:tcW w:w="921" w:type="dxa"/>
            <w:vMerge w:val="restart"/>
            <w:tcBorders>
              <w:right w:val="single" w:sz="4" w:space="0" w:color="FFFFFF" w:themeColor="background1"/>
            </w:tcBorders>
            <w:shd w:val="clear" w:color="000000" w:fill="1F497D"/>
            <w:vAlign w:val="center"/>
            <w:hideMark/>
          </w:tcPr>
          <w:p w:rsidR="002606A9" w:rsidRPr="002606A9" w:rsidRDefault="002606A9" w:rsidP="002606A9">
            <w:pPr>
              <w:spacing w:after="0" w:line="240" w:lineRule="auto"/>
              <w:jc w:val="center"/>
              <w:rPr>
                <w:rFonts w:ascii="Arial" w:eastAsia="Times New Roman" w:hAnsi="Arial" w:cs="Arial"/>
                <w:b/>
                <w:bCs/>
                <w:color w:val="FFFFFF"/>
                <w:sz w:val="20"/>
                <w:szCs w:val="20"/>
              </w:rPr>
            </w:pPr>
            <w:r w:rsidRPr="002606A9">
              <w:rPr>
                <w:rFonts w:ascii="Arial" w:eastAsia="Times New Roman" w:hAnsi="Arial" w:cs="Arial"/>
                <w:b/>
                <w:bCs/>
                <w:color w:val="FFFFFF"/>
                <w:sz w:val="20"/>
                <w:szCs w:val="20"/>
              </w:rPr>
              <w:t>Program</w:t>
            </w:r>
          </w:p>
        </w:tc>
        <w:tc>
          <w:tcPr>
            <w:tcW w:w="1130" w:type="dxa"/>
            <w:vMerge w:val="restart"/>
            <w:tcBorders>
              <w:left w:val="single" w:sz="4" w:space="0" w:color="FFFFFF" w:themeColor="background1"/>
              <w:right w:val="single" w:sz="4" w:space="0" w:color="FFFFFF" w:themeColor="background1"/>
            </w:tcBorders>
            <w:shd w:val="clear" w:color="000000" w:fill="1F497D"/>
            <w:vAlign w:val="center"/>
            <w:hideMark/>
          </w:tcPr>
          <w:p w:rsidR="002606A9" w:rsidRPr="002606A9" w:rsidRDefault="002606A9" w:rsidP="002606A9">
            <w:pPr>
              <w:spacing w:after="0" w:line="240" w:lineRule="auto"/>
              <w:jc w:val="center"/>
              <w:rPr>
                <w:rFonts w:ascii="Arial" w:eastAsia="Times New Roman" w:hAnsi="Arial" w:cs="Arial"/>
                <w:b/>
                <w:bCs/>
                <w:color w:val="FFFFFF"/>
                <w:sz w:val="20"/>
                <w:szCs w:val="20"/>
              </w:rPr>
            </w:pPr>
            <w:r w:rsidRPr="002606A9">
              <w:rPr>
                <w:rFonts w:ascii="Arial" w:eastAsia="Times New Roman" w:hAnsi="Arial" w:cs="Arial"/>
                <w:b/>
                <w:bCs/>
                <w:color w:val="FFFFFF"/>
                <w:sz w:val="20"/>
                <w:szCs w:val="20"/>
              </w:rPr>
              <w:t>Adjustment Level</w:t>
            </w:r>
          </w:p>
        </w:tc>
        <w:tc>
          <w:tcPr>
            <w:tcW w:w="1130" w:type="dxa"/>
            <w:vMerge w:val="restart"/>
            <w:tcBorders>
              <w:left w:val="single" w:sz="4" w:space="0" w:color="FFFFFF" w:themeColor="background1"/>
              <w:right w:val="single" w:sz="4" w:space="0" w:color="FFFFFF" w:themeColor="background1"/>
            </w:tcBorders>
            <w:shd w:val="clear" w:color="000000" w:fill="1F497D"/>
            <w:vAlign w:val="center"/>
            <w:hideMark/>
          </w:tcPr>
          <w:p w:rsidR="002606A9" w:rsidRPr="002606A9" w:rsidRDefault="002606A9" w:rsidP="002606A9">
            <w:pPr>
              <w:spacing w:after="0" w:line="240" w:lineRule="auto"/>
              <w:jc w:val="center"/>
              <w:rPr>
                <w:rFonts w:ascii="Arial" w:eastAsia="Times New Roman" w:hAnsi="Arial" w:cs="Arial"/>
                <w:b/>
                <w:bCs/>
                <w:color w:val="FFFFFF"/>
                <w:sz w:val="20"/>
                <w:szCs w:val="20"/>
              </w:rPr>
            </w:pPr>
            <w:r w:rsidRPr="002606A9">
              <w:rPr>
                <w:rFonts w:ascii="Arial" w:eastAsia="Times New Roman" w:hAnsi="Arial" w:cs="Arial"/>
                <w:b/>
                <w:bCs/>
                <w:color w:val="FFFFFF"/>
                <w:sz w:val="20"/>
                <w:szCs w:val="20"/>
              </w:rPr>
              <w:t>Adjustment Direction</w:t>
            </w:r>
          </w:p>
        </w:tc>
        <w:tc>
          <w:tcPr>
            <w:tcW w:w="3840" w:type="dxa"/>
            <w:gridSpan w:val="4"/>
            <w:tcBorders>
              <w:left w:val="single" w:sz="4" w:space="0" w:color="FFFFFF" w:themeColor="background1"/>
              <w:bottom w:val="single" w:sz="4" w:space="0" w:color="FFFFFF" w:themeColor="background1"/>
            </w:tcBorders>
            <w:shd w:val="clear" w:color="000000" w:fill="1F497D"/>
            <w:noWrap/>
            <w:vAlign w:val="center"/>
            <w:hideMark/>
          </w:tcPr>
          <w:p w:rsidR="002606A9" w:rsidRPr="002606A9" w:rsidRDefault="002606A9" w:rsidP="002606A9">
            <w:pPr>
              <w:spacing w:after="0" w:line="240" w:lineRule="auto"/>
              <w:jc w:val="center"/>
              <w:rPr>
                <w:rFonts w:ascii="Arial" w:eastAsia="Times New Roman" w:hAnsi="Arial" w:cs="Arial"/>
                <w:b/>
                <w:bCs/>
                <w:color w:val="FFFFFF"/>
                <w:sz w:val="20"/>
                <w:szCs w:val="20"/>
              </w:rPr>
            </w:pPr>
            <w:r w:rsidRPr="002606A9">
              <w:rPr>
                <w:rFonts w:ascii="Arial" w:eastAsia="Times New Roman" w:hAnsi="Arial" w:cs="Arial"/>
                <w:b/>
                <w:bCs/>
                <w:color w:val="FFFFFF"/>
                <w:sz w:val="20"/>
                <w:szCs w:val="20"/>
              </w:rPr>
              <w:t>Adjustment Cap</w:t>
            </w:r>
          </w:p>
        </w:tc>
      </w:tr>
      <w:tr w:rsidR="002606A9" w:rsidRPr="002606A9" w:rsidTr="000E10B0">
        <w:trPr>
          <w:trHeight w:val="315"/>
          <w:jc w:val="center"/>
        </w:trPr>
        <w:tc>
          <w:tcPr>
            <w:tcW w:w="921" w:type="dxa"/>
            <w:vMerge/>
            <w:tcBorders>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20"/>
                <w:szCs w:val="20"/>
              </w:rPr>
            </w:pPr>
          </w:p>
        </w:tc>
        <w:tc>
          <w:tcPr>
            <w:tcW w:w="1130" w:type="dxa"/>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20"/>
                <w:szCs w:val="20"/>
              </w:rPr>
            </w:pPr>
          </w:p>
        </w:tc>
        <w:tc>
          <w:tcPr>
            <w:tcW w:w="1130" w:type="dxa"/>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20"/>
                <w:szCs w:val="20"/>
              </w:rPr>
            </w:pP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2606A9" w:rsidRPr="002606A9" w:rsidRDefault="002606A9" w:rsidP="002606A9">
            <w:pPr>
              <w:spacing w:after="0" w:line="240" w:lineRule="auto"/>
              <w:jc w:val="center"/>
              <w:rPr>
                <w:rFonts w:ascii="Arial" w:eastAsia="Times New Roman" w:hAnsi="Arial" w:cs="Arial"/>
                <w:b/>
                <w:bCs/>
                <w:color w:val="FFFFFF"/>
                <w:sz w:val="20"/>
                <w:szCs w:val="20"/>
              </w:rPr>
            </w:pPr>
            <w:r w:rsidRPr="002606A9">
              <w:rPr>
                <w:rFonts w:ascii="Arial" w:eastAsia="Times New Roman" w:hAnsi="Arial" w:cs="Arial"/>
                <w:b/>
                <w:bCs/>
                <w:color w:val="FFFFFF"/>
                <w:sz w:val="20"/>
                <w:szCs w:val="20"/>
              </w:rPr>
              <w:t>± 20%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2606A9" w:rsidRPr="002606A9" w:rsidRDefault="002606A9" w:rsidP="002606A9">
            <w:pPr>
              <w:spacing w:after="0" w:line="240" w:lineRule="auto"/>
              <w:jc w:val="center"/>
              <w:rPr>
                <w:rFonts w:ascii="Arial" w:eastAsia="Times New Roman" w:hAnsi="Arial" w:cs="Arial"/>
                <w:b/>
                <w:bCs/>
                <w:color w:val="FFFFFF"/>
                <w:sz w:val="20"/>
                <w:szCs w:val="20"/>
              </w:rPr>
            </w:pPr>
            <w:r w:rsidRPr="002606A9">
              <w:rPr>
                <w:rFonts w:ascii="Arial" w:eastAsia="Times New Roman" w:hAnsi="Arial" w:cs="Arial"/>
                <w:b/>
                <w:bCs/>
                <w:color w:val="FFFFFF"/>
                <w:sz w:val="20"/>
                <w:szCs w:val="20"/>
              </w:rPr>
              <w:t>± 30%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2606A9" w:rsidRPr="002606A9" w:rsidRDefault="002606A9" w:rsidP="002606A9">
            <w:pPr>
              <w:spacing w:after="0" w:line="240" w:lineRule="auto"/>
              <w:jc w:val="center"/>
              <w:rPr>
                <w:rFonts w:ascii="Arial" w:eastAsia="Times New Roman" w:hAnsi="Arial" w:cs="Arial"/>
                <w:b/>
                <w:bCs/>
                <w:color w:val="FFFFFF"/>
                <w:sz w:val="20"/>
                <w:szCs w:val="20"/>
              </w:rPr>
            </w:pPr>
            <w:r w:rsidRPr="002606A9">
              <w:rPr>
                <w:rFonts w:ascii="Arial" w:eastAsia="Times New Roman" w:hAnsi="Arial" w:cs="Arial"/>
                <w:b/>
                <w:bCs/>
                <w:color w:val="FFFFFF"/>
                <w:sz w:val="20"/>
                <w:szCs w:val="20"/>
              </w:rPr>
              <w:t>± 40%</w:t>
            </w:r>
          </w:p>
        </w:tc>
        <w:tc>
          <w:tcPr>
            <w:tcW w:w="960" w:type="dxa"/>
            <w:tcBorders>
              <w:top w:val="single" w:sz="4" w:space="0" w:color="FFFFFF" w:themeColor="background1"/>
              <w:left w:val="single" w:sz="4" w:space="0" w:color="FFFFFF" w:themeColor="background1"/>
            </w:tcBorders>
            <w:shd w:val="clear" w:color="000000" w:fill="1F497D"/>
            <w:vAlign w:val="center"/>
            <w:hideMark/>
          </w:tcPr>
          <w:p w:rsidR="002606A9" w:rsidRPr="002606A9" w:rsidRDefault="002606A9" w:rsidP="002606A9">
            <w:pPr>
              <w:spacing w:after="0" w:line="240" w:lineRule="auto"/>
              <w:jc w:val="center"/>
              <w:rPr>
                <w:rFonts w:ascii="Arial" w:eastAsia="Times New Roman" w:hAnsi="Arial" w:cs="Arial"/>
                <w:b/>
                <w:bCs/>
                <w:color w:val="FFFFFF"/>
                <w:sz w:val="20"/>
                <w:szCs w:val="20"/>
              </w:rPr>
            </w:pPr>
            <w:r w:rsidRPr="002606A9">
              <w:rPr>
                <w:rFonts w:ascii="Arial" w:eastAsia="Times New Roman" w:hAnsi="Arial" w:cs="Arial"/>
                <w:b/>
                <w:bCs/>
                <w:color w:val="FFFFFF"/>
                <w:sz w:val="20"/>
                <w:szCs w:val="20"/>
              </w:rPr>
              <w:t>± 50%</w:t>
            </w:r>
          </w:p>
        </w:tc>
      </w:tr>
      <w:tr w:rsidR="002606A9" w:rsidRPr="002606A9" w:rsidTr="000E10B0">
        <w:trPr>
          <w:trHeight w:val="315"/>
          <w:jc w:val="center"/>
        </w:trPr>
        <w:tc>
          <w:tcPr>
            <w:tcW w:w="921" w:type="dxa"/>
            <w:vMerge w:val="restart"/>
            <w:shd w:val="clear" w:color="auto" w:fill="auto"/>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Aggregator Contracts</w:t>
            </w:r>
          </w:p>
        </w:tc>
        <w:tc>
          <w:tcPr>
            <w:tcW w:w="1130" w:type="dxa"/>
            <w:vMerge w:val="restart"/>
            <w:shd w:val="clear" w:color="auto" w:fill="auto"/>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Aggregate</w:t>
            </w: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Upward</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r>
      <w:tr w:rsidR="002606A9" w:rsidRPr="002606A9" w:rsidTr="000E10B0">
        <w:trPr>
          <w:trHeight w:val="315"/>
          <w:jc w:val="center"/>
        </w:trPr>
        <w:tc>
          <w:tcPr>
            <w:tcW w:w="921"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Downward</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r>
      <w:tr w:rsidR="002606A9" w:rsidRPr="002606A9" w:rsidTr="000E10B0">
        <w:trPr>
          <w:trHeight w:val="315"/>
          <w:jc w:val="center"/>
        </w:trPr>
        <w:tc>
          <w:tcPr>
            <w:tcW w:w="921"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TOTAL</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0.0%</w:t>
            </w:r>
          </w:p>
        </w:tc>
      </w:tr>
      <w:tr w:rsidR="002606A9" w:rsidRPr="002606A9" w:rsidTr="000E10B0">
        <w:trPr>
          <w:trHeight w:val="315"/>
          <w:jc w:val="center"/>
        </w:trPr>
        <w:tc>
          <w:tcPr>
            <w:tcW w:w="921"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vMerge w:val="restart"/>
            <w:shd w:val="clear" w:color="auto" w:fill="auto"/>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Individual</w:t>
            </w: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Upward</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12.6%</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7.9%</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5.7%</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4.0%</w:t>
            </w:r>
          </w:p>
        </w:tc>
      </w:tr>
      <w:tr w:rsidR="002606A9" w:rsidRPr="002606A9" w:rsidTr="000E10B0">
        <w:trPr>
          <w:trHeight w:val="315"/>
          <w:jc w:val="center"/>
        </w:trPr>
        <w:tc>
          <w:tcPr>
            <w:tcW w:w="921"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Downward</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7.6%</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5.0%</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3.8%</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3.2%</w:t>
            </w:r>
          </w:p>
        </w:tc>
      </w:tr>
      <w:tr w:rsidR="002606A9" w:rsidRPr="002606A9" w:rsidTr="000E10B0">
        <w:trPr>
          <w:trHeight w:val="315"/>
          <w:jc w:val="center"/>
        </w:trPr>
        <w:tc>
          <w:tcPr>
            <w:tcW w:w="921"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TOTAL</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20.2%</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12.9%</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9.4%</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7.2%</w:t>
            </w:r>
          </w:p>
        </w:tc>
      </w:tr>
      <w:tr w:rsidR="002606A9" w:rsidRPr="002606A9" w:rsidTr="000E10B0">
        <w:trPr>
          <w:trHeight w:val="315"/>
          <w:jc w:val="center"/>
        </w:trPr>
        <w:tc>
          <w:tcPr>
            <w:tcW w:w="921" w:type="dxa"/>
            <w:vMerge w:val="restart"/>
            <w:shd w:val="clear" w:color="auto" w:fill="auto"/>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CBP</w:t>
            </w:r>
          </w:p>
        </w:tc>
        <w:tc>
          <w:tcPr>
            <w:tcW w:w="1130" w:type="dxa"/>
            <w:vMerge w:val="restart"/>
            <w:shd w:val="clear" w:color="auto" w:fill="auto"/>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Aggregate</w:t>
            </w: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Upward</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7.9%</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3.1%</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1.6%</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1.6%</w:t>
            </w:r>
          </w:p>
        </w:tc>
      </w:tr>
      <w:tr w:rsidR="002606A9" w:rsidRPr="002606A9" w:rsidTr="000E10B0">
        <w:trPr>
          <w:trHeight w:val="315"/>
          <w:jc w:val="center"/>
        </w:trPr>
        <w:tc>
          <w:tcPr>
            <w:tcW w:w="921"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Downward</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15.7%</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3.9%</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3.9%</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3.9%</w:t>
            </w:r>
          </w:p>
        </w:tc>
      </w:tr>
      <w:tr w:rsidR="002606A9" w:rsidRPr="002606A9" w:rsidTr="000E10B0">
        <w:trPr>
          <w:trHeight w:val="315"/>
          <w:jc w:val="center"/>
        </w:trPr>
        <w:tc>
          <w:tcPr>
            <w:tcW w:w="921"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TOTAL</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23.6%</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7.1%</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5.5%</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5.5%</w:t>
            </w:r>
          </w:p>
        </w:tc>
      </w:tr>
      <w:tr w:rsidR="002606A9" w:rsidRPr="002606A9" w:rsidTr="000E10B0">
        <w:trPr>
          <w:trHeight w:val="315"/>
          <w:jc w:val="center"/>
        </w:trPr>
        <w:tc>
          <w:tcPr>
            <w:tcW w:w="921"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vMerge w:val="restart"/>
            <w:shd w:val="clear" w:color="auto" w:fill="auto"/>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Individual</w:t>
            </w: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Upward</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16.5%</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11.4%</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9.2%</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7.3%</w:t>
            </w:r>
          </w:p>
        </w:tc>
      </w:tr>
      <w:tr w:rsidR="002606A9" w:rsidRPr="002606A9" w:rsidTr="000E10B0">
        <w:trPr>
          <w:trHeight w:val="315"/>
          <w:jc w:val="center"/>
        </w:trPr>
        <w:tc>
          <w:tcPr>
            <w:tcW w:w="921"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Downward</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19.3%</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18.3%</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17.3%</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16.3%</w:t>
            </w:r>
          </w:p>
        </w:tc>
      </w:tr>
      <w:tr w:rsidR="002606A9" w:rsidRPr="002606A9" w:rsidTr="000E10B0">
        <w:trPr>
          <w:trHeight w:val="315"/>
          <w:jc w:val="center"/>
        </w:trPr>
        <w:tc>
          <w:tcPr>
            <w:tcW w:w="921"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vMerge/>
            <w:vAlign w:val="center"/>
            <w:hideMark/>
          </w:tcPr>
          <w:p w:rsidR="008B5314" w:rsidRDefault="008B5314">
            <w:pPr>
              <w:spacing w:after="0" w:line="240" w:lineRule="auto"/>
              <w:jc w:val="center"/>
              <w:rPr>
                <w:rFonts w:ascii="Arial" w:eastAsia="Times New Roman" w:hAnsi="Arial" w:cs="Arial"/>
                <w:color w:val="000000"/>
                <w:sz w:val="18"/>
                <w:szCs w:val="18"/>
              </w:rPr>
            </w:pPr>
          </w:p>
        </w:tc>
        <w:tc>
          <w:tcPr>
            <w:tcW w:w="113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TOTAL</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35.8%</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29.7%</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26.6%</w:t>
            </w:r>
          </w:p>
        </w:tc>
        <w:tc>
          <w:tcPr>
            <w:tcW w:w="960" w:type="dxa"/>
            <w:shd w:val="clear" w:color="auto" w:fill="auto"/>
            <w:noWrap/>
            <w:vAlign w:val="center"/>
            <w:hideMark/>
          </w:tcPr>
          <w:p w:rsidR="002606A9" w:rsidRPr="002606A9" w:rsidRDefault="002606A9" w:rsidP="002606A9">
            <w:pPr>
              <w:spacing w:after="0" w:line="240" w:lineRule="auto"/>
              <w:jc w:val="center"/>
              <w:rPr>
                <w:rFonts w:ascii="Arial" w:eastAsia="Times New Roman" w:hAnsi="Arial" w:cs="Arial"/>
                <w:color w:val="000000"/>
                <w:sz w:val="18"/>
                <w:szCs w:val="18"/>
              </w:rPr>
            </w:pPr>
            <w:r w:rsidRPr="002606A9">
              <w:rPr>
                <w:rFonts w:ascii="Arial" w:eastAsia="Times New Roman" w:hAnsi="Arial" w:cs="Arial"/>
                <w:color w:val="000000"/>
                <w:sz w:val="18"/>
                <w:szCs w:val="18"/>
              </w:rPr>
              <w:t>23.7%</w:t>
            </w:r>
          </w:p>
        </w:tc>
      </w:tr>
    </w:tbl>
    <w:p w:rsidR="008B5314" w:rsidRDefault="00116D21">
      <w:pPr>
        <w:pStyle w:val="Heading2"/>
        <w:spacing w:before="360"/>
        <w:ind w:left="547" w:hanging="547"/>
      </w:pPr>
      <w:bookmarkStart w:id="34" w:name="_Toc326055571"/>
      <w:bookmarkStart w:id="35" w:name="_Toc326064043"/>
      <w:bookmarkStart w:id="36" w:name="_Toc318393836"/>
      <w:bookmarkStart w:id="37" w:name="_Toc318789281"/>
      <w:bookmarkStart w:id="38" w:name="_Toc324232554"/>
      <w:bookmarkStart w:id="39" w:name="_Toc326150799"/>
      <w:bookmarkEnd w:id="34"/>
      <w:bookmarkEnd w:id="35"/>
      <w:r>
        <w:t>SCE Event Day Comparison</w:t>
      </w:r>
      <w:bookmarkEnd w:id="36"/>
      <w:bookmarkEnd w:id="37"/>
      <w:bookmarkEnd w:id="38"/>
      <w:bookmarkEnd w:id="39"/>
    </w:p>
    <w:p w:rsidR="00116D21" w:rsidRDefault="00116D21" w:rsidP="00116D21">
      <w:pPr>
        <w:pStyle w:val="BodyParagraph"/>
      </w:pPr>
      <w:r>
        <w:t xml:space="preserve">This section compares the evaluation results to the estimates produced by applying the 32 </w:t>
      </w:r>
      <w:r w:rsidR="00403E51">
        <w:t xml:space="preserve">methods summarized </w:t>
      </w:r>
      <w:r>
        <w:t xml:space="preserve">in Table </w:t>
      </w:r>
      <w:r w:rsidR="0037784F">
        <w:t>1-1</w:t>
      </w:r>
      <w:r>
        <w:t>.  It also discusses the impact of adjusting baselines at the individual level and at the settlement portfolio level on the magnitude of in-day adjustments.</w:t>
      </w:r>
      <w:bookmarkStart w:id="40" w:name="_Toc318789282"/>
      <w:r>
        <w:t xml:space="preserve"> </w:t>
      </w:r>
    </w:p>
    <w:p w:rsidR="00116D21" w:rsidRDefault="00116D21" w:rsidP="00116D21">
      <w:pPr>
        <w:pStyle w:val="Heading3"/>
      </w:pPr>
      <w:bookmarkStart w:id="41" w:name="_Toc324232555"/>
      <w:bookmarkStart w:id="42" w:name="_Toc326150800"/>
      <w:r>
        <w:t>Detailed Comparison of Evaluation and Baseline Results</w:t>
      </w:r>
      <w:bookmarkEnd w:id="40"/>
      <w:bookmarkEnd w:id="41"/>
      <w:bookmarkEnd w:id="42"/>
    </w:p>
    <w:p w:rsidR="00116D21" w:rsidRDefault="00116D21" w:rsidP="00116D21">
      <w:pPr>
        <w:pStyle w:val="BodyParagraph"/>
      </w:pPr>
      <w:r>
        <w:t xml:space="preserve">Table 2-4 shows the demand reductions </w:t>
      </w:r>
      <w:r w:rsidR="00403E51">
        <w:t xml:space="preserve">estimated for </w:t>
      </w:r>
      <w:r>
        <w:t xml:space="preserve">each baseline </w:t>
      </w:r>
      <w:r w:rsidR="00403E51">
        <w:t>method</w:t>
      </w:r>
      <w:r>
        <w:t xml:space="preserve"> for SCE’s </w:t>
      </w:r>
      <w:r w:rsidR="0043181D">
        <w:t xml:space="preserve">DRCC and </w:t>
      </w:r>
      <w:r>
        <w:t xml:space="preserve">CBP programs.  The first row in the table shows the evaluation results and </w:t>
      </w:r>
      <w:r w:rsidR="0043181D">
        <w:t xml:space="preserve">the </w:t>
      </w:r>
      <w:r>
        <w:t xml:space="preserve">row in bold shows the current baseline results. </w:t>
      </w:r>
    </w:p>
    <w:p w:rsidR="00116D21" w:rsidRDefault="00116D21" w:rsidP="00116D21">
      <w:pPr>
        <w:pStyle w:val="BodyParagraph"/>
      </w:pPr>
      <w:r>
        <w:t>For the DRRC-DO and DRRC-DA resources, the baseline and regression results are almost equivalent</w:t>
      </w:r>
      <w:r w:rsidR="00F7630F">
        <w:t xml:space="preserve">.  </w:t>
      </w:r>
      <w:r>
        <w:t>Any gap between the evaluation and baseline results is minimal.  Both day-of and day-ahead customers receive nearly 100% of the EM&amp;V-measured reduction using the current baseline methods</w:t>
      </w:r>
      <w:r w:rsidR="00F7630F">
        <w:t xml:space="preserve">.  </w:t>
      </w:r>
      <w:r>
        <w:t>Thus, using an alternate baseline ca</w:t>
      </w:r>
      <w:r w:rsidR="0043181D">
        <w:t>lculation method would</w:t>
      </w:r>
      <w:r>
        <w:t xml:space="preserve"> not help these customers.</w:t>
      </w:r>
    </w:p>
    <w:p w:rsidR="00116D21" w:rsidRDefault="00116D21" w:rsidP="00116D21">
      <w:pPr>
        <w:pStyle w:val="BodyParagraph"/>
      </w:pPr>
      <w:r>
        <w:t xml:space="preserve">For the CBP-DO resource, the current baseline produces demand reduction estimates that </w:t>
      </w:r>
      <w:r w:rsidR="0043181D">
        <w:t>a</w:t>
      </w:r>
      <w:r>
        <w:t xml:space="preserve">re 89.3% of the evaluation results – that is, the baseline results are lower by 10.7%.  The gap closely matches the downward baseline bias of 11.3% calculated for the current baseline under idealized conditions.  The baseline estimates better align with the evaluation results when the </w:t>
      </w:r>
      <w:r w:rsidR="00E535D9">
        <w:t>same-day</w:t>
      </w:r>
      <w:r>
        <w:t xml:space="preserve"> adjustments are universally applied, although this leads to overestimation of demand reductions by roughly 5%</w:t>
      </w:r>
      <w:r w:rsidR="00F7630F">
        <w:t xml:space="preserve">.  </w:t>
      </w:r>
      <w:r>
        <w:t xml:space="preserve">Accuracy results for universally adjusted </w:t>
      </w:r>
      <w:r w:rsidR="0043181D">
        <w:t>baselines presented in Section 3</w:t>
      </w:r>
      <w:r>
        <w:t xml:space="preserve"> show that they also overestimate demand reductions for event-like days under laboratory-like </w:t>
      </w:r>
      <w:r w:rsidR="0043181D">
        <w:t>conditions</w:t>
      </w:r>
      <w:r>
        <w:t>.</w:t>
      </w:r>
    </w:p>
    <w:p w:rsidR="008B5314" w:rsidRDefault="00116D21">
      <w:pPr>
        <w:pStyle w:val="BodyBeforeBullet"/>
      </w:pPr>
      <w:r>
        <w:t>The gap between the evaluation and current baseline results is largest for SCE’s CBP-DA resource.  The current baseline produces estimates that are, on average, 20% lower than the evaluation results</w:t>
      </w:r>
      <w:r w:rsidR="00F7630F">
        <w:t xml:space="preserve">.  </w:t>
      </w:r>
      <w:r>
        <w:lastRenderedPageBreak/>
        <w:t xml:space="preserve">These customers would benefit from being required to apply same-day adjustment.  If aggregators had elected to apply the same-day adjustment, </w:t>
      </w:r>
      <w:r w:rsidR="00064FAA">
        <w:t xml:space="preserve"> the baseline would have better mirrored the EM&amp;V results</w:t>
      </w:r>
      <w:r>
        <w:t>: applying the same-day adjustment universally leads to demand reduction estimates that are 12% lower than the evaluation results, as opposed to 20% lower with the optional adjustment.  These customers would also benefit from loosening the adjustment cap.</w:t>
      </w:r>
    </w:p>
    <w:p w:rsidR="00CA7291" w:rsidRDefault="00CA7291">
      <w:r>
        <w:br w:type="page"/>
      </w:r>
    </w:p>
    <w:p w:rsidR="00116D21" w:rsidRDefault="00116D21" w:rsidP="00116D21">
      <w:pPr>
        <w:pStyle w:val="TableFigureCaption"/>
      </w:pPr>
      <w:r>
        <w:lastRenderedPageBreak/>
        <w:t xml:space="preserve">Table 2-4: Comparison of Evaluation Results and Demand Reductions </w:t>
      </w:r>
      <w:r w:rsidR="00CA7291">
        <w:br/>
      </w:r>
      <w:r>
        <w:t>Estimated Using the Alternate Baseline Rules</w:t>
      </w:r>
    </w:p>
    <w:tbl>
      <w:tblPr>
        <w:tblW w:w="5000" w:type="pct"/>
        <w:tblLook w:val="04A0"/>
      </w:tblPr>
      <w:tblGrid>
        <w:gridCol w:w="930"/>
        <w:gridCol w:w="938"/>
        <w:gridCol w:w="938"/>
        <w:gridCol w:w="826"/>
        <w:gridCol w:w="827"/>
        <w:gridCol w:w="827"/>
        <w:gridCol w:w="829"/>
        <w:gridCol w:w="829"/>
        <w:gridCol w:w="829"/>
        <w:gridCol w:w="829"/>
        <w:gridCol w:w="816"/>
      </w:tblGrid>
      <w:tr w:rsidR="00116D21" w:rsidRPr="00D15D36" w:rsidTr="00EB384F">
        <w:trPr>
          <w:trHeight w:hRule="exact" w:val="288"/>
        </w:trPr>
        <w:tc>
          <w:tcPr>
            <w:tcW w:w="494" w:type="pct"/>
            <w:vMerge w:val="restart"/>
            <w:tcBorders>
              <w:top w:val="single" w:sz="4" w:space="0" w:color="auto"/>
              <w:left w:val="single" w:sz="4" w:space="0" w:color="auto"/>
              <w:bottom w:val="nil"/>
              <w:right w:val="single" w:sz="8" w:space="0" w:color="FFFFFF"/>
            </w:tcBorders>
            <w:shd w:val="clear" w:color="000000" w:fill="376091"/>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Application of Baselines</w:t>
            </w:r>
          </w:p>
        </w:tc>
        <w:tc>
          <w:tcPr>
            <w:tcW w:w="498" w:type="pct"/>
            <w:vMerge w:val="restart"/>
            <w:tcBorders>
              <w:top w:val="single" w:sz="4" w:space="0" w:color="auto"/>
              <w:left w:val="single" w:sz="8" w:space="0" w:color="FFFFFF"/>
              <w:bottom w:val="nil"/>
              <w:right w:val="single" w:sz="8" w:space="0" w:color="FFFFFF"/>
            </w:tcBorders>
            <w:shd w:val="clear" w:color="000000" w:fill="376091"/>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Adjustment Option</w:t>
            </w:r>
          </w:p>
        </w:tc>
        <w:tc>
          <w:tcPr>
            <w:tcW w:w="498" w:type="pct"/>
            <w:vMerge w:val="restart"/>
            <w:tcBorders>
              <w:top w:val="single" w:sz="4" w:space="0" w:color="auto"/>
              <w:left w:val="single" w:sz="8" w:space="0" w:color="FFFFFF"/>
              <w:bottom w:val="nil"/>
              <w:right w:val="single" w:sz="8" w:space="0" w:color="FFFFFF"/>
            </w:tcBorders>
            <w:shd w:val="clear" w:color="000000" w:fill="376091"/>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Adjustment Cap</w:t>
            </w:r>
          </w:p>
        </w:tc>
        <w:tc>
          <w:tcPr>
            <w:tcW w:w="1757" w:type="pct"/>
            <w:gridSpan w:val="4"/>
            <w:tcBorders>
              <w:top w:val="single" w:sz="4" w:space="0" w:color="auto"/>
              <w:left w:val="nil"/>
              <w:bottom w:val="single" w:sz="4" w:space="0" w:color="FFFFFF" w:themeColor="background1"/>
              <w:right w:val="single" w:sz="8" w:space="0" w:color="FFFFFF"/>
            </w:tcBorders>
            <w:shd w:val="clear" w:color="000000" w:fill="376091"/>
            <w:noWrap/>
            <w:tcMar>
              <w:left w:w="29" w:type="dxa"/>
              <w:right w:w="29" w:type="dxa"/>
            </w:tcMar>
            <w:vAlign w:val="center"/>
            <w:hideMark/>
          </w:tcPr>
          <w:p w:rsidR="00116D21" w:rsidRPr="00D15D36" w:rsidRDefault="0043181D" w:rsidP="00CC2233">
            <w:pPr>
              <w:spacing w:after="0" w:line="240" w:lineRule="auto"/>
              <w:jc w:val="center"/>
              <w:rPr>
                <w:rFonts w:ascii="Arial" w:eastAsia="Times New Roman" w:hAnsi="Arial" w:cs="Arial"/>
                <w:b/>
                <w:bCs/>
                <w:color w:val="FFFFFF"/>
                <w:sz w:val="16"/>
                <w:szCs w:val="16"/>
              </w:rPr>
            </w:pPr>
            <w:r>
              <w:rPr>
                <w:rFonts w:ascii="Arial" w:eastAsia="Times New Roman" w:hAnsi="Arial" w:cs="Arial"/>
                <w:b/>
                <w:bCs/>
                <w:color w:val="FFFFFF"/>
                <w:sz w:val="16"/>
                <w:szCs w:val="16"/>
              </w:rPr>
              <w:t>Demand Response Resource Contracts</w:t>
            </w:r>
            <w:r w:rsidR="00116D21" w:rsidRPr="00D15D36">
              <w:rPr>
                <w:rFonts w:ascii="Arial" w:eastAsia="Times New Roman" w:hAnsi="Arial" w:cs="Arial"/>
                <w:b/>
                <w:bCs/>
                <w:color w:val="FFFFFF"/>
                <w:sz w:val="16"/>
                <w:szCs w:val="16"/>
              </w:rPr>
              <w:t xml:space="preserve"> </w:t>
            </w:r>
          </w:p>
        </w:tc>
        <w:tc>
          <w:tcPr>
            <w:tcW w:w="1754" w:type="pct"/>
            <w:gridSpan w:val="4"/>
            <w:tcBorders>
              <w:top w:val="single" w:sz="4" w:space="0" w:color="auto"/>
              <w:left w:val="nil"/>
              <w:right w:val="single" w:sz="4" w:space="0" w:color="auto"/>
            </w:tcBorders>
            <w:shd w:val="clear" w:color="000000" w:fill="376091"/>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Capacity Bidding Program</w:t>
            </w:r>
          </w:p>
        </w:tc>
      </w:tr>
      <w:tr w:rsidR="00116D21" w:rsidRPr="00D15D36" w:rsidTr="00EB384F">
        <w:trPr>
          <w:trHeight w:hRule="exact" w:val="288"/>
        </w:trPr>
        <w:tc>
          <w:tcPr>
            <w:tcW w:w="494" w:type="pct"/>
            <w:vMerge/>
            <w:tcBorders>
              <w:top w:val="single" w:sz="8" w:space="0" w:color="376091"/>
              <w:left w:val="single" w:sz="4" w:space="0" w:color="auto"/>
              <w:bottom w:val="nil"/>
              <w:right w:val="single" w:sz="8" w:space="0" w:color="FFFFFF"/>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b/>
                <w:bCs/>
                <w:color w:val="FFFFFF"/>
                <w:sz w:val="16"/>
                <w:szCs w:val="16"/>
              </w:rPr>
            </w:pPr>
          </w:p>
        </w:tc>
        <w:tc>
          <w:tcPr>
            <w:tcW w:w="498" w:type="pct"/>
            <w:vMerge/>
            <w:tcBorders>
              <w:top w:val="single" w:sz="8" w:space="0" w:color="376091"/>
              <w:left w:val="single" w:sz="8" w:space="0" w:color="FFFFFF"/>
              <w:bottom w:val="nil"/>
              <w:right w:val="single" w:sz="8" w:space="0" w:color="FFFFFF"/>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b/>
                <w:bCs/>
                <w:color w:val="FFFFFF"/>
                <w:sz w:val="16"/>
                <w:szCs w:val="16"/>
              </w:rPr>
            </w:pPr>
          </w:p>
        </w:tc>
        <w:tc>
          <w:tcPr>
            <w:tcW w:w="498" w:type="pct"/>
            <w:vMerge/>
            <w:tcBorders>
              <w:top w:val="single" w:sz="8" w:space="0" w:color="376091"/>
              <w:left w:val="single" w:sz="8" w:space="0" w:color="FFFFFF"/>
              <w:bottom w:val="nil"/>
              <w:right w:val="single" w:sz="8" w:space="0" w:color="FFFFFF"/>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b/>
                <w:bCs/>
                <w:color w:val="FFFFFF"/>
                <w:sz w:val="16"/>
                <w:szCs w:val="16"/>
              </w:rPr>
            </w:pPr>
          </w:p>
        </w:tc>
        <w:tc>
          <w:tcPr>
            <w:tcW w:w="878" w:type="pct"/>
            <w:gridSpan w:val="2"/>
            <w:tcBorders>
              <w:top w:val="single" w:sz="4" w:space="0" w:color="FFFFFF" w:themeColor="background1"/>
              <w:left w:val="nil"/>
              <w:right w:val="single" w:sz="8" w:space="0" w:color="FFFFFF"/>
            </w:tcBorders>
            <w:shd w:val="clear" w:color="000000" w:fill="376091"/>
            <w:noWrap/>
            <w:tcMar>
              <w:left w:w="29" w:type="dxa"/>
              <w:right w:w="29" w:type="dxa"/>
            </w:tcMar>
            <w:vAlign w:val="center"/>
            <w:hideMark/>
          </w:tcPr>
          <w:p w:rsidR="00116D21" w:rsidRPr="00D15D36" w:rsidRDefault="00116D21" w:rsidP="00B523D8">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Day-</w:t>
            </w:r>
            <w:r w:rsidR="00B523D8">
              <w:rPr>
                <w:rFonts w:ascii="Arial" w:eastAsia="Times New Roman" w:hAnsi="Arial" w:cs="Arial"/>
                <w:b/>
                <w:bCs/>
                <w:color w:val="FFFFFF"/>
                <w:sz w:val="16"/>
                <w:szCs w:val="16"/>
              </w:rPr>
              <w:t>o</w:t>
            </w:r>
            <w:r w:rsidRPr="00D15D36">
              <w:rPr>
                <w:rFonts w:ascii="Arial" w:eastAsia="Times New Roman" w:hAnsi="Arial" w:cs="Arial"/>
                <w:b/>
                <w:bCs/>
                <w:color w:val="FFFFFF"/>
                <w:sz w:val="16"/>
                <w:szCs w:val="16"/>
              </w:rPr>
              <w:t>f</w:t>
            </w:r>
          </w:p>
        </w:tc>
        <w:tc>
          <w:tcPr>
            <w:tcW w:w="879" w:type="pct"/>
            <w:gridSpan w:val="2"/>
            <w:tcBorders>
              <w:top w:val="single" w:sz="4" w:space="0" w:color="FFFFFF" w:themeColor="background1"/>
              <w:left w:val="nil"/>
              <w:right w:val="single" w:sz="8" w:space="0" w:color="FFFFFF"/>
            </w:tcBorders>
            <w:shd w:val="clear" w:color="000000" w:fill="376091"/>
            <w:noWrap/>
            <w:tcMar>
              <w:left w:w="29" w:type="dxa"/>
              <w:right w:w="29" w:type="dxa"/>
            </w:tcMar>
            <w:vAlign w:val="center"/>
            <w:hideMark/>
          </w:tcPr>
          <w:p w:rsidR="00116D21" w:rsidRPr="00D15D36" w:rsidRDefault="00116D21" w:rsidP="00B523D8">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Day-</w:t>
            </w:r>
            <w:r w:rsidR="00B523D8">
              <w:rPr>
                <w:rFonts w:ascii="Arial" w:eastAsia="Times New Roman" w:hAnsi="Arial" w:cs="Arial"/>
                <w:b/>
                <w:bCs/>
                <w:color w:val="FFFFFF"/>
                <w:sz w:val="16"/>
                <w:szCs w:val="16"/>
              </w:rPr>
              <w:t>a</w:t>
            </w:r>
            <w:r w:rsidRPr="00D15D36">
              <w:rPr>
                <w:rFonts w:ascii="Arial" w:eastAsia="Times New Roman" w:hAnsi="Arial" w:cs="Arial"/>
                <w:b/>
                <w:bCs/>
                <w:color w:val="FFFFFF"/>
                <w:sz w:val="16"/>
                <w:szCs w:val="16"/>
              </w:rPr>
              <w:t>head</w:t>
            </w:r>
          </w:p>
        </w:tc>
        <w:tc>
          <w:tcPr>
            <w:tcW w:w="880" w:type="pct"/>
            <w:gridSpan w:val="2"/>
            <w:tcBorders>
              <w:top w:val="single" w:sz="4" w:space="0" w:color="FFFFFF" w:themeColor="background1"/>
              <w:left w:val="nil"/>
              <w:right w:val="single" w:sz="8" w:space="0" w:color="FFFFFF"/>
            </w:tcBorders>
            <w:shd w:val="clear" w:color="000000" w:fill="376091"/>
            <w:noWrap/>
            <w:tcMar>
              <w:left w:w="29" w:type="dxa"/>
              <w:right w:w="29" w:type="dxa"/>
            </w:tcMar>
            <w:vAlign w:val="center"/>
            <w:hideMark/>
          </w:tcPr>
          <w:p w:rsidR="00116D21" w:rsidRPr="00D15D36" w:rsidRDefault="00B523D8" w:rsidP="00CC2233">
            <w:pPr>
              <w:spacing w:after="0" w:line="240" w:lineRule="auto"/>
              <w:jc w:val="center"/>
              <w:rPr>
                <w:rFonts w:ascii="Arial" w:eastAsia="Times New Roman" w:hAnsi="Arial" w:cs="Arial"/>
                <w:b/>
                <w:bCs/>
                <w:color w:val="FFFFFF"/>
                <w:sz w:val="16"/>
                <w:szCs w:val="16"/>
              </w:rPr>
            </w:pPr>
            <w:r>
              <w:rPr>
                <w:rFonts w:ascii="Arial" w:eastAsia="Times New Roman" w:hAnsi="Arial" w:cs="Arial"/>
                <w:b/>
                <w:bCs/>
                <w:color w:val="FFFFFF"/>
                <w:sz w:val="16"/>
                <w:szCs w:val="16"/>
              </w:rPr>
              <w:t>Day-o</w:t>
            </w:r>
            <w:r w:rsidR="00116D21" w:rsidRPr="00D15D36">
              <w:rPr>
                <w:rFonts w:ascii="Arial" w:eastAsia="Times New Roman" w:hAnsi="Arial" w:cs="Arial"/>
                <w:b/>
                <w:bCs/>
                <w:color w:val="FFFFFF"/>
                <w:sz w:val="16"/>
                <w:szCs w:val="16"/>
              </w:rPr>
              <w:t>f</w:t>
            </w:r>
          </w:p>
        </w:tc>
        <w:tc>
          <w:tcPr>
            <w:tcW w:w="873" w:type="pct"/>
            <w:gridSpan w:val="2"/>
            <w:tcBorders>
              <w:top w:val="single" w:sz="4" w:space="0" w:color="FFFFFF" w:themeColor="background1"/>
              <w:left w:val="nil"/>
              <w:right w:val="single" w:sz="4" w:space="0" w:color="auto"/>
            </w:tcBorders>
            <w:shd w:val="clear" w:color="000000" w:fill="376091"/>
            <w:noWrap/>
            <w:tcMar>
              <w:left w:w="29" w:type="dxa"/>
              <w:right w:w="29" w:type="dxa"/>
            </w:tcMar>
            <w:vAlign w:val="center"/>
            <w:hideMark/>
          </w:tcPr>
          <w:p w:rsidR="00116D21" w:rsidRPr="00D15D36" w:rsidRDefault="00116D21" w:rsidP="00B523D8">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Day-</w:t>
            </w:r>
            <w:r w:rsidR="00B523D8">
              <w:rPr>
                <w:rFonts w:ascii="Arial" w:eastAsia="Times New Roman" w:hAnsi="Arial" w:cs="Arial"/>
                <w:b/>
                <w:bCs/>
                <w:color w:val="FFFFFF"/>
                <w:sz w:val="16"/>
                <w:szCs w:val="16"/>
              </w:rPr>
              <w:t>a</w:t>
            </w:r>
            <w:r w:rsidRPr="00D15D36">
              <w:rPr>
                <w:rFonts w:ascii="Arial" w:eastAsia="Times New Roman" w:hAnsi="Arial" w:cs="Arial"/>
                <w:b/>
                <w:bCs/>
                <w:color w:val="FFFFFF"/>
                <w:sz w:val="16"/>
                <w:szCs w:val="16"/>
              </w:rPr>
              <w:t>head</w:t>
            </w:r>
          </w:p>
        </w:tc>
      </w:tr>
      <w:tr w:rsidR="00B523D8" w:rsidRPr="00D15D36" w:rsidTr="00EB384F">
        <w:trPr>
          <w:trHeight w:val="844"/>
        </w:trPr>
        <w:tc>
          <w:tcPr>
            <w:tcW w:w="494" w:type="pct"/>
            <w:vMerge/>
            <w:tcBorders>
              <w:top w:val="single" w:sz="8" w:space="0" w:color="376091"/>
              <w:left w:val="single" w:sz="4" w:space="0" w:color="auto"/>
              <w:bottom w:val="nil"/>
              <w:right w:val="single" w:sz="8" w:space="0" w:color="FFFFFF"/>
            </w:tcBorders>
            <w:tcMar>
              <w:left w:w="29" w:type="dxa"/>
              <w:right w:w="29" w:type="dxa"/>
            </w:tcMar>
            <w:vAlign w:val="center"/>
            <w:hideMark/>
          </w:tcPr>
          <w:p w:rsidR="00B523D8" w:rsidRPr="00D15D36" w:rsidRDefault="00B523D8" w:rsidP="00CC2233">
            <w:pPr>
              <w:spacing w:after="0" w:line="240" w:lineRule="auto"/>
              <w:rPr>
                <w:rFonts w:ascii="Arial" w:eastAsia="Times New Roman" w:hAnsi="Arial" w:cs="Arial"/>
                <w:b/>
                <w:bCs/>
                <w:color w:val="FFFFFF"/>
                <w:sz w:val="16"/>
                <w:szCs w:val="16"/>
              </w:rPr>
            </w:pPr>
          </w:p>
        </w:tc>
        <w:tc>
          <w:tcPr>
            <w:tcW w:w="498" w:type="pct"/>
            <w:vMerge/>
            <w:tcBorders>
              <w:top w:val="single" w:sz="8" w:space="0" w:color="376091"/>
              <w:left w:val="single" w:sz="8" w:space="0" w:color="FFFFFF"/>
              <w:bottom w:val="nil"/>
              <w:right w:val="single" w:sz="8" w:space="0" w:color="FFFFFF"/>
            </w:tcBorders>
            <w:tcMar>
              <w:left w:w="29" w:type="dxa"/>
              <w:right w:w="29" w:type="dxa"/>
            </w:tcMar>
            <w:vAlign w:val="center"/>
            <w:hideMark/>
          </w:tcPr>
          <w:p w:rsidR="00B523D8" w:rsidRPr="00D15D36" w:rsidRDefault="00B523D8" w:rsidP="00CC2233">
            <w:pPr>
              <w:spacing w:after="0" w:line="240" w:lineRule="auto"/>
              <w:rPr>
                <w:rFonts w:ascii="Arial" w:eastAsia="Times New Roman" w:hAnsi="Arial" w:cs="Arial"/>
                <w:b/>
                <w:bCs/>
                <w:color w:val="FFFFFF"/>
                <w:sz w:val="16"/>
                <w:szCs w:val="16"/>
              </w:rPr>
            </w:pPr>
          </w:p>
        </w:tc>
        <w:tc>
          <w:tcPr>
            <w:tcW w:w="498" w:type="pct"/>
            <w:vMerge/>
            <w:tcBorders>
              <w:top w:val="single" w:sz="8" w:space="0" w:color="376091"/>
              <w:left w:val="single" w:sz="8" w:space="0" w:color="FFFFFF"/>
              <w:bottom w:val="nil"/>
              <w:right w:val="single" w:sz="8" w:space="0" w:color="FFFFFF"/>
            </w:tcBorders>
            <w:tcMar>
              <w:left w:w="29" w:type="dxa"/>
              <w:right w:w="29" w:type="dxa"/>
            </w:tcMar>
            <w:vAlign w:val="center"/>
            <w:hideMark/>
          </w:tcPr>
          <w:p w:rsidR="00B523D8" w:rsidRPr="00D15D36" w:rsidRDefault="00B523D8" w:rsidP="00CC2233">
            <w:pPr>
              <w:spacing w:after="0" w:line="240" w:lineRule="auto"/>
              <w:rPr>
                <w:rFonts w:ascii="Arial" w:eastAsia="Times New Roman" w:hAnsi="Arial" w:cs="Arial"/>
                <w:b/>
                <w:bCs/>
                <w:color w:val="FFFFFF"/>
                <w:sz w:val="16"/>
                <w:szCs w:val="16"/>
              </w:rPr>
            </w:pPr>
          </w:p>
        </w:tc>
        <w:tc>
          <w:tcPr>
            <w:tcW w:w="439" w:type="pct"/>
            <w:tcBorders>
              <w:top w:val="single" w:sz="4" w:space="0" w:color="FFFFFF" w:themeColor="background1"/>
              <w:left w:val="single" w:sz="8" w:space="0" w:color="FFFFFF"/>
              <w:bottom w:val="nil"/>
              <w:right w:val="single" w:sz="8" w:space="0" w:color="FFFFFF"/>
            </w:tcBorders>
            <w:shd w:val="clear" w:color="000000" w:fill="376091"/>
            <w:tcMar>
              <w:left w:w="29" w:type="dxa"/>
              <w:right w:w="29" w:type="dxa"/>
            </w:tcMar>
            <w:vAlign w:val="center"/>
            <w:hideMark/>
          </w:tcPr>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Estimated Impacts</w:t>
            </w:r>
          </w:p>
        </w:tc>
        <w:tc>
          <w:tcPr>
            <w:tcW w:w="439" w:type="pct"/>
            <w:tcBorders>
              <w:top w:val="single" w:sz="4" w:space="0" w:color="FFFFFF" w:themeColor="background1"/>
              <w:left w:val="nil"/>
              <w:right w:val="single" w:sz="8" w:space="0" w:color="FFFFFF"/>
            </w:tcBorders>
            <w:shd w:val="clear" w:color="000000" w:fill="376091"/>
            <w:tcMar>
              <w:left w:w="29" w:type="dxa"/>
              <w:right w:w="29" w:type="dxa"/>
            </w:tcMar>
            <w:vAlign w:val="center"/>
            <w:hideMark/>
          </w:tcPr>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w:t>
            </w:r>
          </w:p>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of M&amp;E</w:t>
            </w:r>
          </w:p>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Results</w:t>
            </w:r>
          </w:p>
        </w:tc>
        <w:tc>
          <w:tcPr>
            <w:tcW w:w="439" w:type="pct"/>
            <w:tcBorders>
              <w:top w:val="single" w:sz="4" w:space="0" w:color="FFFFFF" w:themeColor="background1"/>
              <w:left w:val="single" w:sz="8" w:space="0" w:color="FFFFFF"/>
              <w:bottom w:val="nil"/>
              <w:right w:val="single" w:sz="8" w:space="0" w:color="FFFFFF"/>
            </w:tcBorders>
            <w:shd w:val="clear" w:color="000000" w:fill="376091"/>
            <w:tcMar>
              <w:left w:w="29" w:type="dxa"/>
              <w:right w:w="29" w:type="dxa"/>
            </w:tcMar>
            <w:vAlign w:val="center"/>
            <w:hideMark/>
          </w:tcPr>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Estimated Impacts</w:t>
            </w:r>
          </w:p>
        </w:tc>
        <w:tc>
          <w:tcPr>
            <w:tcW w:w="440" w:type="pct"/>
            <w:tcBorders>
              <w:top w:val="single" w:sz="4" w:space="0" w:color="FFFFFF" w:themeColor="background1"/>
              <w:left w:val="nil"/>
              <w:right w:val="single" w:sz="8" w:space="0" w:color="FFFFFF"/>
            </w:tcBorders>
            <w:shd w:val="clear" w:color="000000" w:fill="376091"/>
            <w:tcMar>
              <w:left w:w="29" w:type="dxa"/>
              <w:right w:w="29" w:type="dxa"/>
            </w:tcMar>
            <w:vAlign w:val="center"/>
            <w:hideMark/>
          </w:tcPr>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w:t>
            </w:r>
          </w:p>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of M&amp;E</w:t>
            </w:r>
          </w:p>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Results</w:t>
            </w:r>
          </w:p>
        </w:tc>
        <w:tc>
          <w:tcPr>
            <w:tcW w:w="440" w:type="pct"/>
            <w:tcBorders>
              <w:top w:val="single" w:sz="4" w:space="0" w:color="FFFFFF" w:themeColor="background1"/>
              <w:left w:val="single" w:sz="8" w:space="0" w:color="FFFFFF"/>
              <w:bottom w:val="nil"/>
              <w:right w:val="single" w:sz="8" w:space="0" w:color="FFFFFF"/>
            </w:tcBorders>
            <w:shd w:val="clear" w:color="000000" w:fill="376091"/>
            <w:tcMar>
              <w:left w:w="29" w:type="dxa"/>
              <w:right w:w="29" w:type="dxa"/>
            </w:tcMar>
            <w:vAlign w:val="center"/>
            <w:hideMark/>
          </w:tcPr>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Estimated Impacts</w:t>
            </w:r>
          </w:p>
        </w:tc>
        <w:tc>
          <w:tcPr>
            <w:tcW w:w="440" w:type="pct"/>
            <w:tcBorders>
              <w:top w:val="single" w:sz="4" w:space="0" w:color="FFFFFF" w:themeColor="background1"/>
              <w:left w:val="nil"/>
              <w:right w:val="single" w:sz="8" w:space="0" w:color="FFFFFF"/>
            </w:tcBorders>
            <w:shd w:val="clear" w:color="000000" w:fill="376091"/>
            <w:tcMar>
              <w:left w:w="29" w:type="dxa"/>
              <w:right w:w="29" w:type="dxa"/>
            </w:tcMar>
            <w:vAlign w:val="center"/>
            <w:hideMark/>
          </w:tcPr>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w:t>
            </w:r>
          </w:p>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of M&amp;E</w:t>
            </w:r>
          </w:p>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Results</w:t>
            </w:r>
          </w:p>
        </w:tc>
        <w:tc>
          <w:tcPr>
            <w:tcW w:w="440" w:type="pct"/>
            <w:tcBorders>
              <w:top w:val="single" w:sz="4" w:space="0" w:color="FFFFFF" w:themeColor="background1"/>
              <w:left w:val="single" w:sz="8" w:space="0" w:color="FFFFFF"/>
              <w:bottom w:val="nil"/>
              <w:right w:val="single" w:sz="8" w:space="0" w:color="FFFFFF"/>
            </w:tcBorders>
            <w:shd w:val="clear" w:color="000000" w:fill="376091"/>
            <w:tcMar>
              <w:left w:w="29" w:type="dxa"/>
              <w:right w:w="29" w:type="dxa"/>
            </w:tcMar>
            <w:vAlign w:val="center"/>
            <w:hideMark/>
          </w:tcPr>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Estimated Impacts</w:t>
            </w:r>
          </w:p>
        </w:tc>
        <w:tc>
          <w:tcPr>
            <w:tcW w:w="433" w:type="pct"/>
            <w:tcBorders>
              <w:top w:val="single" w:sz="4" w:space="0" w:color="FFFFFF" w:themeColor="background1"/>
              <w:left w:val="nil"/>
              <w:right w:val="single" w:sz="4" w:space="0" w:color="auto"/>
            </w:tcBorders>
            <w:shd w:val="clear" w:color="000000" w:fill="376091"/>
            <w:tcMar>
              <w:left w:w="29" w:type="dxa"/>
              <w:right w:w="29" w:type="dxa"/>
            </w:tcMar>
            <w:vAlign w:val="center"/>
            <w:hideMark/>
          </w:tcPr>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w:t>
            </w:r>
          </w:p>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of M&amp;E</w:t>
            </w:r>
          </w:p>
          <w:p w:rsidR="00B523D8" w:rsidRPr="00D15D36" w:rsidRDefault="00B523D8" w:rsidP="00CC2233">
            <w:pPr>
              <w:spacing w:after="0" w:line="240" w:lineRule="auto"/>
              <w:jc w:val="center"/>
              <w:rPr>
                <w:rFonts w:ascii="Arial" w:eastAsia="Times New Roman" w:hAnsi="Arial" w:cs="Arial"/>
                <w:b/>
                <w:bCs/>
                <w:color w:val="FFFFFF"/>
                <w:sz w:val="16"/>
                <w:szCs w:val="16"/>
              </w:rPr>
            </w:pPr>
            <w:r w:rsidRPr="00D15D36">
              <w:rPr>
                <w:rFonts w:ascii="Arial" w:eastAsia="Times New Roman" w:hAnsi="Arial" w:cs="Arial"/>
                <w:b/>
                <w:bCs/>
                <w:color w:val="FFFFFF"/>
                <w:sz w:val="16"/>
                <w:szCs w:val="16"/>
              </w:rPr>
              <w:t>Results</w:t>
            </w:r>
          </w:p>
        </w:tc>
      </w:tr>
      <w:tr w:rsidR="00116D21" w:rsidRPr="00D15D36" w:rsidTr="00CC2233">
        <w:trPr>
          <w:trHeight w:hRule="exact" w:val="288"/>
        </w:trPr>
        <w:tc>
          <w:tcPr>
            <w:tcW w:w="1490" w:type="pct"/>
            <w:gridSpan w:val="3"/>
            <w:tcBorders>
              <w:top w:val="single" w:sz="8" w:space="0" w:color="auto"/>
              <w:left w:val="single" w:sz="8" w:space="0" w:color="auto"/>
              <w:bottom w:val="single" w:sz="8" w:space="0" w:color="auto"/>
              <w:right w:val="single" w:sz="8" w:space="0" w:color="auto"/>
            </w:tcBorders>
            <w:shd w:val="clear" w:color="000000" w:fill="FFFFFF"/>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M&amp;E Result</w:t>
            </w:r>
          </w:p>
        </w:tc>
        <w:tc>
          <w:tcPr>
            <w:tcW w:w="439" w:type="pct"/>
            <w:tcBorders>
              <w:top w:val="single" w:sz="8" w:space="0" w:color="auto"/>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81.4</w:t>
            </w:r>
          </w:p>
        </w:tc>
        <w:tc>
          <w:tcPr>
            <w:tcW w:w="439" w:type="pct"/>
            <w:tcBorders>
              <w:top w:val="single" w:sz="8" w:space="0" w:color="auto"/>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6F0A13" w:rsidP="00CC223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r w:rsidR="00116D21" w:rsidRPr="00D15D36">
              <w:rPr>
                <w:rFonts w:ascii="Arial" w:eastAsia="Times New Roman" w:hAnsi="Arial" w:cs="Arial"/>
                <w:color w:val="000000"/>
                <w:sz w:val="16"/>
                <w:szCs w:val="16"/>
              </w:rPr>
              <w:t> </w:t>
            </w:r>
          </w:p>
        </w:tc>
        <w:tc>
          <w:tcPr>
            <w:tcW w:w="439" w:type="pct"/>
            <w:tcBorders>
              <w:top w:val="single" w:sz="8" w:space="0" w:color="auto"/>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17.4</w:t>
            </w:r>
          </w:p>
        </w:tc>
        <w:tc>
          <w:tcPr>
            <w:tcW w:w="440" w:type="pct"/>
            <w:tcBorders>
              <w:top w:val="single" w:sz="8" w:space="0" w:color="auto"/>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6F0A13" w:rsidP="00CC223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r w:rsidR="00116D21" w:rsidRPr="00D15D36">
              <w:rPr>
                <w:rFonts w:ascii="Arial" w:eastAsia="Times New Roman" w:hAnsi="Arial" w:cs="Arial"/>
                <w:color w:val="000000"/>
                <w:sz w:val="16"/>
                <w:szCs w:val="16"/>
              </w:rPr>
              <w:t> </w:t>
            </w:r>
          </w:p>
        </w:tc>
        <w:tc>
          <w:tcPr>
            <w:tcW w:w="440" w:type="pct"/>
            <w:tcBorders>
              <w:top w:val="single" w:sz="8" w:space="0" w:color="auto"/>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15.2</w:t>
            </w:r>
          </w:p>
        </w:tc>
        <w:tc>
          <w:tcPr>
            <w:tcW w:w="440" w:type="pct"/>
            <w:tcBorders>
              <w:top w:val="single" w:sz="8" w:space="0" w:color="auto"/>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6F0A13" w:rsidP="00CC223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r w:rsidR="00116D21" w:rsidRPr="00D15D36">
              <w:rPr>
                <w:rFonts w:ascii="Arial" w:eastAsia="Times New Roman" w:hAnsi="Arial" w:cs="Arial"/>
                <w:color w:val="000000"/>
                <w:sz w:val="16"/>
                <w:szCs w:val="16"/>
              </w:rPr>
              <w:t> </w:t>
            </w:r>
          </w:p>
        </w:tc>
        <w:tc>
          <w:tcPr>
            <w:tcW w:w="440" w:type="pct"/>
            <w:tcBorders>
              <w:top w:val="single" w:sz="8" w:space="0" w:color="auto"/>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4.0</w:t>
            </w:r>
          </w:p>
        </w:tc>
        <w:tc>
          <w:tcPr>
            <w:tcW w:w="433" w:type="pct"/>
            <w:tcBorders>
              <w:top w:val="single" w:sz="8" w:space="0" w:color="auto"/>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w:t>
            </w:r>
          </w:p>
        </w:tc>
      </w:tr>
      <w:tr w:rsidR="00116D21" w:rsidRPr="00D15D36" w:rsidTr="00CC2233">
        <w:trPr>
          <w:trHeight w:hRule="exact" w:val="288"/>
        </w:trPr>
        <w:tc>
          <w:tcPr>
            <w:tcW w:w="494" w:type="pct"/>
            <w:vMerge w:val="restart"/>
            <w:tcBorders>
              <w:top w:val="nil"/>
              <w:left w:val="single" w:sz="8" w:space="0" w:color="auto"/>
              <w:bottom w:val="single" w:sz="8" w:space="0" w:color="000000"/>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Individual</w:t>
            </w:r>
          </w:p>
        </w:tc>
        <w:tc>
          <w:tcPr>
            <w:tcW w:w="498" w:type="pct"/>
            <w:vMerge w:val="restart"/>
            <w:tcBorders>
              <w:top w:val="nil"/>
              <w:left w:val="single" w:sz="8" w:space="0" w:color="auto"/>
              <w:bottom w:val="single" w:sz="8" w:space="0" w:color="000000"/>
              <w:right w:val="single" w:sz="8" w:space="0" w:color="auto"/>
            </w:tcBorders>
            <w:shd w:val="clear" w:color="auto" w:fill="auto"/>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Aggregator Choice</w:t>
            </w: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F7630F" w:rsidP="00F7630F">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Unadjusted</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72.7</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89.3%</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16.4</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94.2%</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11.1</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72.8%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2.1</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52.2%</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000000"/>
                <w:sz w:val="16"/>
                <w:szCs w:val="16"/>
              </w:rPr>
            </w:pPr>
            <w:r w:rsidRPr="00D15D36">
              <w:rPr>
                <w:rFonts w:ascii="Arial" w:eastAsia="Times New Roman" w:hAnsi="Arial" w:cs="Arial"/>
                <w:b/>
                <w:bCs/>
                <w:color w:val="000000"/>
                <w:sz w:val="16"/>
                <w:szCs w:val="16"/>
              </w:rPr>
              <w:t xml:space="preserve">20% </w:t>
            </w:r>
            <w:r w:rsidRPr="00D15D36">
              <w:rPr>
                <w:rFonts w:ascii="Arial" w:eastAsia="Times New Roman" w:hAnsi="Arial" w:cs="Arial"/>
                <w:b/>
                <w:bCs/>
                <w:color w:val="000000"/>
                <w:sz w:val="16"/>
                <w:szCs w:val="16"/>
                <w:vertAlign w:val="superscript"/>
              </w:rPr>
              <w:t>[1]</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000000"/>
                <w:sz w:val="16"/>
                <w:szCs w:val="16"/>
              </w:rPr>
            </w:pPr>
            <w:r w:rsidRPr="00D15D36">
              <w:rPr>
                <w:rFonts w:ascii="Arial" w:eastAsia="Times New Roman" w:hAnsi="Arial" w:cs="Arial"/>
                <w:b/>
                <w:bCs/>
                <w:color w:val="000000"/>
                <w:sz w:val="16"/>
                <w:szCs w:val="16"/>
              </w:rPr>
              <w:t>81.8</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000000"/>
                <w:sz w:val="16"/>
                <w:szCs w:val="16"/>
              </w:rPr>
            </w:pPr>
            <w:r w:rsidRPr="00D15D36">
              <w:rPr>
                <w:rFonts w:ascii="Arial" w:eastAsia="Times New Roman" w:hAnsi="Arial" w:cs="Arial"/>
                <w:b/>
                <w:bCs/>
                <w:color w:val="000000"/>
                <w:sz w:val="16"/>
                <w:szCs w:val="16"/>
              </w:rPr>
              <w:t>100.5%</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000000"/>
                <w:sz w:val="16"/>
                <w:szCs w:val="16"/>
              </w:rPr>
            </w:pPr>
            <w:r w:rsidRPr="00D15D36">
              <w:rPr>
                <w:rFonts w:ascii="Arial" w:eastAsia="Times New Roman" w:hAnsi="Arial" w:cs="Arial"/>
                <w:b/>
                <w:bCs/>
                <w:color w:val="000000"/>
                <w:sz w:val="16"/>
                <w:szCs w:val="16"/>
              </w:rPr>
              <w:t>17.0</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000000"/>
                <w:sz w:val="16"/>
                <w:szCs w:val="16"/>
              </w:rPr>
            </w:pPr>
            <w:r w:rsidRPr="00D15D36">
              <w:rPr>
                <w:rFonts w:ascii="Arial" w:eastAsia="Times New Roman" w:hAnsi="Arial" w:cs="Arial"/>
                <w:b/>
                <w:bCs/>
                <w:color w:val="000000"/>
                <w:sz w:val="16"/>
                <w:szCs w:val="16"/>
              </w:rPr>
              <w:t>97.9%</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000000"/>
                <w:sz w:val="16"/>
                <w:szCs w:val="16"/>
              </w:rPr>
            </w:pPr>
            <w:r w:rsidRPr="00D15D36">
              <w:rPr>
                <w:rFonts w:ascii="Arial" w:eastAsia="Times New Roman" w:hAnsi="Arial" w:cs="Arial"/>
                <w:b/>
                <w:bCs/>
                <w:color w:val="000000"/>
                <w:sz w:val="16"/>
                <w:szCs w:val="16"/>
              </w:rPr>
              <w:t>13.6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000000"/>
                <w:sz w:val="16"/>
                <w:szCs w:val="16"/>
              </w:rPr>
            </w:pPr>
            <w:r w:rsidRPr="00D15D36">
              <w:rPr>
                <w:rFonts w:ascii="Arial" w:eastAsia="Times New Roman" w:hAnsi="Arial" w:cs="Arial"/>
                <w:b/>
                <w:bCs/>
                <w:color w:val="000000"/>
                <w:sz w:val="16"/>
                <w:szCs w:val="16"/>
              </w:rPr>
              <w:t>89.3%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000000"/>
                <w:sz w:val="16"/>
                <w:szCs w:val="16"/>
              </w:rPr>
            </w:pPr>
            <w:r w:rsidRPr="00D15D36">
              <w:rPr>
                <w:rFonts w:ascii="Arial" w:eastAsia="Times New Roman" w:hAnsi="Arial" w:cs="Arial"/>
                <w:b/>
                <w:bCs/>
                <w:color w:val="000000"/>
                <w:sz w:val="16"/>
                <w:szCs w:val="16"/>
              </w:rPr>
              <w:t>3.2</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b/>
                <w:bCs/>
                <w:color w:val="000000"/>
                <w:sz w:val="16"/>
                <w:szCs w:val="16"/>
              </w:rPr>
            </w:pPr>
            <w:r w:rsidRPr="00D15D36">
              <w:rPr>
                <w:rFonts w:ascii="Arial" w:eastAsia="Times New Roman" w:hAnsi="Arial" w:cs="Arial"/>
                <w:b/>
                <w:bCs/>
                <w:color w:val="000000"/>
                <w:sz w:val="16"/>
                <w:szCs w:val="16"/>
              </w:rPr>
              <w:t>79.9%</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82.3</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101.0%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96.7%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3.2</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81.7%</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35%</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82.3</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101.0%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96.4%</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3.3</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82.0%</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40%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82.2</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96.2%</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3.3</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82.4%</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50%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82.1</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100.8%</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95.7%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3.3</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82.9%</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2x</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83.2</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102.2%</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16.9</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97.2%</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3.4</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84.4%</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F7630F" w:rsidP="00CC223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Unlimited</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84.3</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103.5%</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16.4</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94.6%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3.4</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84.6%</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val="restart"/>
            <w:tcBorders>
              <w:top w:val="nil"/>
              <w:left w:val="single" w:sz="8" w:space="0" w:color="auto"/>
              <w:bottom w:val="single" w:sz="8" w:space="0" w:color="000000"/>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Universal</w:t>
            </w: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F7630F" w:rsidP="00CC223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Unadjusted</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72.7</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89.3%</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16.4</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94.2%</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11.1</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72.8%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2.1</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52.2%</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20%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81.8</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100.5%</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17.0</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97.9%</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15.8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104.0%</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3.4</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86.8%</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82.3</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101.0%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96.7%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16.0</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105.0%</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3.6</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91.8%</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35%</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82.3</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101.0%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96.4%</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16.0</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105.1%</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3.7</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93.3%</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40%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82.2</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96.2%</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16.0</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105.2%</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3.8</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94.5%</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50%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82.1</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100.8%</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95.7%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16.0</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105.3%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3.8</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96.0%</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2x</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83.2</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102.2%</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16.9</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97.2%</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16.0</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105.3%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4.0</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F7630F" w:rsidP="00CC223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Unlimited</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84.3</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103.5%</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16.4</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94.6%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16.0</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105.3%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4.0</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101.5%</w:t>
            </w:r>
          </w:p>
        </w:tc>
      </w:tr>
      <w:tr w:rsidR="00116D21" w:rsidRPr="00D15D36" w:rsidTr="00CC2233">
        <w:trPr>
          <w:trHeight w:hRule="exact" w:val="288"/>
        </w:trPr>
        <w:tc>
          <w:tcPr>
            <w:tcW w:w="494" w:type="pct"/>
            <w:vMerge w:val="restart"/>
            <w:tcBorders>
              <w:top w:val="nil"/>
              <w:left w:val="single" w:sz="8" w:space="0" w:color="auto"/>
              <w:bottom w:val="single" w:sz="8" w:space="0" w:color="000000"/>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Aggregate</w:t>
            </w:r>
          </w:p>
        </w:tc>
        <w:tc>
          <w:tcPr>
            <w:tcW w:w="498" w:type="pct"/>
            <w:vMerge w:val="restart"/>
            <w:tcBorders>
              <w:top w:val="nil"/>
              <w:left w:val="single" w:sz="8" w:space="0" w:color="auto"/>
              <w:bottom w:val="single" w:sz="8" w:space="0" w:color="000000"/>
              <w:right w:val="single" w:sz="8" w:space="0" w:color="auto"/>
            </w:tcBorders>
            <w:shd w:val="clear" w:color="auto" w:fill="auto"/>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Aggregator Choice</w:t>
            </w: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F7630F" w:rsidP="00CC223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Unadjusted</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72.7</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89.3%</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16.4</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94.2%</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11.1</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72.8%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2.1</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52.3%</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20%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3.2</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81.6%</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3.3</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82.0%</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35%</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3.3</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82.0%</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40%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3.3</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82.1%</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50%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3.3</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82.2%</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2x</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3.3</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82.2%</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F7630F" w:rsidP="00CC223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Unlimited</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13.6</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3.3</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82.2%</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val="restart"/>
            <w:tcBorders>
              <w:top w:val="nil"/>
              <w:left w:val="single" w:sz="8" w:space="0" w:color="auto"/>
              <w:bottom w:val="single" w:sz="8" w:space="0" w:color="000000"/>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Universal</w:t>
            </w: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F7630F" w:rsidP="00CC223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Unadjusted</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72.7</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89.3%</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16.4</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94.2%</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11.1</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72.8%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2.1</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52.3%</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20%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15.9</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104.7%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3.5</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88.6%</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15.9</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104.7%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3.7</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92.1%</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35%</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15.9</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104.7%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3.7</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93.3%</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40%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15.9</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104.7%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3.7</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94.3%</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50%</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15.9</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104.7%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3.8</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95.3%</w:t>
            </w:r>
          </w:p>
        </w:tc>
      </w:tr>
      <w:tr w:rsidR="00116D21" w:rsidRPr="00D15D36" w:rsidTr="00CC2233">
        <w:trPr>
          <w:trHeight w:hRule="exact" w:val="288"/>
        </w:trPr>
        <w:tc>
          <w:tcPr>
            <w:tcW w:w="494"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000000"/>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2x</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15.9</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104.7%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3.9</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98.4%</w:t>
            </w:r>
          </w:p>
        </w:tc>
      </w:tr>
      <w:tr w:rsidR="00116D21" w:rsidRPr="00D15D36" w:rsidTr="00CC2233">
        <w:trPr>
          <w:trHeight w:hRule="exact" w:val="288"/>
        </w:trPr>
        <w:tc>
          <w:tcPr>
            <w:tcW w:w="494" w:type="pct"/>
            <w:vMerge/>
            <w:tcBorders>
              <w:top w:val="nil"/>
              <w:left w:val="single" w:sz="8" w:space="0" w:color="auto"/>
              <w:bottom w:val="single" w:sz="8" w:space="0" w:color="auto"/>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vMerge/>
            <w:tcBorders>
              <w:top w:val="nil"/>
              <w:left w:val="single" w:sz="8" w:space="0" w:color="auto"/>
              <w:bottom w:val="single" w:sz="8" w:space="0" w:color="auto"/>
              <w:right w:val="single" w:sz="8" w:space="0" w:color="auto"/>
            </w:tcBorders>
            <w:tcMar>
              <w:left w:w="29" w:type="dxa"/>
              <w:right w:w="29" w:type="dxa"/>
            </w:tcMar>
            <w:vAlign w:val="center"/>
            <w:hideMark/>
          </w:tcPr>
          <w:p w:rsidR="00116D21" w:rsidRPr="00D15D36" w:rsidRDefault="00116D21" w:rsidP="00CC2233">
            <w:pPr>
              <w:spacing w:after="0" w:line="240" w:lineRule="auto"/>
              <w:rPr>
                <w:rFonts w:ascii="Arial" w:eastAsia="Times New Roman" w:hAnsi="Arial" w:cs="Arial"/>
                <w:color w:val="000000"/>
                <w:sz w:val="16"/>
                <w:szCs w:val="16"/>
              </w:rPr>
            </w:pPr>
          </w:p>
        </w:tc>
        <w:tc>
          <w:tcPr>
            <w:tcW w:w="498"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F7630F" w:rsidP="00CC2233">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Unlimited</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81.9</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100.6%</w:t>
            </w:r>
          </w:p>
        </w:tc>
        <w:tc>
          <w:tcPr>
            <w:tcW w:w="439"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16.3</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93.8%</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15.9</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104.7%</w:t>
            </w:r>
          </w:p>
        </w:tc>
        <w:tc>
          <w:tcPr>
            <w:tcW w:w="440"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3.9</w:t>
            </w:r>
          </w:p>
        </w:tc>
        <w:tc>
          <w:tcPr>
            <w:tcW w:w="433" w:type="pct"/>
            <w:tcBorders>
              <w:top w:val="nil"/>
              <w:left w:val="nil"/>
              <w:bottom w:val="single" w:sz="8" w:space="0" w:color="auto"/>
              <w:right w:val="single" w:sz="8" w:space="0" w:color="auto"/>
            </w:tcBorders>
            <w:shd w:val="clear" w:color="auto" w:fill="auto"/>
            <w:noWrap/>
            <w:tcMar>
              <w:left w:w="29" w:type="dxa"/>
              <w:right w:w="29" w:type="dxa"/>
            </w:tcMar>
            <w:vAlign w:val="center"/>
            <w:hideMark/>
          </w:tcPr>
          <w:p w:rsidR="00116D21" w:rsidRPr="00D15D36" w:rsidRDefault="00116D21" w:rsidP="00CC2233">
            <w:pPr>
              <w:spacing w:after="0" w:line="240" w:lineRule="auto"/>
              <w:jc w:val="center"/>
              <w:rPr>
                <w:rFonts w:ascii="Arial" w:eastAsia="Times New Roman" w:hAnsi="Arial" w:cs="Arial"/>
                <w:color w:val="000000"/>
                <w:sz w:val="16"/>
                <w:szCs w:val="16"/>
              </w:rPr>
            </w:pPr>
            <w:r w:rsidRPr="00D15D36">
              <w:rPr>
                <w:rFonts w:ascii="Arial" w:eastAsia="Times New Roman" w:hAnsi="Arial" w:cs="Arial"/>
                <w:color w:val="000000"/>
                <w:sz w:val="16"/>
                <w:szCs w:val="16"/>
              </w:rPr>
              <w:t>99.0%</w:t>
            </w:r>
          </w:p>
        </w:tc>
      </w:tr>
      <w:tr w:rsidR="00116D21" w:rsidRPr="00D15D36" w:rsidTr="00CC2233">
        <w:trPr>
          <w:trHeight w:hRule="exact" w:val="288"/>
        </w:trPr>
        <w:tc>
          <w:tcPr>
            <w:tcW w:w="5000" w:type="pct"/>
            <w:gridSpan w:val="11"/>
            <w:tcBorders>
              <w:top w:val="single" w:sz="8" w:space="0" w:color="auto"/>
            </w:tcBorders>
            <w:tcMar>
              <w:left w:w="29" w:type="dxa"/>
              <w:right w:w="29" w:type="dxa"/>
            </w:tcMar>
            <w:vAlign w:val="center"/>
            <w:hideMark/>
          </w:tcPr>
          <w:p w:rsidR="00116D21" w:rsidRPr="00D15D36" w:rsidRDefault="00116D21" w:rsidP="00B523D8">
            <w:pPr>
              <w:pStyle w:val="Footnote"/>
            </w:pPr>
            <w:r>
              <w:t>[1] Current baseline</w:t>
            </w:r>
          </w:p>
        </w:tc>
      </w:tr>
    </w:tbl>
    <w:p w:rsidR="008B5314" w:rsidRDefault="00116D21">
      <w:pPr>
        <w:pStyle w:val="Heading3"/>
        <w:numPr>
          <w:ilvl w:val="2"/>
          <w:numId w:val="13"/>
        </w:numPr>
        <w:spacing w:before="360"/>
      </w:pPr>
      <w:bookmarkStart w:id="43" w:name="_Toc326055574"/>
      <w:bookmarkStart w:id="44" w:name="_Toc326064046"/>
      <w:bookmarkStart w:id="45" w:name="_Toc326055575"/>
      <w:bookmarkStart w:id="46" w:name="_Toc326064047"/>
      <w:bookmarkStart w:id="47" w:name="_Toc318393838"/>
      <w:bookmarkStart w:id="48" w:name="_Toc318789283"/>
      <w:bookmarkStart w:id="49" w:name="_Toc324232556"/>
      <w:bookmarkStart w:id="50" w:name="_Toc326150801"/>
      <w:bookmarkEnd w:id="43"/>
      <w:bookmarkEnd w:id="44"/>
      <w:bookmarkEnd w:id="45"/>
      <w:bookmarkEnd w:id="46"/>
      <w:r>
        <w:lastRenderedPageBreak/>
        <w:t xml:space="preserve">Magnitude of </w:t>
      </w:r>
      <w:r w:rsidRPr="00050374">
        <w:t>Same</w:t>
      </w:r>
      <w:r>
        <w:t>-d</w:t>
      </w:r>
      <w:r w:rsidRPr="00050374">
        <w:t>ay Adjustments</w:t>
      </w:r>
      <w:bookmarkEnd w:id="47"/>
      <w:bookmarkEnd w:id="48"/>
      <w:bookmarkEnd w:id="49"/>
      <w:bookmarkEnd w:id="50"/>
      <w:r w:rsidRPr="00050374">
        <w:t xml:space="preserve"> </w:t>
      </w:r>
    </w:p>
    <w:p w:rsidR="00116D21" w:rsidRDefault="00116D21" w:rsidP="00116D21">
      <w:pPr>
        <w:pStyle w:val="BodyParagraph"/>
      </w:pPr>
      <w:r>
        <w:t xml:space="preserve">Figure 2-2 combines two sets histograms of ratio adjustments: the first set shows adjustments calculated for individual customers for DRRC and CBP, while the second shows adjustments calculated for aggregated </w:t>
      </w:r>
      <w:r w:rsidR="00094FFB">
        <w:t>portfolio</w:t>
      </w:r>
      <w:r>
        <w:t>s for DRRC and CBP.  Recall that the ratio adjustment is calculated by taking the measured load during the adjustment window and dividing it by the baseline during the adjustment window.  If the resulting ratio is greater than 1, the baseline is adjusted upward; if it is less than 1, it is adjusted downward.  In Figure 2-2, the x-axis shows the magnitude of such ratio adjustments; as one moves to the right side of the axis, adjustments become more extreme.  (Note that downward adjustments have been inverted so they may be more easily compared; that is, a downward adjustment of 0.5 is shown as “2.”)  The y-axis denotes the relative frequency of each ratio adjustment.</w:t>
      </w:r>
    </w:p>
    <w:p w:rsidR="00116D21" w:rsidRDefault="00116D21" w:rsidP="00116D21">
      <w:pPr>
        <w:pStyle w:val="TableFigureCaption"/>
        <w:rPr>
          <w:rFonts w:cs="Arial"/>
        </w:rPr>
      </w:pPr>
      <w:r>
        <w:t xml:space="preserve">Figure 2-2: </w:t>
      </w:r>
      <w:r>
        <w:rPr>
          <w:rFonts w:cs="Arial"/>
        </w:rPr>
        <w:t xml:space="preserve">SCE </w:t>
      </w:r>
      <w:r w:rsidRPr="00050374">
        <w:rPr>
          <w:rFonts w:cs="Arial"/>
        </w:rPr>
        <w:t xml:space="preserve">Distribution and Magnitude of </w:t>
      </w:r>
      <w:r>
        <w:rPr>
          <w:rFonts w:cs="Arial"/>
        </w:rPr>
        <w:t>Same</w:t>
      </w:r>
      <w:r w:rsidRPr="00050374">
        <w:rPr>
          <w:rFonts w:cs="Arial"/>
        </w:rPr>
        <w:t>-day Ratio Adjustments (</w:t>
      </w:r>
      <w:r>
        <w:rPr>
          <w:rFonts w:cs="Arial"/>
        </w:rPr>
        <w:t>Uncapped</w:t>
      </w:r>
      <w:r w:rsidRPr="00050374">
        <w:rPr>
          <w:rFonts w:cs="Arial"/>
        </w:rPr>
        <w:t xml:space="preserve">) </w:t>
      </w:r>
    </w:p>
    <w:p w:rsidR="00116D21" w:rsidRDefault="00116D21" w:rsidP="00116D21">
      <w:pPr>
        <w:pStyle w:val="TableFigureCaption"/>
      </w:pPr>
      <w:r>
        <w:rPr>
          <w:noProof/>
        </w:rPr>
        <w:drawing>
          <wp:inline distT="0" distB="0" distL="0" distR="0">
            <wp:extent cx="5943600" cy="2286000"/>
            <wp:effectExtent l="19050" t="0" r="0" b="0"/>
            <wp:docPr id="52" name="Picture 52" descr="T:\FSC\1563 2011 Statewide Aggregator Evaluation\Draft report\Volume II Tables\Adjustment graphs\SCE DR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FSC\1563 2011 Statewide Aggregator Evaluation\Draft report\Volume II Tables\Adjustment graphs\SCE DRRC.png"/>
                    <pic:cNvPicPr>
                      <a:picLocks noChangeAspect="1" noChangeArrowheads="1"/>
                    </pic:cNvPicPr>
                  </pic:nvPicPr>
                  <pic:blipFill>
                    <a:blip r:embed="rId23"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r>
        <w:rPr>
          <w:noProof/>
        </w:rPr>
        <w:drawing>
          <wp:inline distT="0" distB="0" distL="0" distR="0">
            <wp:extent cx="5943600" cy="2286000"/>
            <wp:effectExtent l="19050" t="0" r="0" b="0"/>
            <wp:docPr id="53" name="Picture 53" descr="T:\FSC\1563 2011 Statewide Aggregator Evaluation\Draft report\Volume II Tables\Adjustment graphs\SCE - C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FSC\1563 2011 Statewide Aggregator Evaluation\Draft report\Volume II Tables\Adjustment graphs\SCE - CBP.png"/>
                    <pic:cNvPicPr>
                      <a:picLocks noChangeAspect="1" noChangeArrowheads="1"/>
                    </pic:cNvPicPr>
                  </pic:nvPicPr>
                  <pic:blipFill>
                    <a:blip r:embed="rId24"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116D21" w:rsidRDefault="00116D21" w:rsidP="00116D21">
      <w:pPr>
        <w:pStyle w:val="BodyParaAfterTableFigure"/>
      </w:pPr>
      <w:r>
        <w:t>Key findings are similar to those for PG&amp;E.  First, very few customers need extreme adjustments.  This helps to explain the finding that the unlimited baseline rarely does much to improve accuracy; most customers simply don’t need very large adjustments, and thus fall below successively higher adjustment caps.  Second, note that aggregated baselines need much lower adjustments than individually calculated baselines</w:t>
      </w:r>
      <w:r w:rsidR="00F7630F">
        <w:t xml:space="preserve">.  </w:t>
      </w:r>
      <w:r>
        <w:t xml:space="preserve">Finally, adjustments occur in both directions; baselines are just as </w:t>
      </w:r>
      <w:r>
        <w:lastRenderedPageBreak/>
        <w:t>likely to be adjusted upward, perhaps because they are weather sensitive (use more electricity on warmer days), as they are to be adjusted downward.</w:t>
      </w:r>
    </w:p>
    <w:p w:rsidR="00116D21" w:rsidRDefault="00116D21" w:rsidP="00116D21">
      <w:pPr>
        <w:pStyle w:val="BodyParagraph"/>
      </w:pPr>
      <w:r w:rsidRPr="00050374">
        <w:t xml:space="preserve">Table </w:t>
      </w:r>
      <w:r>
        <w:t>2</w:t>
      </w:r>
      <w:r w:rsidRPr="00050374">
        <w:t>-</w:t>
      </w:r>
      <w:r>
        <w:t>5</w:t>
      </w:r>
      <w:r w:rsidRPr="00050374">
        <w:t xml:space="preserve"> shows </w:t>
      </w:r>
      <w:r>
        <w:t xml:space="preserve">the share of observations </w:t>
      </w:r>
      <w:r w:rsidRPr="00050374">
        <w:t>by program</w:t>
      </w:r>
      <w:r>
        <w:t xml:space="preserve"> and dispatch option exceeding different </w:t>
      </w:r>
      <w:r w:rsidR="00E535D9">
        <w:t>same-day</w:t>
      </w:r>
      <w:r>
        <w:t xml:space="preserve"> adjustment caps</w:t>
      </w:r>
      <w:r w:rsidRPr="00050374">
        <w:t>.</w:t>
      </w:r>
      <w:r>
        <w:t xml:space="preserve">  T</w:t>
      </w:r>
      <w:r w:rsidRPr="00050374">
        <w:t xml:space="preserve">he table reinforces the point </w:t>
      </w:r>
      <w:r>
        <w:t xml:space="preserve">that </w:t>
      </w:r>
      <w:r w:rsidRPr="00050374">
        <w:t>large adjustment</w:t>
      </w:r>
      <w:r>
        <w:t>s are rarely required.  It also shows that adjustments caps are exceeded less often when baselines are calculated after aggregating loads for each settlement portfolio, particularly when settlement portfolios have a large number of customers.</w:t>
      </w:r>
    </w:p>
    <w:p w:rsidR="00116D21" w:rsidRDefault="00116D21" w:rsidP="00116D21">
      <w:pPr>
        <w:pStyle w:val="TableFigureCaption"/>
      </w:pPr>
      <w:r>
        <w:t xml:space="preserve">Table 2-5: </w:t>
      </w:r>
      <w:r w:rsidRPr="00A6181C">
        <w:t>Share of Observation</w:t>
      </w:r>
      <w:r>
        <w:t>s</w:t>
      </w:r>
      <w:r w:rsidRPr="00A6181C">
        <w:t xml:space="preserve"> Exceeding </w:t>
      </w:r>
      <w:r w:rsidR="00E535D9">
        <w:t>Same-day</w:t>
      </w:r>
      <w:r w:rsidRPr="00A6181C">
        <w:t xml:space="preserve"> Adjustment Thresholds</w:t>
      </w:r>
      <w:r>
        <w:t xml:space="preserve"> </w:t>
      </w:r>
    </w:p>
    <w:tbl>
      <w:tblPr>
        <w:tblW w:w="7678"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
        <w:gridCol w:w="1316"/>
        <w:gridCol w:w="1316"/>
        <w:gridCol w:w="960"/>
        <w:gridCol w:w="960"/>
        <w:gridCol w:w="960"/>
        <w:gridCol w:w="960"/>
      </w:tblGrid>
      <w:tr w:rsidR="00116D21" w:rsidRPr="00121F12" w:rsidTr="00B523D8">
        <w:trPr>
          <w:trHeight w:val="315"/>
          <w:jc w:val="center"/>
        </w:trPr>
        <w:tc>
          <w:tcPr>
            <w:tcW w:w="1206" w:type="dxa"/>
            <w:vMerge w:val="restart"/>
            <w:tcBorders>
              <w:right w:val="single" w:sz="4" w:space="0" w:color="FFFFFF" w:themeColor="background1"/>
            </w:tcBorders>
            <w:shd w:val="clear" w:color="000000" w:fill="1F497D"/>
            <w:vAlign w:val="center"/>
            <w:hideMark/>
          </w:tcPr>
          <w:p w:rsidR="00116D21" w:rsidRPr="00121F12" w:rsidRDefault="00116D21" w:rsidP="00B523D8">
            <w:pPr>
              <w:pStyle w:val="TableHeader"/>
            </w:pPr>
            <w:r w:rsidRPr="00121F12">
              <w:t>Program</w:t>
            </w:r>
          </w:p>
        </w:tc>
        <w:tc>
          <w:tcPr>
            <w:tcW w:w="1316" w:type="dxa"/>
            <w:vMerge w:val="restart"/>
            <w:tcBorders>
              <w:left w:val="single" w:sz="4" w:space="0" w:color="FFFFFF" w:themeColor="background1"/>
              <w:right w:val="single" w:sz="4" w:space="0" w:color="FFFFFF" w:themeColor="background1"/>
            </w:tcBorders>
            <w:shd w:val="clear" w:color="000000" w:fill="1F497D"/>
            <w:vAlign w:val="center"/>
            <w:hideMark/>
          </w:tcPr>
          <w:p w:rsidR="00116D21" w:rsidRPr="00121F12" w:rsidRDefault="00116D21" w:rsidP="00B523D8">
            <w:pPr>
              <w:pStyle w:val="TableHeader"/>
            </w:pPr>
            <w:r w:rsidRPr="00121F12">
              <w:t>Adjustment Level</w:t>
            </w:r>
          </w:p>
        </w:tc>
        <w:tc>
          <w:tcPr>
            <w:tcW w:w="1316" w:type="dxa"/>
            <w:vMerge w:val="restart"/>
            <w:tcBorders>
              <w:left w:val="single" w:sz="4" w:space="0" w:color="FFFFFF" w:themeColor="background1"/>
              <w:right w:val="single" w:sz="4" w:space="0" w:color="FFFFFF" w:themeColor="background1"/>
            </w:tcBorders>
            <w:shd w:val="clear" w:color="000000" w:fill="1F497D"/>
            <w:vAlign w:val="center"/>
            <w:hideMark/>
          </w:tcPr>
          <w:p w:rsidR="00116D21" w:rsidRPr="00121F12" w:rsidRDefault="00116D21" w:rsidP="00B523D8">
            <w:pPr>
              <w:pStyle w:val="TableHeader"/>
            </w:pPr>
            <w:r w:rsidRPr="00121F12">
              <w:t>Adjustment Direction</w:t>
            </w:r>
          </w:p>
        </w:tc>
        <w:tc>
          <w:tcPr>
            <w:tcW w:w="3840" w:type="dxa"/>
            <w:gridSpan w:val="4"/>
            <w:tcBorders>
              <w:left w:val="single" w:sz="4" w:space="0" w:color="FFFFFF" w:themeColor="background1"/>
              <w:bottom w:val="single" w:sz="4" w:space="0" w:color="FFFFFF" w:themeColor="background1"/>
            </w:tcBorders>
            <w:shd w:val="clear" w:color="000000" w:fill="1F497D"/>
            <w:noWrap/>
            <w:vAlign w:val="center"/>
            <w:hideMark/>
          </w:tcPr>
          <w:p w:rsidR="00116D21" w:rsidRPr="00121F12" w:rsidRDefault="00116D21" w:rsidP="00B523D8">
            <w:pPr>
              <w:pStyle w:val="TableHeader"/>
            </w:pPr>
            <w:r w:rsidRPr="00121F12">
              <w:t>Adjustment Cap</w:t>
            </w:r>
          </w:p>
        </w:tc>
      </w:tr>
      <w:tr w:rsidR="00116D21" w:rsidRPr="00121F12" w:rsidTr="00B523D8">
        <w:trPr>
          <w:trHeight w:val="315"/>
          <w:jc w:val="center"/>
        </w:trPr>
        <w:tc>
          <w:tcPr>
            <w:tcW w:w="1206" w:type="dxa"/>
            <w:vMerge/>
            <w:tcBorders>
              <w:right w:val="single" w:sz="4" w:space="0" w:color="FFFFFF" w:themeColor="background1"/>
            </w:tcBorders>
            <w:vAlign w:val="center"/>
            <w:hideMark/>
          </w:tcPr>
          <w:p w:rsidR="00116D21" w:rsidRPr="00121F12" w:rsidRDefault="00116D21" w:rsidP="00B523D8">
            <w:pPr>
              <w:pStyle w:val="TableHeader"/>
            </w:pPr>
          </w:p>
        </w:tc>
        <w:tc>
          <w:tcPr>
            <w:tcW w:w="1316" w:type="dxa"/>
            <w:vMerge/>
            <w:tcBorders>
              <w:left w:val="single" w:sz="4" w:space="0" w:color="FFFFFF" w:themeColor="background1"/>
              <w:right w:val="single" w:sz="4" w:space="0" w:color="FFFFFF" w:themeColor="background1"/>
            </w:tcBorders>
            <w:vAlign w:val="center"/>
            <w:hideMark/>
          </w:tcPr>
          <w:p w:rsidR="00116D21" w:rsidRPr="00121F12" w:rsidRDefault="00116D21" w:rsidP="00B523D8">
            <w:pPr>
              <w:pStyle w:val="TableHeader"/>
            </w:pPr>
          </w:p>
        </w:tc>
        <w:tc>
          <w:tcPr>
            <w:tcW w:w="1316" w:type="dxa"/>
            <w:vMerge/>
            <w:tcBorders>
              <w:left w:val="single" w:sz="4" w:space="0" w:color="FFFFFF" w:themeColor="background1"/>
              <w:right w:val="single" w:sz="4" w:space="0" w:color="FFFFFF" w:themeColor="background1"/>
            </w:tcBorders>
            <w:vAlign w:val="center"/>
            <w:hideMark/>
          </w:tcPr>
          <w:p w:rsidR="00116D21" w:rsidRPr="00121F12" w:rsidRDefault="00116D21" w:rsidP="00B523D8">
            <w:pPr>
              <w:pStyle w:val="TableHeader"/>
            </w:pP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116D21" w:rsidRPr="00121F12" w:rsidRDefault="00116D21" w:rsidP="00B523D8">
            <w:pPr>
              <w:pStyle w:val="TableHeader"/>
            </w:pPr>
            <w:r w:rsidRPr="00121F12">
              <w:t>± 20%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116D21" w:rsidRPr="00121F12" w:rsidRDefault="00116D21" w:rsidP="00B523D8">
            <w:pPr>
              <w:pStyle w:val="TableHeader"/>
            </w:pPr>
            <w:r w:rsidRPr="00121F12">
              <w:t>± 30%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116D21" w:rsidRPr="00121F12" w:rsidRDefault="00116D21" w:rsidP="00B523D8">
            <w:pPr>
              <w:pStyle w:val="TableHeader"/>
            </w:pPr>
            <w:r w:rsidRPr="00121F12">
              <w:t>± 40%</w:t>
            </w:r>
          </w:p>
        </w:tc>
        <w:tc>
          <w:tcPr>
            <w:tcW w:w="960" w:type="dxa"/>
            <w:tcBorders>
              <w:top w:val="single" w:sz="4" w:space="0" w:color="FFFFFF" w:themeColor="background1"/>
              <w:left w:val="single" w:sz="4" w:space="0" w:color="FFFFFF" w:themeColor="background1"/>
            </w:tcBorders>
            <w:shd w:val="clear" w:color="000000" w:fill="1F497D"/>
            <w:vAlign w:val="center"/>
            <w:hideMark/>
          </w:tcPr>
          <w:p w:rsidR="00116D21" w:rsidRPr="00121F12" w:rsidRDefault="00116D21" w:rsidP="00B523D8">
            <w:pPr>
              <w:pStyle w:val="TableHeader"/>
            </w:pPr>
            <w:r w:rsidRPr="00121F12">
              <w:t>± 50%</w:t>
            </w:r>
          </w:p>
        </w:tc>
      </w:tr>
      <w:tr w:rsidR="00116D21" w:rsidRPr="00121F12" w:rsidTr="00B523D8">
        <w:trPr>
          <w:trHeight w:val="315"/>
          <w:jc w:val="center"/>
        </w:trPr>
        <w:tc>
          <w:tcPr>
            <w:tcW w:w="1206" w:type="dxa"/>
            <w:vMerge w:val="restart"/>
            <w:shd w:val="clear" w:color="auto" w:fill="auto"/>
            <w:vAlign w:val="center"/>
            <w:hideMark/>
          </w:tcPr>
          <w:p w:rsidR="00116D21" w:rsidRPr="00121F12" w:rsidRDefault="00116D21" w:rsidP="00CA7291">
            <w:pPr>
              <w:pStyle w:val="TableText"/>
            </w:pPr>
            <w:r w:rsidRPr="00121F12">
              <w:t>Aggregator Contracts</w:t>
            </w:r>
          </w:p>
        </w:tc>
        <w:tc>
          <w:tcPr>
            <w:tcW w:w="1316" w:type="dxa"/>
            <w:vMerge w:val="restart"/>
            <w:shd w:val="clear" w:color="auto" w:fill="auto"/>
            <w:vAlign w:val="center"/>
            <w:hideMark/>
          </w:tcPr>
          <w:p w:rsidR="00116D21" w:rsidRPr="00121F12" w:rsidRDefault="00116D21" w:rsidP="00CA7291">
            <w:pPr>
              <w:pStyle w:val="TableText"/>
            </w:pPr>
            <w:r w:rsidRPr="00121F12">
              <w:t>Aggregate</w:t>
            </w:r>
          </w:p>
        </w:tc>
        <w:tc>
          <w:tcPr>
            <w:tcW w:w="1316" w:type="dxa"/>
            <w:shd w:val="clear" w:color="auto" w:fill="auto"/>
            <w:noWrap/>
            <w:vAlign w:val="center"/>
            <w:hideMark/>
          </w:tcPr>
          <w:p w:rsidR="00116D21" w:rsidRPr="00121F12" w:rsidRDefault="00116D21" w:rsidP="00CA7291">
            <w:pPr>
              <w:pStyle w:val="TableText"/>
            </w:pPr>
            <w:r w:rsidRPr="00121F12">
              <w:t>Upward</w:t>
            </w:r>
          </w:p>
        </w:tc>
        <w:tc>
          <w:tcPr>
            <w:tcW w:w="960" w:type="dxa"/>
            <w:shd w:val="clear" w:color="auto" w:fill="auto"/>
            <w:noWrap/>
            <w:vAlign w:val="center"/>
            <w:hideMark/>
          </w:tcPr>
          <w:p w:rsidR="00116D21" w:rsidRPr="00121F12" w:rsidRDefault="00116D21" w:rsidP="00CA7291">
            <w:pPr>
              <w:pStyle w:val="TableText"/>
            </w:pPr>
            <w:r w:rsidRPr="00121F12">
              <w:t>19.8%</w:t>
            </w:r>
          </w:p>
        </w:tc>
        <w:tc>
          <w:tcPr>
            <w:tcW w:w="960" w:type="dxa"/>
            <w:shd w:val="clear" w:color="auto" w:fill="auto"/>
            <w:noWrap/>
            <w:vAlign w:val="center"/>
            <w:hideMark/>
          </w:tcPr>
          <w:p w:rsidR="00116D21" w:rsidRPr="00121F12" w:rsidRDefault="00116D21" w:rsidP="00CA7291">
            <w:pPr>
              <w:pStyle w:val="TableText"/>
            </w:pPr>
            <w:r w:rsidRPr="00121F12">
              <w:t>14.4%</w:t>
            </w:r>
          </w:p>
        </w:tc>
        <w:tc>
          <w:tcPr>
            <w:tcW w:w="960" w:type="dxa"/>
            <w:shd w:val="clear" w:color="auto" w:fill="auto"/>
            <w:noWrap/>
            <w:vAlign w:val="center"/>
            <w:hideMark/>
          </w:tcPr>
          <w:p w:rsidR="00116D21" w:rsidRPr="00121F12" w:rsidRDefault="00116D21" w:rsidP="00CA7291">
            <w:pPr>
              <w:pStyle w:val="TableText"/>
            </w:pPr>
            <w:r w:rsidRPr="00121F12">
              <w:t>9.0%</w:t>
            </w:r>
          </w:p>
        </w:tc>
        <w:tc>
          <w:tcPr>
            <w:tcW w:w="960" w:type="dxa"/>
            <w:shd w:val="clear" w:color="auto" w:fill="auto"/>
            <w:noWrap/>
            <w:vAlign w:val="center"/>
            <w:hideMark/>
          </w:tcPr>
          <w:p w:rsidR="00116D21" w:rsidRPr="00121F12" w:rsidRDefault="00116D21" w:rsidP="00CA7291">
            <w:pPr>
              <w:pStyle w:val="TableText"/>
            </w:pPr>
            <w:r w:rsidRPr="00121F12">
              <w:t>5.4%</w:t>
            </w:r>
          </w:p>
        </w:tc>
      </w:tr>
      <w:tr w:rsidR="00116D21" w:rsidRPr="00121F12" w:rsidTr="00B523D8">
        <w:trPr>
          <w:trHeight w:val="315"/>
          <w:jc w:val="center"/>
        </w:trPr>
        <w:tc>
          <w:tcPr>
            <w:tcW w:w="1206" w:type="dxa"/>
            <w:vMerge/>
            <w:vAlign w:val="center"/>
            <w:hideMark/>
          </w:tcPr>
          <w:p w:rsidR="00116D21" w:rsidRPr="00121F12" w:rsidRDefault="00116D21" w:rsidP="00CA7291">
            <w:pPr>
              <w:pStyle w:val="TableText"/>
            </w:pPr>
          </w:p>
        </w:tc>
        <w:tc>
          <w:tcPr>
            <w:tcW w:w="1316" w:type="dxa"/>
            <w:vMerge/>
            <w:vAlign w:val="center"/>
            <w:hideMark/>
          </w:tcPr>
          <w:p w:rsidR="00116D21" w:rsidRPr="00121F12" w:rsidRDefault="00116D21" w:rsidP="00CA7291">
            <w:pPr>
              <w:pStyle w:val="TableText"/>
            </w:pPr>
          </w:p>
        </w:tc>
        <w:tc>
          <w:tcPr>
            <w:tcW w:w="1316" w:type="dxa"/>
            <w:shd w:val="clear" w:color="auto" w:fill="auto"/>
            <w:noWrap/>
            <w:vAlign w:val="center"/>
            <w:hideMark/>
          </w:tcPr>
          <w:p w:rsidR="00116D21" w:rsidRPr="00121F12" w:rsidRDefault="00116D21" w:rsidP="00CA7291">
            <w:pPr>
              <w:pStyle w:val="TableText"/>
            </w:pPr>
            <w:r w:rsidRPr="00121F12">
              <w:t>Downward</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r>
      <w:tr w:rsidR="00116D21" w:rsidRPr="00121F12" w:rsidTr="00B523D8">
        <w:trPr>
          <w:trHeight w:val="315"/>
          <w:jc w:val="center"/>
        </w:trPr>
        <w:tc>
          <w:tcPr>
            <w:tcW w:w="1206" w:type="dxa"/>
            <w:vMerge/>
            <w:vAlign w:val="center"/>
            <w:hideMark/>
          </w:tcPr>
          <w:p w:rsidR="00116D21" w:rsidRPr="00121F12" w:rsidRDefault="00116D21" w:rsidP="00CA7291">
            <w:pPr>
              <w:pStyle w:val="TableText"/>
            </w:pPr>
          </w:p>
        </w:tc>
        <w:tc>
          <w:tcPr>
            <w:tcW w:w="1316" w:type="dxa"/>
            <w:vMerge/>
            <w:vAlign w:val="center"/>
            <w:hideMark/>
          </w:tcPr>
          <w:p w:rsidR="00116D21" w:rsidRPr="00121F12" w:rsidRDefault="00116D21" w:rsidP="00CA7291">
            <w:pPr>
              <w:pStyle w:val="TableText"/>
            </w:pPr>
          </w:p>
        </w:tc>
        <w:tc>
          <w:tcPr>
            <w:tcW w:w="1316" w:type="dxa"/>
            <w:shd w:val="clear" w:color="auto" w:fill="auto"/>
            <w:noWrap/>
            <w:vAlign w:val="center"/>
            <w:hideMark/>
          </w:tcPr>
          <w:p w:rsidR="00116D21" w:rsidRPr="00121F12" w:rsidRDefault="00116D21" w:rsidP="00CA7291">
            <w:pPr>
              <w:pStyle w:val="TableText"/>
            </w:pPr>
            <w:r w:rsidRPr="00121F12">
              <w:t>TOTAL</w:t>
            </w:r>
          </w:p>
        </w:tc>
        <w:tc>
          <w:tcPr>
            <w:tcW w:w="960" w:type="dxa"/>
            <w:shd w:val="clear" w:color="auto" w:fill="auto"/>
            <w:noWrap/>
            <w:vAlign w:val="center"/>
            <w:hideMark/>
          </w:tcPr>
          <w:p w:rsidR="00116D21" w:rsidRPr="00121F12" w:rsidRDefault="00116D21" w:rsidP="00CA7291">
            <w:pPr>
              <w:pStyle w:val="TableText"/>
            </w:pPr>
            <w:r w:rsidRPr="00121F12">
              <w:t>19.8%</w:t>
            </w:r>
          </w:p>
        </w:tc>
        <w:tc>
          <w:tcPr>
            <w:tcW w:w="960" w:type="dxa"/>
            <w:shd w:val="clear" w:color="auto" w:fill="auto"/>
            <w:noWrap/>
            <w:vAlign w:val="center"/>
            <w:hideMark/>
          </w:tcPr>
          <w:p w:rsidR="00116D21" w:rsidRPr="00121F12" w:rsidRDefault="00116D21" w:rsidP="00CA7291">
            <w:pPr>
              <w:pStyle w:val="TableText"/>
            </w:pPr>
            <w:r w:rsidRPr="00121F12">
              <w:t>14.4%</w:t>
            </w:r>
          </w:p>
        </w:tc>
        <w:tc>
          <w:tcPr>
            <w:tcW w:w="960" w:type="dxa"/>
            <w:shd w:val="clear" w:color="auto" w:fill="auto"/>
            <w:noWrap/>
            <w:vAlign w:val="center"/>
            <w:hideMark/>
          </w:tcPr>
          <w:p w:rsidR="00116D21" w:rsidRPr="00121F12" w:rsidRDefault="00116D21" w:rsidP="00CA7291">
            <w:pPr>
              <w:pStyle w:val="TableText"/>
            </w:pPr>
            <w:r w:rsidRPr="00121F12">
              <w:t>9.0%</w:t>
            </w:r>
          </w:p>
        </w:tc>
        <w:tc>
          <w:tcPr>
            <w:tcW w:w="960" w:type="dxa"/>
            <w:shd w:val="clear" w:color="auto" w:fill="auto"/>
            <w:noWrap/>
            <w:vAlign w:val="center"/>
            <w:hideMark/>
          </w:tcPr>
          <w:p w:rsidR="00116D21" w:rsidRPr="00121F12" w:rsidRDefault="00116D21" w:rsidP="00CA7291">
            <w:pPr>
              <w:pStyle w:val="TableText"/>
            </w:pPr>
            <w:r w:rsidRPr="00121F12">
              <w:t>5.4%</w:t>
            </w:r>
          </w:p>
        </w:tc>
      </w:tr>
      <w:tr w:rsidR="00116D21" w:rsidRPr="00121F12" w:rsidTr="00B523D8">
        <w:trPr>
          <w:trHeight w:val="315"/>
          <w:jc w:val="center"/>
        </w:trPr>
        <w:tc>
          <w:tcPr>
            <w:tcW w:w="1206" w:type="dxa"/>
            <w:vMerge/>
            <w:vAlign w:val="center"/>
            <w:hideMark/>
          </w:tcPr>
          <w:p w:rsidR="00116D21" w:rsidRPr="00121F12" w:rsidRDefault="00116D21" w:rsidP="00CA7291">
            <w:pPr>
              <w:pStyle w:val="TableText"/>
            </w:pPr>
          </w:p>
        </w:tc>
        <w:tc>
          <w:tcPr>
            <w:tcW w:w="1316" w:type="dxa"/>
            <w:vMerge w:val="restart"/>
            <w:shd w:val="clear" w:color="auto" w:fill="auto"/>
            <w:vAlign w:val="center"/>
            <w:hideMark/>
          </w:tcPr>
          <w:p w:rsidR="00116D21" w:rsidRPr="00121F12" w:rsidRDefault="00116D21" w:rsidP="00CA7291">
            <w:pPr>
              <w:pStyle w:val="TableText"/>
            </w:pPr>
            <w:r w:rsidRPr="00121F12">
              <w:t>Individual</w:t>
            </w:r>
          </w:p>
        </w:tc>
        <w:tc>
          <w:tcPr>
            <w:tcW w:w="1316" w:type="dxa"/>
            <w:shd w:val="clear" w:color="auto" w:fill="auto"/>
            <w:noWrap/>
            <w:vAlign w:val="center"/>
            <w:hideMark/>
          </w:tcPr>
          <w:p w:rsidR="00116D21" w:rsidRPr="00121F12" w:rsidRDefault="00116D21" w:rsidP="00CA7291">
            <w:pPr>
              <w:pStyle w:val="TableText"/>
            </w:pPr>
            <w:r w:rsidRPr="00121F12">
              <w:t>Upward</w:t>
            </w:r>
          </w:p>
        </w:tc>
        <w:tc>
          <w:tcPr>
            <w:tcW w:w="960" w:type="dxa"/>
            <w:shd w:val="clear" w:color="auto" w:fill="auto"/>
            <w:noWrap/>
            <w:vAlign w:val="center"/>
            <w:hideMark/>
          </w:tcPr>
          <w:p w:rsidR="00116D21" w:rsidRPr="00121F12" w:rsidRDefault="00116D21" w:rsidP="00CA7291">
            <w:pPr>
              <w:pStyle w:val="TableText"/>
            </w:pPr>
            <w:r w:rsidRPr="00121F12">
              <w:t>10.0%</w:t>
            </w:r>
          </w:p>
        </w:tc>
        <w:tc>
          <w:tcPr>
            <w:tcW w:w="960" w:type="dxa"/>
            <w:shd w:val="clear" w:color="auto" w:fill="auto"/>
            <w:noWrap/>
            <w:vAlign w:val="center"/>
            <w:hideMark/>
          </w:tcPr>
          <w:p w:rsidR="00116D21" w:rsidRPr="00121F12" w:rsidRDefault="00116D21" w:rsidP="00CA7291">
            <w:pPr>
              <w:pStyle w:val="TableText"/>
            </w:pPr>
            <w:r w:rsidRPr="00121F12">
              <w:t>3.7%</w:t>
            </w:r>
          </w:p>
        </w:tc>
        <w:tc>
          <w:tcPr>
            <w:tcW w:w="960" w:type="dxa"/>
            <w:shd w:val="clear" w:color="auto" w:fill="auto"/>
            <w:noWrap/>
            <w:vAlign w:val="center"/>
            <w:hideMark/>
          </w:tcPr>
          <w:p w:rsidR="00116D21" w:rsidRPr="00121F12" w:rsidRDefault="00116D21" w:rsidP="00CA7291">
            <w:pPr>
              <w:pStyle w:val="TableText"/>
            </w:pPr>
            <w:r w:rsidRPr="00121F12">
              <w:t>2.2%</w:t>
            </w:r>
          </w:p>
        </w:tc>
        <w:tc>
          <w:tcPr>
            <w:tcW w:w="960" w:type="dxa"/>
            <w:shd w:val="clear" w:color="auto" w:fill="auto"/>
            <w:noWrap/>
            <w:vAlign w:val="center"/>
            <w:hideMark/>
          </w:tcPr>
          <w:p w:rsidR="00116D21" w:rsidRPr="00121F12" w:rsidRDefault="00116D21" w:rsidP="00CA7291">
            <w:pPr>
              <w:pStyle w:val="TableText"/>
            </w:pPr>
            <w:r w:rsidRPr="00121F12">
              <w:t>1.6%</w:t>
            </w:r>
          </w:p>
        </w:tc>
      </w:tr>
      <w:tr w:rsidR="00116D21" w:rsidRPr="00121F12" w:rsidTr="00B523D8">
        <w:trPr>
          <w:trHeight w:val="315"/>
          <w:jc w:val="center"/>
        </w:trPr>
        <w:tc>
          <w:tcPr>
            <w:tcW w:w="1206" w:type="dxa"/>
            <w:vMerge/>
            <w:vAlign w:val="center"/>
            <w:hideMark/>
          </w:tcPr>
          <w:p w:rsidR="00116D21" w:rsidRPr="00121F12" w:rsidRDefault="00116D21" w:rsidP="00CA7291">
            <w:pPr>
              <w:pStyle w:val="TableText"/>
            </w:pPr>
          </w:p>
        </w:tc>
        <w:tc>
          <w:tcPr>
            <w:tcW w:w="1316" w:type="dxa"/>
            <w:vMerge/>
            <w:vAlign w:val="center"/>
            <w:hideMark/>
          </w:tcPr>
          <w:p w:rsidR="00116D21" w:rsidRPr="00121F12" w:rsidRDefault="00116D21" w:rsidP="00CA7291">
            <w:pPr>
              <w:pStyle w:val="TableText"/>
            </w:pPr>
          </w:p>
        </w:tc>
        <w:tc>
          <w:tcPr>
            <w:tcW w:w="1316" w:type="dxa"/>
            <w:shd w:val="clear" w:color="auto" w:fill="auto"/>
            <w:noWrap/>
            <w:vAlign w:val="center"/>
            <w:hideMark/>
          </w:tcPr>
          <w:p w:rsidR="00116D21" w:rsidRPr="00121F12" w:rsidRDefault="00116D21" w:rsidP="00CA7291">
            <w:pPr>
              <w:pStyle w:val="TableText"/>
            </w:pPr>
            <w:r w:rsidRPr="00121F12">
              <w:t>Downward</w:t>
            </w:r>
          </w:p>
        </w:tc>
        <w:tc>
          <w:tcPr>
            <w:tcW w:w="960" w:type="dxa"/>
            <w:shd w:val="clear" w:color="auto" w:fill="auto"/>
            <w:noWrap/>
            <w:vAlign w:val="center"/>
            <w:hideMark/>
          </w:tcPr>
          <w:p w:rsidR="00116D21" w:rsidRPr="00121F12" w:rsidRDefault="00116D21" w:rsidP="00CA7291">
            <w:pPr>
              <w:pStyle w:val="TableText"/>
            </w:pPr>
            <w:r w:rsidRPr="00121F12">
              <w:t>1.1%</w:t>
            </w:r>
          </w:p>
        </w:tc>
        <w:tc>
          <w:tcPr>
            <w:tcW w:w="960" w:type="dxa"/>
            <w:shd w:val="clear" w:color="auto" w:fill="auto"/>
            <w:noWrap/>
            <w:vAlign w:val="center"/>
            <w:hideMark/>
          </w:tcPr>
          <w:p w:rsidR="00116D21" w:rsidRPr="00121F12" w:rsidRDefault="00116D21" w:rsidP="00CA7291">
            <w:pPr>
              <w:pStyle w:val="TableText"/>
            </w:pPr>
            <w:r w:rsidRPr="00121F12">
              <w:t>0.7%</w:t>
            </w:r>
          </w:p>
        </w:tc>
        <w:tc>
          <w:tcPr>
            <w:tcW w:w="960" w:type="dxa"/>
            <w:shd w:val="clear" w:color="auto" w:fill="auto"/>
            <w:noWrap/>
            <w:vAlign w:val="center"/>
            <w:hideMark/>
          </w:tcPr>
          <w:p w:rsidR="00116D21" w:rsidRPr="00121F12" w:rsidRDefault="00116D21" w:rsidP="00CA7291">
            <w:pPr>
              <w:pStyle w:val="TableText"/>
            </w:pPr>
            <w:r w:rsidRPr="00121F12">
              <w:t>0.6%</w:t>
            </w:r>
          </w:p>
        </w:tc>
        <w:tc>
          <w:tcPr>
            <w:tcW w:w="960" w:type="dxa"/>
            <w:shd w:val="clear" w:color="auto" w:fill="auto"/>
            <w:noWrap/>
            <w:vAlign w:val="center"/>
            <w:hideMark/>
          </w:tcPr>
          <w:p w:rsidR="00116D21" w:rsidRPr="00121F12" w:rsidRDefault="00116D21" w:rsidP="00CA7291">
            <w:pPr>
              <w:pStyle w:val="TableText"/>
            </w:pPr>
            <w:r w:rsidRPr="00121F12">
              <w:t>0.4%</w:t>
            </w:r>
          </w:p>
        </w:tc>
      </w:tr>
      <w:tr w:rsidR="00116D21" w:rsidRPr="00121F12" w:rsidTr="00B523D8">
        <w:trPr>
          <w:trHeight w:val="315"/>
          <w:jc w:val="center"/>
        </w:trPr>
        <w:tc>
          <w:tcPr>
            <w:tcW w:w="1206" w:type="dxa"/>
            <w:vMerge/>
            <w:vAlign w:val="center"/>
            <w:hideMark/>
          </w:tcPr>
          <w:p w:rsidR="00116D21" w:rsidRPr="00121F12" w:rsidRDefault="00116D21" w:rsidP="00CA7291">
            <w:pPr>
              <w:pStyle w:val="TableText"/>
            </w:pPr>
          </w:p>
        </w:tc>
        <w:tc>
          <w:tcPr>
            <w:tcW w:w="1316" w:type="dxa"/>
            <w:vMerge/>
            <w:vAlign w:val="center"/>
            <w:hideMark/>
          </w:tcPr>
          <w:p w:rsidR="00116D21" w:rsidRPr="00121F12" w:rsidRDefault="00116D21" w:rsidP="00CA7291">
            <w:pPr>
              <w:pStyle w:val="TableText"/>
            </w:pPr>
          </w:p>
        </w:tc>
        <w:tc>
          <w:tcPr>
            <w:tcW w:w="1316" w:type="dxa"/>
            <w:shd w:val="clear" w:color="auto" w:fill="auto"/>
            <w:noWrap/>
            <w:vAlign w:val="center"/>
            <w:hideMark/>
          </w:tcPr>
          <w:p w:rsidR="00116D21" w:rsidRPr="00121F12" w:rsidRDefault="00116D21" w:rsidP="00CA7291">
            <w:pPr>
              <w:pStyle w:val="TableText"/>
            </w:pPr>
            <w:r w:rsidRPr="00121F12">
              <w:t>TOTAL</w:t>
            </w:r>
          </w:p>
        </w:tc>
        <w:tc>
          <w:tcPr>
            <w:tcW w:w="960" w:type="dxa"/>
            <w:shd w:val="clear" w:color="auto" w:fill="auto"/>
            <w:noWrap/>
            <w:vAlign w:val="center"/>
            <w:hideMark/>
          </w:tcPr>
          <w:p w:rsidR="00116D21" w:rsidRPr="00121F12" w:rsidRDefault="00116D21" w:rsidP="00CA7291">
            <w:pPr>
              <w:pStyle w:val="TableText"/>
            </w:pPr>
            <w:r w:rsidRPr="00121F12">
              <w:t>11.1%</w:t>
            </w:r>
          </w:p>
        </w:tc>
        <w:tc>
          <w:tcPr>
            <w:tcW w:w="960" w:type="dxa"/>
            <w:shd w:val="clear" w:color="auto" w:fill="auto"/>
            <w:noWrap/>
            <w:vAlign w:val="center"/>
            <w:hideMark/>
          </w:tcPr>
          <w:p w:rsidR="00116D21" w:rsidRPr="00121F12" w:rsidRDefault="00116D21" w:rsidP="00CA7291">
            <w:pPr>
              <w:pStyle w:val="TableText"/>
            </w:pPr>
            <w:r w:rsidRPr="00121F12">
              <w:t>4.4%</w:t>
            </w:r>
          </w:p>
        </w:tc>
        <w:tc>
          <w:tcPr>
            <w:tcW w:w="960" w:type="dxa"/>
            <w:shd w:val="clear" w:color="auto" w:fill="auto"/>
            <w:noWrap/>
            <w:vAlign w:val="center"/>
            <w:hideMark/>
          </w:tcPr>
          <w:p w:rsidR="00116D21" w:rsidRPr="00121F12" w:rsidRDefault="00116D21" w:rsidP="00CA7291">
            <w:pPr>
              <w:pStyle w:val="TableText"/>
            </w:pPr>
            <w:r w:rsidRPr="00121F12">
              <w:t>2.8%</w:t>
            </w:r>
          </w:p>
        </w:tc>
        <w:tc>
          <w:tcPr>
            <w:tcW w:w="960" w:type="dxa"/>
            <w:shd w:val="clear" w:color="auto" w:fill="auto"/>
            <w:noWrap/>
            <w:vAlign w:val="center"/>
            <w:hideMark/>
          </w:tcPr>
          <w:p w:rsidR="00116D21" w:rsidRPr="00121F12" w:rsidRDefault="00116D21" w:rsidP="00CA7291">
            <w:pPr>
              <w:pStyle w:val="TableText"/>
            </w:pPr>
            <w:r w:rsidRPr="00121F12">
              <w:t>2.0%</w:t>
            </w:r>
          </w:p>
        </w:tc>
      </w:tr>
      <w:tr w:rsidR="00116D21" w:rsidRPr="00121F12" w:rsidTr="00B523D8">
        <w:trPr>
          <w:trHeight w:val="315"/>
          <w:jc w:val="center"/>
        </w:trPr>
        <w:tc>
          <w:tcPr>
            <w:tcW w:w="1206" w:type="dxa"/>
            <w:vMerge w:val="restart"/>
            <w:shd w:val="clear" w:color="auto" w:fill="auto"/>
            <w:vAlign w:val="center"/>
            <w:hideMark/>
          </w:tcPr>
          <w:p w:rsidR="00116D21" w:rsidRPr="00121F12" w:rsidRDefault="00116D21" w:rsidP="00CA7291">
            <w:pPr>
              <w:pStyle w:val="TableText"/>
            </w:pPr>
            <w:r w:rsidRPr="00121F12">
              <w:t>CBP</w:t>
            </w:r>
          </w:p>
        </w:tc>
        <w:tc>
          <w:tcPr>
            <w:tcW w:w="1316" w:type="dxa"/>
            <w:vMerge w:val="restart"/>
            <w:shd w:val="clear" w:color="auto" w:fill="auto"/>
            <w:vAlign w:val="center"/>
            <w:hideMark/>
          </w:tcPr>
          <w:p w:rsidR="00116D21" w:rsidRPr="00121F12" w:rsidRDefault="00116D21" w:rsidP="00CA7291">
            <w:pPr>
              <w:pStyle w:val="TableText"/>
            </w:pPr>
            <w:r w:rsidRPr="00121F12">
              <w:t>Aggregate</w:t>
            </w:r>
          </w:p>
        </w:tc>
        <w:tc>
          <w:tcPr>
            <w:tcW w:w="1316" w:type="dxa"/>
            <w:shd w:val="clear" w:color="auto" w:fill="auto"/>
            <w:noWrap/>
            <w:vAlign w:val="center"/>
            <w:hideMark/>
          </w:tcPr>
          <w:p w:rsidR="00116D21" w:rsidRPr="00121F12" w:rsidRDefault="00116D21" w:rsidP="00CA7291">
            <w:pPr>
              <w:pStyle w:val="TableText"/>
            </w:pPr>
            <w:r w:rsidRPr="00121F12">
              <w:t>Upward</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r>
      <w:tr w:rsidR="00116D21" w:rsidRPr="00121F12" w:rsidTr="00B523D8">
        <w:trPr>
          <w:trHeight w:val="315"/>
          <w:jc w:val="center"/>
        </w:trPr>
        <w:tc>
          <w:tcPr>
            <w:tcW w:w="1206" w:type="dxa"/>
            <w:vMerge/>
            <w:vAlign w:val="center"/>
            <w:hideMark/>
          </w:tcPr>
          <w:p w:rsidR="00116D21" w:rsidRPr="00121F12" w:rsidRDefault="00116D21" w:rsidP="00CA7291">
            <w:pPr>
              <w:pStyle w:val="TableText"/>
            </w:pPr>
          </w:p>
        </w:tc>
        <w:tc>
          <w:tcPr>
            <w:tcW w:w="1316" w:type="dxa"/>
            <w:vMerge/>
            <w:vAlign w:val="center"/>
            <w:hideMark/>
          </w:tcPr>
          <w:p w:rsidR="00116D21" w:rsidRPr="00121F12" w:rsidRDefault="00116D21" w:rsidP="00CA7291">
            <w:pPr>
              <w:pStyle w:val="TableText"/>
            </w:pPr>
          </w:p>
        </w:tc>
        <w:tc>
          <w:tcPr>
            <w:tcW w:w="1316" w:type="dxa"/>
            <w:shd w:val="clear" w:color="auto" w:fill="auto"/>
            <w:noWrap/>
            <w:vAlign w:val="center"/>
            <w:hideMark/>
          </w:tcPr>
          <w:p w:rsidR="00116D21" w:rsidRPr="00121F12" w:rsidRDefault="00116D21" w:rsidP="00CA7291">
            <w:pPr>
              <w:pStyle w:val="TableText"/>
            </w:pPr>
            <w:r w:rsidRPr="00121F12">
              <w:t>Downward</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r>
      <w:tr w:rsidR="00116D21" w:rsidRPr="00121F12" w:rsidTr="00B523D8">
        <w:trPr>
          <w:trHeight w:val="315"/>
          <w:jc w:val="center"/>
        </w:trPr>
        <w:tc>
          <w:tcPr>
            <w:tcW w:w="1206" w:type="dxa"/>
            <w:vMerge/>
            <w:vAlign w:val="center"/>
            <w:hideMark/>
          </w:tcPr>
          <w:p w:rsidR="00116D21" w:rsidRPr="00121F12" w:rsidRDefault="00116D21" w:rsidP="00CA7291">
            <w:pPr>
              <w:pStyle w:val="TableText"/>
            </w:pPr>
          </w:p>
        </w:tc>
        <w:tc>
          <w:tcPr>
            <w:tcW w:w="1316" w:type="dxa"/>
            <w:vMerge/>
            <w:vAlign w:val="center"/>
            <w:hideMark/>
          </w:tcPr>
          <w:p w:rsidR="00116D21" w:rsidRPr="00121F12" w:rsidRDefault="00116D21" w:rsidP="00CA7291">
            <w:pPr>
              <w:pStyle w:val="TableText"/>
            </w:pPr>
          </w:p>
        </w:tc>
        <w:tc>
          <w:tcPr>
            <w:tcW w:w="1316" w:type="dxa"/>
            <w:shd w:val="clear" w:color="auto" w:fill="auto"/>
            <w:noWrap/>
            <w:vAlign w:val="center"/>
            <w:hideMark/>
          </w:tcPr>
          <w:p w:rsidR="00116D21" w:rsidRPr="00121F12" w:rsidRDefault="00116D21" w:rsidP="00CA7291">
            <w:pPr>
              <w:pStyle w:val="TableText"/>
            </w:pPr>
            <w:r w:rsidRPr="00121F12">
              <w:t>TOTAL</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c>
          <w:tcPr>
            <w:tcW w:w="960" w:type="dxa"/>
            <w:shd w:val="clear" w:color="auto" w:fill="auto"/>
            <w:noWrap/>
            <w:vAlign w:val="center"/>
            <w:hideMark/>
          </w:tcPr>
          <w:p w:rsidR="00116D21" w:rsidRPr="00121F12" w:rsidRDefault="00116D21" w:rsidP="00CA7291">
            <w:pPr>
              <w:pStyle w:val="TableText"/>
            </w:pPr>
            <w:r w:rsidRPr="00121F12">
              <w:t>0.0%</w:t>
            </w:r>
          </w:p>
        </w:tc>
      </w:tr>
      <w:tr w:rsidR="00116D21" w:rsidRPr="00121F12" w:rsidTr="00B523D8">
        <w:trPr>
          <w:trHeight w:val="315"/>
          <w:jc w:val="center"/>
        </w:trPr>
        <w:tc>
          <w:tcPr>
            <w:tcW w:w="1206" w:type="dxa"/>
            <w:vMerge/>
            <w:vAlign w:val="center"/>
            <w:hideMark/>
          </w:tcPr>
          <w:p w:rsidR="00116D21" w:rsidRPr="00121F12" w:rsidRDefault="00116D21" w:rsidP="00CA7291">
            <w:pPr>
              <w:pStyle w:val="TableText"/>
            </w:pPr>
          </w:p>
        </w:tc>
        <w:tc>
          <w:tcPr>
            <w:tcW w:w="1316" w:type="dxa"/>
            <w:vMerge w:val="restart"/>
            <w:shd w:val="clear" w:color="auto" w:fill="auto"/>
            <w:vAlign w:val="center"/>
            <w:hideMark/>
          </w:tcPr>
          <w:p w:rsidR="00116D21" w:rsidRPr="00121F12" w:rsidRDefault="00116D21" w:rsidP="00CA7291">
            <w:pPr>
              <w:pStyle w:val="TableText"/>
            </w:pPr>
            <w:r w:rsidRPr="00121F12">
              <w:t>Individual</w:t>
            </w:r>
          </w:p>
        </w:tc>
        <w:tc>
          <w:tcPr>
            <w:tcW w:w="1316" w:type="dxa"/>
            <w:shd w:val="clear" w:color="auto" w:fill="auto"/>
            <w:noWrap/>
            <w:vAlign w:val="center"/>
            <w:hideMark/>
          </w:tcPr>
          <w:p w:rsidR="00116D21" w:rsidRPr="00121F12" w:rsidRDefault="00116D21" w:rsidP="00CA7291">
            <w:pPr>
              <w:pStyle w:val="TableText"/>
            </w:pPr>
            <w:r w:rsidRPr="00121F12">
              <w:t>Upward</w:t>
            </w:r>
          </w:p>
        </w:tc>
        <w:tc>
          <w:tcPr>
            <w:tcW w:w="960" w:type="dxa"/>
            <w:shd w:val="clear" w:color="auto" w:fill="auto"/>
            <w:noWrap/>
            <w:vAlign w:val="center"/>
            <w:hideMark/>
          </w:tcPr>
          <w:p w:rsidR="00116D21" w:rsidRPr="00121F12" w:rsidRDefault="00116D21" w:rsidP="00CA7291">
            <w:pPr>
              <w:pStyle w:val="TableText"/>
            </w:pPr>
            <w:r w:rsidRPr="00121F12">
              <w:t>14.2%</w:t>
            </w:r>
          </w:p>
        </w:tc>
        <w:tc>
          <w:tcPr>
            <w:tcW w:w="960" w:type="dxa"/>
            <w:shd w:val="clear" w:color="auto" w:fill="auto"/>
            <w:noWrap/>
            <w:vAlign w:val="center"/>
            <w:hideMark/>
          </w:tcPr>
          <w:p w:rsidR="00116D21" w:rsidRPr="00121F12" w:rsidRDefault="00116D21" w:rsidP="00CA7291">
            <w:pPr>
              <w:pStyle w:val="TableText"/>
            </w:pPr>
            <w:r w:rsidRPr="00121F12">
              <w:t>8.9%</w:t>
            </w:r>
          </w:p>
        </w:tc>
        <w:tc>
          <w:tcPr>
            <w:tcW w:w="960" w:type="dxa"/>
            <w:shd w:val="clear" w:color="auto" w:fill="auto"/>
            <w:noWrap/>
            <w:vAlign w:val="center"/>
            <w:hideMark/>
          </w:tcPr>
          <w:p w:rsidR="00116D21" w:rsidRPr="00121F12" w:rsidRDefault="00116D21" w:rsidP="00CA7291">
            <w:pPr>
              <w:pStyle w:val="TableText"/>
            </w:pPr>
            <w:r w:rsidRPr="00121F12">
              <w:t>6.9%</w:t>
            </w:r>
          </w:p>
        </w:tc>
        <w:tc>
          <w:tcPr>
            <w:tcW w:w="960" w:type="dxa"/>
            <w:shd w:val="clear" w:color="auto" w:fill="auto"/>
            <w:noWrap/>
            <w:vAlign w:val="center"/>
            <w:hideMark/>
          </w:tcPr>
          <w:p w:rsidR="00116D21" w:rsidRPr="00121F12" w:rsidRDefault="00116D21" w:rsidP="00CA7291">
            <w:pPr>
              <w:pStyle w:val="TableText"/>
            </w:pPr>
            <w:r w:rsidRPr="00121F12">
              <w:t>5.2%</w:t>
            </w:r>
          </w:p>
        </w:tc>
      </w:tr>
      <w:tr w:rsidR="00116D21" w:rsidRPr="00121F12" w:rsidTr="00B523D8">
        <w:trPr>
          <w:trHeight w:val="315"/>
          <w:jc w:val="center"/>
        </w:trPr>
        <w:tc>
          <w:tcPr>
            <w:tcW w:w="1206" w:type="dxa"/>
            <w:vMerge/>
            <w:vAlign w:val="center"/>
            <w:hideMark/>
          </w:tcPr>
          <w:p w:rsidR="00116D21" w:rsidRPr="00121F12" w:rsidRDefault="00116D21" w:rsidP="00CA7291">
            <w:pPr>
              <w:pStyle w:val="TableText"/>
            </w:pPr>
          </w:p>
        </w:tc>
        <w:tc>
          <w:tcPr>
            <w:tcW w:w="1316" w:type="dxa"/>
            <w:vMerge/>
            <w:vAlign w:val="center"/>
            <w:hideMark/>
          </w:tcPr>
          <w:p w:rsidR="00116D21" w:rsidRPr="00121F12" w:rsidRDefault="00116D21" w:rsidP="00CA7291">
            <w:pPr>
              <w:pStyle w:val="TableText"/>
            </w:pPr>
          </w:p>
        </w:tc>
        <w:tc>
          <w:tcPr>
            <w:tcW w:w="1316" w:type="dxa"/>
            <w:shd w:val="clear" w:color="auto" w:fill="auto"/>
            <w:noWrap/>
            <w:vAlign w:val="center"/>
            <w:hideMark/>
          </w:tcPr>
          <w:p w:rsidR="00116D21" w:rsidRPr="00121F12" w:rsidRDefault="00116D21" w:rsidP="00CA7291">
            <w:pPr>
              <w:pStyle w:val="TableText"/>
            </w:pPr>
            <w:r w:rsidRPr="00121F12">
              <w:t>Downward</w:t>
            </w:r>
          </w:p>
        </w:tc>
        <w:tc>
          <w:tcPr>
            <w:tcW w:w="960" w:type="dxa"/>
            <w:shd w:val="clear" w:color="auto" w:fill="auto"/>
            <w:noWrap/>
            <w:vAlign w:val="center"/>
            <w:hideMark/>
          </w:tcPr>
          <w:p w:rsidR="00116D21" w:rsidRPr="00121F12" w:rsidRDefault="00116D21" w:rsidP="00CA7291">
            <w:pPr>
              <w:pStyle w:val="TableText"/>
            </w:pPr>
            <w:r w:rsidRPr="00121F12">
              <w:t>10.7%</w:t>
            </w:r>
          </w:p>
        </w:tc>
        <w:tc>
          <w:tcPr>
            <w:tcW w:w="960" w:type="dxa"/>
            <w:shd w:val="clear" w:color="auto" w:fill="auto"/>
            <w:noWrap/>
            <w:vAlign w:val="center"/>
            <w:hideMark/>
          </w:tcPr>
          <w:p w:rsidR="00116D21" w:rsidRPr="00121F12" w:rsidRDefault="00116D21" w:rsidP="00CA7291">
            <w:pPr>
              <w:pStyle w:val="TableText"/>
            </w:pPr>
            <w:r w:rsidRPr="00121F12">
              <w:t>9.0%</w:t>
            </w:r>
          </w:p>
        </w:tc>
        <w:tc>
          <w:tcPr>
            <w:tcW w:w="960" w:type="dxa"/>
            <w:shd w:val="clear" w:color="auto" w:fill="auto"/>
            <w:noWrap/>
            <w:vAlign w:val="center"/>
            <w:hideMark/>
          </w:tcPr>
          <w:p w:rsidR="00116D21" w:rsidRPr="00121F12" w:rsidRDefault="00116D21" w:rsidP="00CA7291">
            <w:pPr>
              <w:pStyle w:val="TableText"/>
            </w:pPr>
            <w:r w:rsidRPr="00121F12">
              <w:t>7.8%</w:t>
            </w:r>
          </w:p>
        </w:tc>
        <w:tc>
          <w:tcPr>
            <w:tcW w:w="960" w:type="dxa"/>
            <w:shd w:val="clear" w:color="auto" w:fill="auto"/>
            <w:noWrap/>
            <w:vAlign w:val="center"/>
            <w:hideMark/>
          </w:tcPr>
          <w:p w:rsidR="00116D21" w:rsidRPr="00121F12" w:rsidRDefault="00116D21" w:rsidP="00CA7291">
            <w:pPr>
              <w:pStyle w:val="TableText"/>
            </w:pPr>
            <w:r w:rsidRPr="00121F12">
              <w:t>6.7%</w:t>
            </w:r>
          </w:p>
        </w:tc>
      </w:tr>
      <w:tr w:rsidR="00116D21" w:rsidRPr="00121F12" w:rsidTr="00B523D8">
        <w:trPr>
          <w:trHeight w:val="315"/>
          <w:jc w:val="center"/>
        </w:trPr>
        <w:tc>
          <w:tcPr>
            <w:tcW w:w="1206" w:type="dxa"/>
            <w:vMerge/>
            <w:vAlign w:val="center"/>
            <w:hideMark/>
          </w:tcPr>
          <w:p w:rsidR="00116D21" w:rsidRPr="00121F12" w:rsidRDefault="00116D21" w:rsidP="00CA7291">
            <w:pPr>
              <w:pStyle w:val="TableText"/>
            </w:pPr>
          </w:p>
        </w:tc>
        <w:tc>
          <w:tcPr>
            <w:tcW w:w="1316" w:type="dxa"/>
            <w:vMerge/>
            <w:vAlign w:val="center"/>
            <w:hideMark/>
          </w:tcPr>
          <w:p w:rsidR="00116D21" w:rsidRPr="00121F12" w:rsidRDefault="00116D21" w:rsidP="00CA7291">
            <w:pPr>
              <w:pStyle w:val="TableText"/>
            </w:pPr>
          </w:p>
        </w:tc>
        <w:tc>
          <w:tcPr>
            <w:tcW w:w="1316" w:type="dxa"/>
            <w:shd w:val="clear" w:color="auto" w:fill="auto"/>
            <w:noWrap/>
            <w:vAlign w:val="center"/>
            <w:hideMark/>
          </w:tcPr>
          <w:p w:rsidR="00116D21" w:rsidRPr="00121F12" w:rsidRDefault="00116D21" w:rsidP="00CA7291">
            <w:pPr>
              <w:pStyle w:val="TableText"/>
            </w:pPr>
            <w:r w:rsidRPr="00121F12">
              <w:t>TOTAL</w:t>
            </w:r>
          </w:p>
        </w:tc>
        <w:tc>
          <w:tcPr>
            <w:tcW w:w="960" w:type="dxa"/>
            <w:shd w:val="clear" w:color="auto" w:fill="auto"/>
            <w:noWrap/>
            <w:vAlign w:val="center"/>
            <w:hideMark/>
          </w:tcPr>
          <w:p w:rsidR="00116D21" w:rsidRPr="00121F12" w:rsidRDefault="00116D21" w:rsidP="00CA7291">
            <w:pPr>
              <w:pStyle w:val="TableText"/>
            </w:pPr>
            <w:r w:rsidRPr="00121F12">
              <w:t>24.9%</w:t>
            </w:r>
          </w:p>
        </w:tc>
        <w:tc>
          <w:tcPr>
            <w:tcW w:w="960" w:type="dxa"/>
            <w:shd w:val="clear" w:color="auto" w:fill="auto"/>
            <w:noWrap/>
            <w:vAlign w:val="center"/>
            <w:hideMark/>
          </w:tcPr>
          <w:p w:rsidR="00116D21" w:rsidRPr="00121F12" w:rsidRDefault="00116D21" w:rsidP="00CA7291">
            <w:pPr>
              <w:pStyle w:val="TableText"/>
            </w:pPr>
            <w:r w:rsidRPr="00121F12">
              <w:t>17.9%</w:t>
            </w:r>
          </w:p>
        </w:tc>
        <w:tc>
          <w:tcPr>
            <w:tcW w:w="960" w:type="dxa"/>
            <w:shd w:val="clear" w:color="auto" w:fill="auto"/>
            <w:noWrap/>
            <w:vAlign w:val="center"/>
            <w:hideMark/>
          </w:tcPr>
          <w:p w:rsidR="00116D21" w:rsidRPr="00121F12" w:rsidRDefault="00116D21" w:rsidP="00CA7291">
            <w:pPr>
              <w:pStyle w:val="TableText"/>
            </w:pPr>
            <w:r w:rsidRPr="00121F12">
              <w:t>14.8%</w:t>
            </w:r>
          </w:p>
        </w:tc>
        <w:tc>
          <w:tcPr>
            <w:tcW w:w="960" w:type="dxa"/>
            <w:shd w:val="clear" w:color="auto" w:fill="auto"/>
            <w:noWrap/>
            <w:vAlign w:val="center"/>
            <w:hideMark/>
          </w:tcPr>
          <w:p w:rsidR="00116D21" w:rsidRPr="00121F12" w:rsidRDefault="00116D21" w:rsidP="00CA7291">
            <w:pPr>
              <w:pStyle w:val="TableText"/>
            </w:pPr>
            <w:r w:rsidRPr="00121F12">
              <w:t>11.9%</w:t>
            </w:r>
          </w:p>
        </w:tc>
      </w:tr>
    </w:tbl>
    <w:p w:rsidR="008B5314" w:rsidRDefault="00116D21">
      <w:pPr>
        <w:pStyle w:val="Heading2"/>
        <w:spacing w:before="360"/>
        <w:ind w:left="547" w:hanging="547"/>
      </w:pPr>
      <w:bookmarkStart w:id="51" w:name="_Toc326055577"/>
      <w:bookmarkStart w:id="52" w:name="_Toc326064049"/>
      <w:bookmarkStart w:id="53" w:name="_Toc318393839"/>
      <w:bookmarkStart w:id="54" w:name="_Toc318789284"/>
      <w:bookmarkStart w:id="55" w:name="_Toc324232557"/>
      <w:bookmarkStart w:id="56" w:name="_Toc326150802"/>
      <w:bookmarkEnd w:id="51"/>
      <w:bookmarkEnd w:id="52"/>
      <w:r>
        <w:t>SDG&amp;E Event Day Comparison</w:t>
      </w:r>
      <w:bookmarkEnd w:id="53"/>
      <w:bookmarkEnd w:id="54"/>
      <w:bookmarkEnd w:id="55"/>
      <w:bookmarkEnd w:id="56"/>
    </w:p>
    <w:p w:rsidR="00116D21" w:rsidRDefault="00116D21" w:rsidP="00116D21">
      <w:pPr>
        <w:pStyle w:val="BodyParagraph"/>
      </w:pPr>
      <w:bookmarkStart w:id="57" w:name="_Toc318393840"/>
      <w:bookmarkStart w:id="58" w:name="_Toc318789285"/>
      <w:r>
        <w:t xml:space="preserve">This section compares the evaluation results to the estimates produced by applying the 32 baseline types shown in Table </w:t>
      </w:r>
      <w:r w:rsidR="0037784F">
        <w:t>1-1</w:t>
      </w:r>
      <w:r>
        <w:t>.  It also discusses the impact of adjusting baselines at the individual level and at the settlement portfolio level on the magnitude of in-day adjustments.</w:t>
      </w:r>
    </w:p>
    <w:p w:rsidR="00116D21" w:rsidRDefault="00116D21" w:rsidP="00116D21">
      <w:pPr>
        <w:pStyle w:val="Heading3"/>
      </w:pPr>
      <w:bookmarkStart w:id="59" w:name="_Toc324232558"/>
      <w:bookmarkStart w:id="60" w:name="_Toc326150803"/>
      <w:r w:rsidRPr="00073837">
        <w:t>Detailed Comparison of Evaluation and Baseline Results</w:t>
      </w:r>
      <w:bookmarkEnd w:id="57"/>
      <w:bookmarkEnd w:id="58"/>
      <w:bookmarkEnd w:id="59"/>
      <w:bookmarkEnd w:id="60"/>
    </w:p>
    <w:p w:rsidR="00116D21" w:rsidRDefault="00116D21" w:rsidP="00116D21">
      <w:pPr>
        <w:pStyle w:val="BodyParagraph"/>
      </w:pPr>
      <w:r>
        <w:t>Table 2-6 shows the demand reductions calculated by each set of baseline rules for SDG&amp;E’s CBP program.  As with the tables presented for PG&amp;E and SCE, the first row in the table shows impacts calculated by the regression, while the bolded row shows the impacts calculated by the current</w:t>
      </w:r>
      <w:r w:rsidR="000E10B0">
        <w:t> </w:t>
      </w:r>
      <w:r>
        <w:t xml:space="preserve">baseline. </w:t>
      </w:r>
    </w:p>
    <w:p w:rsidR="00CA7291" w:rsidRDefault="00CA7291">
      <w:pPr>
        <w:rPr>
          <w:rFonts w:ascii="Verdana" w:hAnsi="Verdana"/>
          <w:sz w:val="18"/>
        </w:rPr>
      </w:pPr>
      <w:r>
        <w:br w:type="page"/>
      </w:r>
    </w:p>
    <w:p w:rsidR="00116D21" w:rsidRDefault="00116D21" w:rsidP="00116D21">
      <w:pPr>
        <w:pStyle w:val="TableFigureCaption"/>
      </w:pPr>
      <w:r>
        <w:lastRenderedPageBreak/>
        <w:t xml:space="preserve">Table 2-6: Comparison of Evaluation Results and Demand Reductions </w:t>
      </w:r>
      <w:r w:rsidR="000E10B0">
        <w:br/>
      </w:r>
      <w:r>
        <w:t>Estimated Using the Alternate Baseline Rules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tblPr>
      <w:tblGrid>
        <w:gridCol w:w="1785"/>
        <w:gridCol w:w="1707"/>
        <w:gridCol w:w="1391"/>
        <w:gridCol w:w="1219"/>
        <w:gridCol w:w="1092"/>
        <w:gridCol w:w="1248"/>
        <w:gridCol w:w="1062"/>
      </w:tblGrid>
      <w:tr w:rsidR="00116D21" w:rsidRPr="0048545D" w:rsidTr="00B523D8">
        <w:trPr>
          <w:trHeight w:val="300"/>
        </w:trPr>
        <w:tc>
          <w:tcPr>
            <w:tcW w:w="0" w:type="auto"/>
            <w:vMerge w:val="restart"/>
            <w:tcBorders>
              <w:right w:val="single" w:sz="4" w:space="0" w:color="FFFFFF" w:themeColor="background1"/>
            </w:tcBorders>
            <w:shd w:val="clear" w:color="000000" w:fill="376091"/>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Application of Baselines</w:t>
            </w:r>
          </w:p>
        </w:tc>
        <w:tc>
          <w:tcPr>
            <w:tcW w:w="0" w:type="auto"/>
            <w:vMerge w:val="restart"/>
            <w:tcBorders>
              <w:left w:val="single" w:sz="4" w:space="0" w:color="FFFFFF" w:themeColor="background1"/>
              <w:right w:val="single" w:sz="4" w:space="0" w:color="FFFFFF" w:themeColor="background1"/>
            </w:tcBorders>
            <w:shd w:val="clear" w:color="000000" w:fill="376091"/>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Adjustment Option</w:t>
            </w:r>
          </w:p>
        </w:tc>
        <w:tc>
          <w:tcPr>
            <w:tcW w:w="0" w:type="auto"/>
            <w:vMerge w:val="restart"/>
            <w:tcBorders>
              <w:left w:val="single" w:sz="4" w:space="0" w:color="FFFFFF" w:themeColor="background1"/>
              <w:right w:val="single" w:sz="4" w:space="0" w:color="FFFFFF" w:themeColor="background1"/>
            </w:tcBorders>
            <w:shd w:val="clear" w:color="000000" w:fill="376091"/>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Adjustment Cap</w:t>
            </w:r>
          </w:p>
        </w:tc>
        <w:tc>
          <w:tcPr>
            <w:tcW w:w="0" w:type="auto"/>
            <w:gridSpan w:val="4"/>
            <w:tcBorders>
              <w:left w:val="single" w:sz="4" w:space="0" w:color="FFFFFF" w:themeColor="background1"/>
              <w:bottom w:val="single" w:sz="4" w:space="0" w:color="FFFFFF" w:themeColor="background1"/>
            </w:tcBorders>
            <w:shd w:val="clear" w:color="000000" w:fill="376091"/>
            <w:noWrap/>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Capacity Bidding Program</w:t>
            </w:r>
          </w:p>
        </w:tc>
      </w:tr>
      <w:tr w:rsidR="00116D21" w:rsidRPr="0048545D" w:rsidTr="00B523D8">
        <w:trPr>
          <w:trHeight w:val="300"/>
        </w:trPr>
        <w:tc>
          <w:tcPr>
            <w:tcW w:w="0" w:type="auto"/>
            <w:vMerge/>
            <w:tcBorders>
              <w:right w:val="single" w:sz="4" w:space="0" w:color="FFFFFF" w:themeColor="background1"/>
            </w:tcBorders>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p>
        </w:tc>
        <w:tc>
          <w:tcPr>
            <w:tcW w:w="0" w:type="auto"/>
            <w:vMerge/>
            <w:tcBorders>
              <w:left w:val="single" w:sz="4" w:space="0" w:color="FFFFFF" w:themeColor="background1"/>
              <w:right w:val="single" w:sz="4" w:space="0" w:color="FFFFFF" w:themeColor="background1"/>
            </w:tcBorders>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p>
        </w:tc>
        <w:tc>
          <w:tcPr>
            <w:tcW w:w="0" w:type="auto"/>
            <w:vMerge/>
            <w:tcBorders>
              <w:left w:val="single" w:sz="4" w:space="0" w:color="FFFFFF" w:themeColor="background1"/>
              <w:right w:val="single" w:sz="4" w:space="0" w:color="FFFFFF" w:themeColor="background1"/>
            </w:tcBorders>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76091"/>
            <w:noWrap/>
            <w:vAlign w:val="center"/>
            <w:hideMark/>
          </w:tcPr>
          <w:p w:rsidR="00116D21" w:rsidRPr="0048545D" w:rsidRDefault="00116D21" w:rsidP="00B523D8">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Day-</w:t>
            </w:r>
            <w:r w:rsidR="00B523D8">
              <w:rPr>
                <w:rFonts w:ascii="Arial" w:eastAsia="Times New Roman" w:hAnsi="Arial" w:cs="Arial"/>
                <w:b/>
                <w:bCs/>
                <w:color w:val="FFFFFF"/>
                <w:sz w:val="18"/>
                <w:szCs w:val="18"/>
              </w:rPr>
              <w:t>o</w:t>
            </w:r>
            <w:r w:rsidRPr="0048545D">
              <w:rPr>
                <w:rFonts w:ascii="Arial" w:eastAsia="Times New Roman" w:hAnsi="Arial" w:cs="Arial"/>
                <w:b/>
                <w:bCs/>
                <w:color w:val="FFFFFF"/>
                <w:sz w:val="18"/>
                <w:szCs w:val="18"/>
              </w:rPr>
              <w:t>f</w:t>
            </w:r>
          </w:p>
        </w:tc>
        <w:tc>
          <w:tcPr>
            <w:tcW w:w="0" w:type="auto"/>
            <w:gridSpan w:val="2"/>
            <w:tcBorders>
              <w:top w:val="single" w:sz="4" w:space="0" w:color="FFFFFF" w:themeColor="background1"/>
              <w:left w:val="single" w:sz="4" w:space="0" w:color="FFFFFF" w:themeColor="background1"/>
              <w:bottom w:val="single" w:sz="4" w:space="0" w:color="FFFFFF" w:themeColor="background1"/>
            </w:tcBorders>
            <w:shd w:val="clear" w:color="000000" w:fill="376091"/>
            <w:noWrap/>
            <w:vAlign w:val="center"/>
            <w:hideMark/>
          </w:tcPr>
          <w:p w:rsidR="00116D21" w:rsidRPr="0048545D" w:rsidRDefault="00116D21" w:rsidP="00B523D8">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Day-</w:t>
            </w:r>
            <w:r w:rsidR="00B523D8">
              <w:rPr>
                <w:rFonts w:ascii="Arial" w:eastAsia="Times New Roman" w:hAnsi="Arial" w:cs="Arial"/>
                <w:b/>
                <w:bCs/>
                <w:color w:val="FFFFFF"/>
                <w:sz w:val="18"/>
                <w:szCs w:val="18"/>
              </w:rPr>
              <w:t>a</w:t>
            </w:r>
            <w:r w:rsidRPr="0048545D">
              <w:rPr>
                <w:rFonts w:ascii="Arial" w:eastAsia="Times New Roman" w:hAnsi="Arial" w:cs="Arial"/>
                <w:b/>
                <w:bCs/>
                <w:color w:val="FFFFFF"/>
                <w:sz w:val="18"/>
                <w:szCs w:val="18"/>
              </w:rPr>
              <w:t>head</w:t>
            </w:r>
          </w:p>
        </w:tc>
      </w:tr>
      <w:tr w:rsidR="00116D21" w:rsidRPr="0048545D" w:rsidTr="00B523D8">
        <w:trPr>
          <w:trHeight w:val="940"/>
        </w:trPr>
        <w:tc>
          <w:tcPr>
            <w:tcW w:w="0" w:type="auto"/>
            <w:vMerge/>
            <w:tcBorders>
              <w:right w:val="single" w:sz="4" w:space="0" w:color="FFFFFF" w:themeColor="background1"/>
            </w:tcBorders>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p>
        </w:tc>
        <w:tc>
          <w:tcPr>
            <w:tcW w:w="0" w:type="auto"/>
            <w:vMerge/>
            <w:tcBorders>
              <w:left w:val="single" w:sz="4" w:space="0" w:color="FFFFFF" w:themeColor="background1"/>
              <w:right w:val="single" w:sz="4" w:space="0" w:color="FFFFFF" w:themeColor="background1"/>
            </w:tcBorders>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p>
        </w:tc>
        <w:tc>
          <w:tcPr>
            <w:tcW w:w="0" w:type="auto"/>
            <w:vMerge/>
            <w:tcBorders>
              <w:left w:val="single" w:sz="4" w:space="0" w:color="FFFFFF" w:themeColor="background1"/>
              <w:right w:val="single" w:sz="4" w:space="0" w:color="FFFFFF" w:themeColor="background1"/>
            </w:tcBorders>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p>
        </w:tc>
        <w:tc>
          <w:tcPr>
            <w:tcW w:w="1219"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Estimated Impacts</w:t>
            </w:r>
          </w:p>
        </w:tc>
        <w:tc>
          <w:tcPr>
            <w:tcW w:w="1092"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w:t>
            </w:r>
          </w:p>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of M&amp;E</w:t>
            </w:r>
          </w:p>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Results</w:t>
            </w:r>
          </w:p>
        </w:tc>
        <w:tc>
          <w:tcPr>
            <w:tcW w:w="1248"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Estimated Impacts</w:t>
            </w:r>
          </w:p>
        </w:tc>
        <w:tc>
          <w:tcPr>
            <w:tcW w:w="1062" w:type="dxa"/>
            <w:tcBorders>
              <w:top w:val="single" w:sz="4" w:space="0" w:color="FFFFFF" w:themeColor="background1"/>
              <w:left w:val="single" w:sz="4" w:space="0" w:color="FFFFFF" w:themeColor="background1"/>
            </w:tcBorders>
            <w:shd w:val="clear" w:color="000000" w:fill="376091"/>
            <w:vAlign w:val="center"/>
            <w:hideMark/>
          </w:tcPr>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w:t>
            </w:r>
          </w:p>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of M&amp;E</w:t>
            </w:r>
          </w:p>
          <w:p w:rsidR="00116D21" w:rsidRPr="0048545D" w:rsidRDefault="00116D21" w:rsidP="00CC2233">
            <w:pPr>
              <w:spacing w:after="0" w:line="240" w:lineRule="auto"/>
              <w:jc w:val="center"/>
              <w:rPr>
                <w:rFonts w:ascii="Arial" w:eastAsia="Times New Roman" w:hAnsi="Arial" w:cs="Arial"/>
                <w:b/>
                <w:bCs/>
                <w:color w:val="FFFFFF"/>
                <w:sz w:val="18"/>
                <w:szCs w:val="18"/>
              </w:rPr>
            </w:pPr>
            <w:r w:rsidRPr="0048545D">
              <w:rPr>
                <w:rFonts w:ascii="Arial" w:eastAsia="Times New Roman" w:hAnsi="Arial" w:cs="Arial"/>
                <w:b/>
                <w:bCs/>
                <w:color w:val="FFFFFF"/>
                <w:sz w:val="18"/>
                <w:szCs w:val="18"/>
              </w:rPr>
              <w:t>Results</w:t>
            </w:r>
          </w:p>
        </w:tc>
      </w:tr>
      <w:tr w:rsidR="00116D21" w:rsidRPr="0048545D" w:rsidTr="00B523D8">
        <w:trPr>
          <w:trHeight w:hRule="exact" w:val="288"/>
        </w:trPr>
        <w:tc>
          <w:tcPr>
            <w:tcW w:w="0" w:type="auto"/>
            <w:gridSpan w:val="3"/>
            <w:shd w:val="clear" w:color="000000" w:fill="FFFFFF"/>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M&amp;E Result</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11.4</w:t>
            </w:r>
          </w:p>
        </w:tc>
        <w:tc>
          <w:tcPr>
            <w:tcW w:w="1092" w:type="dxa"/>
            <w:shd w:val="clear" w:color="auto" w:fill="auto"/>
            <w:noWrap/>
            <w:vAlign w:val="center"/>
            <w:hideMark/>
          </w:tcPr>
          <w:p w:rsidR="00116D21" w:rsidRPr="0048545D" w:rsidRDefault="006F0A13"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11.0</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w:t>
            </w:r>
          </w:p>
        </w:tc>
      </w:tr>
      <w:tr w:rsidR="00116D21" w:rsidRPr="0048545D" w:rsidTr="00B523D8">
        <w:trPr>
          <w:trHeight w:hRule="exact" w:val="288"/>
        </w:trPr>
        <w:tc>
          <w:tcPr>
            <w:tcW w:w="1785" w:type="dxa"/>
            <w:vMerge w:val="restart"/>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Individual</w:t>
            </w:r>
          </w:p>
        </w:tc>
        <w:tc>
          <w:tcPr>
            <w:tcW w:w="1707" w:type="dxa"/>
            <w:vMerge w:val="restart"/>
            <w:shd w:val="clear" w:color="auto" w:fill="auto"/>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Aggregator Choice</w:t>
            </w:r>
          </w:p>
        </w:tc>
        <w:tc>
          <w:tcPr>
            <w:tcW w:w="1391" w:type="dxa"/>
            <w:shd w:val="clear" w:color="auto" w:fill="auto"/>
            <w:noWrap/>
            <w:vAlign w:val="center"/>
            <w:hideMark/>
          </w:tcPr>
          <w:p w:rsidR="00116D21" w:rsidRPr="0048545D" w:rsidRDefault="00F7630F"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Unadjusted</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7.2</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63.1%</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7.4</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67.0%</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b/>
                <w:bCs/>
                <w:color w:val="000000"/>
                <w:sz w:val="18"/>
                <w:szCs w:val="18"/>
              </w:rPr>
            </w:pPr>
            <w:r w:rsidRPr="0048545D">
              <w:rPr>
                <w:rFonts w:ascii="Arial" w:eastAsia="Times New Roman" w:hAnsi="Arial" w:cs="Arial"/>
                <w:b/>
                <w:bCs/>
                <w:color w:val="000000"/>
                <w:sz w:val="18"/>
                <w:szCs w:val="18"/>
              </w:rPr>
              <w:t xml:space="preserve">20% </w:t>
            </w:r>
            <w:r w:rsidRPr="0048545D">
              <w:rPr>
                <w:rFonts w:ascii="Arial" w:eastAsia="Times New Roman" w:hAnsi="Arial" w:cs="Arial"/>
                <w:b/>
                <w:bCs/>
                <w:color w:val="000000"/>
                <w:sz w:val="18"/>
                <w:szCs w:val="18"/>
                <w:vertAlign w:val="superscript"/>
              </w:rPr>
              <w:t>[1]</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b/>
                <w:bCs/>
                <w:color w:val="000000"/>
                <w:sz w:val="18"/>
                <w:szCs w:val="18"/>
              </w:rPr>
            </w:pPr>
            <w:r w:rsidRPr="0048545D">
              <w:rPr>
                <w:rFonts w:ascii="Arial" w:eastAsia="Times New Roman" w:hAnsi="Arial" w:cs="Arial"/>
                <w:b/>
                <w:bCs/>
                <w:color w:val="000000"/>
                <w:sz w:val="18"/>
                <w:szCs w:val="18"/>
              </w:rPr>
              <w:t>9.9</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b/>
                <w:bCs/>
                <w:color w:val="000000"/>
                <w:sz w:val="18"/>
                <w:szCs w:val="18"/>
              </w:rPr>
            </w:pPr>
            <w:r w:rsidRPr="0048545D">
              <w:rPr>
                <w:rFonts w:ascii="Arial" w:eastAsia="Times New Roman" w:hAnsi="Arial" w:cs="Arial"/>
                <w:b/>
                <w:bCs/>
                <w:color w:val="000000"/>
                <w:sz w:val="18"/>
                <w:szCs w:val="18"/>
              </w:rPr>
              <w:t>86.3%</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b/>
                <w:bCs/>
                <w:color w:val="000000"/>
                <w:sz w:val="18"/>
                <w:szCs w:val="18"/>
              </w:rPr>
            </w:pPr>
            <w:r w:rsidRPr="0048545D">
              <w:rPr>
                <w:rFonts w:ascii="Arial" w:eastAsia="Times New Roman" w:hAnsi="Arial" w:cs="Arial"/>
                <w:b/>
                <w:bCs/>
                <w:color w:val="000000"/>
                <w:sz w:val="18"/>
                <w:szCs w:val="18"/>
              </w:rPr>
              <w:t>8.6</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b/>
                <w:bCs/>
                <w:color w:val="000000"/>
                <w:sz w:val="18"/>
                <w:szCs w:val="18"/>
              </w:rPr>
            </w:pPr>
            <w:r w:rsidRPr="0048545D">
              <w:rPr>
                <w:rFonts w:ascii="Arial" w:eastAsia="Times New Roman" w:hAnsi="Arial" w:cs="Arial"/>
                <w:b/>
                <w:bCs/>
                <w:color w:val="000000"/>
                <w:sz w:val="18"/>
                <w:szCs w:val="18"/>
              </w:rPr>
              <w:t>77.9%</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30%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10.1</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88.1%</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8.9</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80.3%</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35%</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10.1</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88.5%</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8.9</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81.0%</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40%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10.1</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88.8%</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9.0</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81.3%</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50%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10.2</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89.1%</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9.0</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81.7%</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2x</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10.2</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89.4%</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82.4%</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F7630F"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Unlimited</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10.2</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89.1%</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82.5%</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restart"/>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Universal</w:t>
            </w:r>
          </w:p>
        </w:tc>
        <w:tc>
          <w:tcPr>
            <w:tcW w:w="1391" w:type="dxa"/>
            <w:shd w:val="clear" w:color="auto" w:fill="auto"/>
            <w:noWrap/>
            <w:vAlign w:val="center"/>
            <w:hideMark/>
          </w:tcPr>
          <w:p w:rsidR="00116D21" w:rsidRPr="0048545D" w:rsidRDefault="00F7630F"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Unadjusted</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7.2</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63.1%</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7.4</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67.0%</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20%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10.8</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94.8%</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8.4</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75.9%</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30%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11.1</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97.4%</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8.7</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79.0%</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35%</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11.2</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97.9%</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8.9</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80.9%</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40%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11.2</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98.2%</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82.2%</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50%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11.2</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98.4%</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82.7%</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2x</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11.3</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98.7%</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9.4</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85.3%</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F7630F"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Unlimited</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11.2</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98.0%</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10.5</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95.6%</w:t>
            </w:r>
          </w:p>
        </w:tc>
      </w:tr>
      <w:tr w:rsidR="00116D21" w:rsidRPr="0048545D" w:rsidTr="00B523D8">
        <w:trPr>
          <w:trHeight w:hRule="exact" w:val="288"/>
        </w:trPr>
        <w:tc>
          <w:tcPr>
            <w:tcW w:w="1785" w:type="dxa"/>
            <w:vMerge w:val="restart"/>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Aggregate</w:t>
            </w:r>
          </w:p>
        </w:tc>
        <w:tc>
          <w:tcPr>
            <w:tcW w:w="1707" w:type="dxa"/>
            <w:vMerge w:val="restart"/>
            <w:shd w:val="clear" w:color="auto" w:fill="auto"/>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Aggregator Choice</w:t>
            </w:r>
          </w:p>
        </w:tc>
        <w:tc>
          <w:tcPr>
            <w:tcW w:w="1391" w:type="dxa"/>
            <w:shd w:val="clear" w:color="auto" w:fill="auto"/>
            <w:noWrap/>
            <w:vAlign w:val="center"/>
            <w:hideMark/>
          </w:tcPr>
          <w:p w:rsidR="00116D21" w:rsidRPr="0048545D" w:rsidRDefault="00F7630F"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Unadjusted</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6.6</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57.6%</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7.4</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67.0%</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20%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9.4</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82.2%</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8.9</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81.0%</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30%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9.5</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82.8%</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82.2%</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35%</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9.5</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82.8%</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82.2%</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40%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9.5</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82.8%</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82.2%</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50%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9.5</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82.8%</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82.2%</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2x</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9.5</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82.8%</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82.2%</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F7630F"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Unlimited</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9.5</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82.8%</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82.2%</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restart"/>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Universal</w:t>
            </w:r>
          </w:p>
        </w:tc>
        <w:tc>
          <w:tcPr>
            <w:tcW w:w="1391" w:type="dxa"/>
            <w:shd w:val="clear" w:color="auto" w:fill="auto"/>
            <w:noWrap/>
            <w:vAlign w:val="center"/>
            <w:hideMark/>
          </w:tcPr>
          <w:p w:rsidR="00116D21" w:rsidRPr="0048545D" w:rsidRDefault="00F7630F"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Unadjusted</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6.6</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57.6%</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7.4</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67.0%</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20%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10.3</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90.4%</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9.8</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88.5%</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30%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10.4</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91.4%</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9.9</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90.1%</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35%</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10.4</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91.4%</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9.9</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90.0%</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40%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10.4</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91.4%</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9.9</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90.0%</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50%</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10.4</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91.4%</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9.9</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89.8%</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2x</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10.4</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91.4%</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9.9</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90.1%</w:t>
            </w:r>
          </w:p>
        </w:tc>
      </w:tr>
      <w:tr w:rsidR="00116D21" w:rsidRPr="0048545D" w:rsidTr="00B523D8">
        <w:trPr>
          <w:trHeight w:hRule="exact" w:val="288"/>
        </w:trPr>
        <w:tc>
          <w:tcPr>
            <w:tcW w:w="1785"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707" w:type="dxa"/>
            <w:vMerge/>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p>
        </w:tc>
        <w:tc>
          <w:tcPr>
            <w:tcW w:w="1391" w:type="dxa"/>
            <w:shd w:val="clear" w:color="auto" w:fill="auto"/>
            <w:noWrap/>
            <w:vAlign w:val="center"/>
            <w:hideMark/>
          </w:tcPr>
          <w:p w:rsidR="00116D21" w:rsidRPr="0048545D" w:rsidRDefault="00F7630F"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Unlimited</w:t>
            </w:r>
          </w:p>
        </w:tc>
        <w:tc>
          <w:tcPr>
            <w:tcW w:w="1219"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10.4</w:t>
            </w:r>
          </w:p>
        </w:tc>
        <w:tc>
          <w:tcPr>
            <w:tcW w:w="109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91.4%</w:t>
            </w:r>
          </w:p>
        </w:tc>
        <w:tc>
          <w:tcPr>
            <w:tcW w:w="1248"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9.9</w:t>
            </w:r>
          </w:p>
        </w:tc>
        <w:tc>
          <w:tcPr>
            <w:tcW w:w="1062" w:type="dxa"/>
            <w:shd w:val="clear" w:color="auto" w:fill="auto"/>
            <w:noWrap/>
            <w:vAlign w:val="center"/>
            <w:hideMark/>
          </w:tcPr>
          <w:p w:rsidR="00116D21" w:rsidRPr="0048545D" w:rsidRDefault="00116D21" w:rsidP="00CC2233">
            <w:pPr>
              <w:spacing w:after="0" w:line="240" w:lineRule="auto"/>
              <w:jc w:val="center"/>
              <w:rPr>
                <w:rFonts w:ascii="Arial" w:eastAsia="Times New Roman" w:hAnsi="Arial" w:cs="Arial"/>
                <w:color w:val="000000"/>
                <w:sz w:val="18"/>
                <w:szCs w:val="18"/>
              </w:rPr>
            </w:pPr>
            <w:r w:rsidRPr="0048545D">
              <w:rPr>
                <w:rFonts w:ascii="Arial" w:eastAsia="Times New Roman" w:hAnsi="Arial" w:cs="Arial"/>
                <w:color w:val="000000"/>
                <w:sz w:val="18"/>
                <w:szCs w:val="18"/>
              </w:rPr>
              <w:t>89.9%</w:t>
            </w:r>
          </w:p>
        </w:tc>
      </w:tr>
      <w:tr w:rsidR="00116D21" w:rsidRPr="0048545D" w:rsidTr="00B523D8">
        <w:trPr>
          <w:trHeight w:hRule="exact" w:val="288"/>
        </w:trPr>
        <w:tc>
          <w:tcPr>
            <w:tcW w:w="0" w:type="auto"/>
            <w:gridSpan w:val="7"/>
            <w:tcBorders>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116D21" w:rsidRPr="0048545D" w:rsidRDefault="00116D21" w:rsidP="00B523D8">
            <w:pPr>
              <w:pStyle w:val="Footnote"/>
            </w:pPr>
            <w:r w:rsidRPr="00F7630F">
              <w:t>[1] Current baseline</w:t>
            </w:r>
          </w:p>
        </w:tc>
      </w:tr>
    </w:tbl>
    <w:p w:rsidR="008B5314" w:rsidRDefault="00116D21">
      <w:pPr>
        <w:pStyle w:val="BodyParaAfterTableFigure"/>
      </w:pPr>
      <w:r>
        <w:t>For the CBP-DO resource, the current baseline underestimates demand reductions by 14% when compared to the EM&amp;V results</w:t>
      </w:r>
      <w:r w:rsidR="00F7630F">
        <w:t xml:space="preserve">.  </w:t>
      </w:r>
      <w:r>
        <w:t>This result can be improved by loosening the cap and applying same-</w:t>
      </w:r>
      <w:r>
        <w:lastRenderedPageBreak/>
        <w:t>day adjustments universally (at the individual level)</w:t>
      </w:r>
      <w:r w:rsidR="00F7630F">
        <w:t xml:space="preserve">.  </w:t>
      </w:r>
      <w:r>
        <w:t>Adjusting the baseline at the settlement portfolio level is not as beneficial for these customers, although the universally adjusted baselines still present a significant improvement over the current alternative.</w:t>
      </w:r>
    </w:p>
    <w:p w:rsidR="00116D21" w:rsidRDefault="00116D21" w:rsidP="00116D21">
      <w:pPr>
        <w:pStyle w:val="BodyParagraph"/>
      </w:pPr>
      <w:r>
        <w:t xml:space="preserve">For the CBP-DA resource, the current baseline </w:t>
      </w:r>
      <w:r w:rsidRPr="007E7EFC">
        <w:rPr>
          <w:i/>
        </w:rPr>
        <w:t>underestimates</w:t>
      </w:r>
      <w:r>
        <w:t xml:space="preserve"> load impacts by 22% when compared to the EM&amp;V results</w:t>
      </w:r>
      <w:r w:rsidR="00F7630F">
        <w:t xml:space="preserve">.  </w:t>
      </w:r>
      <w:r>
        <w:t xml:space="preserve">While any adjusted baseline presents an improvement over the current alternative, applying the adjustment at the settlement portfolio level gives the greatest improvement.  However, note that baselines for SDG&amp;E’s CBP-DA resource produce demand reduction estimates with a wide margin of error, in part because the resource includes a fairly small number of large customers with relatively volatile loads.  </w:t>
      </w:r>
    </w:p>
    <w:p w:rsidR="00116D21" w:rsidRDefault="00116D21" w:rsidP="00116D21">
      <w:pPr>
        <w:pStyle w:val="Heading3"/>
      </w:pPr>
      <w:bookmarkStart w:id="61" w:name="_Toc318393841"/>
      <w:bookmarkStart w:id="62" w:name="_Toc318789286"/>
      <w:bookmarkStart w:id="63" w:name="_Toc324232559"/>
      <w:bookmarkStart w:id="64" w:name="_Toc326150804"/>
      <w:r w:rsidRPr="00073837">
        <w:t>Magnitude of Same-day Adjustments</w:t>
      </w:r>
      <w:bookmarkEnd w:id="61"/>
      <w:bookmarkEnd w:id="62"/>
      <w:bookmarkEnd w:id="63"/>
      <w:bookmarkEnd w:id="64"/>
    </w:p>
    <w:p w:rsidR="00116D21" w:rsidRDefault="00116D21" w:rsidP="00116D21">
      <w:pPr>
        <w:pStyle w:val="BodyParagraph"/>
      </w:pPr>
      <w:r>
        <w:t xml:space="preserve">Figure 2-3 combines two histograms of ratio adjustments: the first set shows adjustments calculated for individual CBP customers, while the second shows adjustments calculated </w:t>
      </w:r>
      <w:r w:rsidR="000D3BE1">
        <w:t>when the baselines are estimated using aggregated data for each settlement portfolio</w:t>
      </w:r>
      <w:r>
        <w:t>.  Recall that the ratio adjustment is calculated by taking the measured load during the adjustment window and dividing it by the baseline during the adjustment window.  If the resulting ratio is greater than 1, the baseline is adjusted upward; if it is less than 1, it is adjusted downward.  In Figure 2-3, the x-axis shows the magnitude of such ratio adjustments; as one moves to the right side of the axis, adjustments become more extreme.  (Note that downward adjustments have been inverted so they may be more easily compared; that is, a downward adjustment of 0.5 is shown as “2.”)  The y-axis denotes the relative frequency of each ratio adjustment.</w:t>
      </w:r>
    </w:p>
    <w:p w:rsidR="00116D21" w:rsidRDefault="00116D21" w:rsidP="00116D21">
      <w:pPr>
        <w:pStyle w:val="BodyParagraph"/>
      </w:pPr>
      <w:r>
        <w:t>Very few customers in any program or adjustment level need extreme adjustments.  This helps to explain the finding that the unlimited baseline rarely does much to improve accuracy; most customers simply don’t need very large adjustments, and thus fall below successively higher adjustment caps</w:t>
      </w:r>
      <w:r w:rsidR="00F7630F">
        <w:t xml:space="preserve">.  </w:t>
      </w:r>
      <w:r>
        <w:t>Second, note that aggregated baselines need much lower adjustments than individually calculated baselines</w:t>
      </w:r>
      <w:r w:rsidR="00F7630F">
        <w:t xml:space="preserve">.  </w:t>
      </w:r>
      <w:r>
        <w:t>Finally, adjustments occur in both directions; baselines are just as likely to be adjusted upward as they are to be adjusted</w:t>
      </w:r>
      <w:r w:rsidR="00B523D8">
        <w:t> </w:t>
      </w:r>
      <w:r>
        <w:t>downward.</w:t>
      </w:r>
    </w:p>
    <w:p w:rsidR="00116D21" w:rsidRDefault="00116D21" w:rsidP="00116D21">
      <w:pPr>
        <w:pStyle w:val="TableFigureCaption"/>
      </w:pPr>
      <w:r>
        <w:t>Figure 2-3: SD</w:t>
      </w:r>
      <w:r>
        <w:rPr>
          <w:rFonts w:cs="Arial"/>
        </w:rPr>
        <w:t xml:space="preserve">G&amp;E </w:t>
      </w:r>
      <w:r w:rsidRPr="00050374">
        <w:rPr>
          <w:rFonts w:cs="Arial"/>
        </w:rPr>
        <w:t xml:space="preserve">Distribution and Magnitude of </w:t>
      </w:r>
      <w:r>
        <w:rPr>
          <w:rFonts w:cs="Arial"/>
        </w:rPr>
        <w:t>Same</w:t>
      </w:r>
      <w:r w:rsidRPr="00050374">
        <w:rPr>
          <w:rFonts w:cs="Arial"/>
        </w:rPr>
        <w:t>-day Ratio Adjustments (</w:t>
      </w:r>
      <w:r>
        <w:rPr>
          <w:rFonts w:cs="Arial"/>
        </w:rPr>
        <w:t>Uncapped</w:t>
      </w:r>
      <w:r w:rsidRPr="00050374">
        <w:rPr>
          <w:rFonts w:cs="Arial"/>
        </w:rPr>
        <w:t xml:space="preserve">) </w:t>
      </w:r>
    </w:p>
    <w:p w:rsidR="00116D21" w:rsidRDefault="00116D21" w:rsidP="00116D21">
      <w:pPr>
        <w:pStyle w:val="BodyParagraph"/>
      </w:pPr>
      <w:r>
        <w:rPr>
          <w:noProof/>
        </w:rPr>
        <w:drawing>
          <wp:inline distT="0" distB="0" distL="0" distR="0">
            <wp:extent cx="5943600" cy="2286000"/>
            <wp:effectExtent l="19050" t="0" r="0" b="0"/>
            <wp:docPr id="54" name="Picture 54" descr="T:\FSC\1563 2011 Statewide Aggregator Evaluation\Draft report\Volume II Tables\Adjustment graphs\SDG&amp;E C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FSC\1563 2011 Statewide Aggregator Evaluation\Draft report\Volume II Tables\Adjustment graphs\SDG&amp;E CBP.png"/>
                    <pic:cNvPicPr>
                      <a:picLocks noChangeAspect="1" noChangeArrowheads="1"/>
                    </pic:cNvPicPr>
                  </pic:nvPicPr>
                  <pic:blipFill>
                    <a:blip r:embed="rId25"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116D21" w:rsidRDefault="00116D21" w:rsidP="00B523D8">
      <w:pPr>
        <w:pStyle w:val="BodyParaAfterTableFigure"/>
      </w:pPr>
      <w:r w:rsidRPr="00050374">
        <w:lastRenderedPageBreak/>
        <w:t xml:space="preserve">Table </w:t>
      </w:r>
      <w:r>
        <w:t>2</w:t>
      </w:r>
      <w:r w:rsidRPr="00050374">
        <w:t>-</w:t>
      </w:r>
      <w:r>
        <w:t>7</w:t>
      </w:r>
      <w:r w:rsidRPr="00050374">
        <w:t xml:space="preserve"> shows </w:t>
      </w:r>
      <w:r>
        <w:t xml:space="preserve">the share of observations </w:t>
      </w:r>
      <w:r w:rsidRPr="00050374">
        <w:t>by program</w:t>
      </w:r>
      <w:r>
        <w:t xml:space="preserve"> and dispatch option exceeding different </w:t>
      </w:r>
      <w:r w:rsidR="00E535D9">
        <w:t>same-day</w:t>
      </w:r>
      <w:r>
        <w:t xml:space="preserve"> adjustment caps</w:t>
      </w:r>
      <w:r w:rsidRPr="00050374">
        <w:t>.</w:t>
      </w:r>
      <w:r>
        <w:t xml:space="preserve">  T</w:t>
      </w:r>
      <w:r w:rsidRPr="00050374">
        <w:t xml:space="preserve">he table reinforces the point </w:t>
      </w:r>
      <w:r>
        <w:t xml:space="preserve">that </w:t>
      </w:r>
      <w:r w:rsidRPr="00050374">
        <w:t>large adjustment</w:t>
      </w:r>
      <w:r>
        <w:t>s are rarely required.  It also shows that adjustments caps are exceeded less often when the baselines are calculated after aggregating loads for each settlement portfolio, particularly when settlement portfolios have a large number of customers such as those in the aggregator contracts.</w:t>
      </w:r>
      <w:r w:rsidRPr="00073837">
        <w:t xml:space="preserve"> </w:t>
      </w:r>
    </w:p>
    <w:p w:rsidR="00116D21" w:rsidRDefault="00116D21" w:rsidP="00116D21">
      <w:pPr>
        <w:pStyle w:val="TableFigureCaption"/>
      </w:pPr>
      <w:r>
        <w:t xml:space="preserve">Table 2-7: </w:t>
      </w:r>
      <w:r w:rsidRPr="00A6181C">
        <w:t>Share of Observation</w:t>
      </w:r>
      <w:r>
        <w:t>s</w:t>
      </w:r>
      <w:r w:rsidRPr="00A6181C">
        <w:t xml:space="preserve"> Exceeding </w:t>
      </w:r>
      <w:r w:rsidR="00E535D9">
        <w:t>Same-day</w:t>
      </w:r>
      <w:r w:rsidRPr="00A6181C">
        <w:t xml:space="preserve"> Adjustment Thresholds</w:t>
      </w:r>
      <w:r>
        <w:t xml:space="preserve"> </w:t>
      </w:r>
    </w:p>
    <w:tbl>
      <w:tblPr>
        <w:tblW w:w="7511"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
        <w:gridCol w:w="1316"/>
        <w:gridCol w:w="1316"/>
        <w:gridCol w:w="960"/>
        <w:gridCol w:w="960"/>
        <w:gridCol w:w="960"/>
        <w:gridCol w:w="960"/>
      </w:tblGrid>
      <w:tr w:rsidR="00116D21" w:rsidRPr="00FE3DAF" w:rsidTr="00B523D8">
        <w:trPr>
          <w:trHeight w:val="315"/>
          <w:jc w:val="center"/>
        </w:trPr>
        <w:tc>
          <w:tcPr>
            <w:tcW w:w="1039" w:type="dxa"/>
            <w:vMerge w:val="restart"/>
            <w:tcBorders>
              <w:right w:val="single" w:sz="4" w:space="0" w:color="FFFFFF" w:themeColor="background1"/>
            </w:tcBorders>
            <w:shd w:val="clear" w:color="000000" w:fill="1F497D"/>
            <w:vAlign w:val="center"/>
            <w:hideMark/>
          </w:tcPr>
          <w:p w:rsidR="00116D21" w:rsidRPr="00FE3DAF" w:rsidRDefault="00116D21" w:rsidP="00B523D8">
            <w:pPr>
              <w:pStyle w:val="TableHeader"/>
            </w:pPr>
            <w:r w:rsidRPr="00FE3DAF">
              <w:t>Program</w:t>
            </w:r>
          </w:p>
        </w:tc>
        <w:tc>
          <w:tcPr>
            <w:tcW w:w="1316" w:type="dxa"/>
            <w:vMerge w:val="restart"/>
            <w:tcBorders>
              <w:left w:val="single" w:sz="4" w:space="0" w:color="FFFFFF" w:themeColor="background1"/>
              <w:right w:val="single" w:sz="4" w:space="0" w:color="FFFFFF" w:themeColor="background1"/>
            </w:tcBorders>
            <w:shd w:val="clear" w:color="000000" w:fill="1F497D"/>
            <w:vAlign w:val="center"/>
            <w:hideMark/>
          </w:tcPr>
          <w:p w:rsidR="00116D21" w:rsidRPr="00FE3DAF" w:rsidRDefault="00116D21" w:rsidP="00B523D8">
            <w:pPr>
              <w:pStyle w:val="TableHeader"/>
            </w:pPr>
            <w:r w:rsidRPr="00FE3DAF">
              <w:t>Adjustment Level</w:t>
            </w:r>
          </w:p>
        </w:tc>
        <w:tc>
          <w:tcPr>
            <w:tcW w:w="1316" w:type="dxa"/>
            <w:vMerge w:val="restart"/>
            <w:tcBorders>
              <w:left w:val="single" w:sz="4" w:space="0" w:color="FFFFFF" w:themeColor="background1"/>
              <w:right w:val="single" w:sz="4" w:space="0" w:color="FFFFFF" w:themeColor="background1"/>
            </w:tcBorders>
            <w:shd w:val="clear" w:color="000000" w:fill="1F497D"/>
            <w:vAlign w:val="center"/>
            <w:hideMark/>
          </w:tcPr>
          <w:p w:rsidR="00116D21" w:rsidRPr="00FE3DAF" w:rsidRDefault="00116D21" w:rsidP="00B523D8">
            <w:pPr>
              <w:pStyle w:val="TableHeader"/>
            </w:pPr>
            <w:r w:rsidRPr="00FE3DAF">
              <w:t>Adjustment Direction</w:t>
            </w:r>
          </w:p>
        </w:tc>
        <w:tc>
          <w:tcPr>
            <w:tcW w:w="3840" w:type="dxa"/>
            <w:gridSpan w:val="4"/>
            <w:tcBorders>
              <w:left w:val="single" w:sz="4" w:space="0" w:color="FFFFFF" w:themeColor="background1"/>
              <w:bottom w:val="single" w:sz="4" w:space="0" w:color="FFFFFF" w:themeColor="background1"/>
            </w:tcBorders>
            <w:shd w:val="clear" w:color="000000" w:fill="1F497D"/>
            <w:noWrap/>
            <w:vAlign w:val="center"/>
            <w:hideMark/>
          </w:tcPr>
          <w:p w:rsidR="00116D21" w:rsidRPr="00FE3DAF" w:rsidRDefault="00116D21" w:rsidP="00B523D8">
            <w:pPr>
              <w:pStyle w:val="TableHeader"/>
            </w:pPr>
            <w:r w:rsidRPr="00FE3DAF">
              <w:t>Adjustment Cap</w:t>
            </w:r>
          </w:p>
        </w:tc>
      </w:tr>
      <w:tr w:rsidR="00116D21" w:rsidRPr="00FE3DAF" w:rsidTr="00B523D8">
        <w:trPr>
          <w:trHeight w:val="315"/>
          <w:jc w:val="center"/>
        </w:trPr>
        <w:tc>
          <w:tcPr>
            <w:tcW w:w="1039" w:type="dxa"/>
            <w:vMerge/>
            <w:tcBorders>
              <w:right w:val="single" w:sz="4" w:space="0" w:color="FFFFFF" w:themeColor="background1"/>
            </w:tcBorders>
            <w:vAlign w:val="center"/>
            <w:hideMark/>
          </w:tcPr>
          <w:p w:rsidR="00116D21" w:rsidRPr="00FE3DAF" w:rsidRDefault="00116D21" w:rsidP="00B523D8">
            <w:pPr>
              <w:pStyle w:val="TableHeader"/>
            </w:pPr>
          </w:p>
        </w:tc>
        <w:tc>
          <w:tcPr>
            <w:tcW w:w="1316" w:type="dxa"/>
            <w:vMerge/>
            <w:tcBorders>
              <w:left w:val="single" w:sz="4" w:space="0" w:color="FFFFFF" w:themeColor="background1"/>
              <w:right w:val="single" w:sz="4" w:space="0" w:color="FFFFFF" w:themeColor="background1"/>
            </w:tcBorders>
            <w:vAlign w:val="center"/>
            <w:hideMark/>
          </w:tcPr>
          <w:p w:rsidR="00116D21" w:rsidRPr="00FE3DAF" w:rsidRDefault="00116D21" w:rsidP="00B523D8">
            <w:pPr>
              <w:pStyle w:val="TableHeader"/>
            </w:pPr>
          </w:p>
        </w:tc>
        <w:tc>
          <w:tcPr>
            <w:tcW w:w="1316" w:type="dxa"/>
            <w:vMerge/>
            <w:tcBorders>
              <w:left w:val="single" w:sz="4" w:space="0" w:color="FFFFFF" w:themeColor="background1"/>
              <w:right w:val="single" w:sz="4" w:space="0" w:color="FFFFFF" w:themeColor="background1"/>
            </w:tcBorders>
            <w:vAlign w:val="center"/>
            <w:hideMark/>
          </w:tcPr>
          <w:p w:rsidR="00116D21" w:rsidRPr="00FE3DAF" w:rsidRDefault="00116D21" w:rsidP="00B523D8">
            <w:pPr>
              <w:pStyle w:val="TableHeader"/>
            </w:pP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116D21" w:rsidRPr="00FE3DAF" w:rsidRDefault="00116D21" w:rsidP="00B523D8">
            <w:pPr>
              <w:pStyle w:val="TableHeader"/>
            </w:pPr>
            <w:r w:rsidRPr="00FE3DAF">
              <w:t>± 20%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116D21" w:rsidRPr="00FE3DAF" w:rsidRDefault="00116D21" w:rsidP="00B523D8">
            <w:pPr>
              <w:pStyle w:val="TableHeader"/>
            </w:pPr>
            <w:r w:rsidRPr="00FE3DAF">
              <w:t>± 30%</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116D21" w:rsidRPr="00FE3DAF" w:rsidRDefault="00116D21" w:rsidP="00B523D8">
            <w:pPr>
              <w:pStyle w:val="TableHeader"/>
            </w:pPr>
            <w:r w:rsidRPr="00FE3DAF">
              <w:t>± 40%</w:t>
            </w:r>
          </w:p>
        </w:tc>
        <w:tc>
          <w:tcPr>
            <w:tcW w:w="960" w:type="dxa"/>
            <w:tcBorders>
              <w:top w:val="single" w:sz="4" w:space="0" w:color="FFFFFF" w:themeColor="background1"/>
              <w:left w:val="single" w:sz="4" w:space="0" w:color="FFFFFF" w:themeColor="background1"/>
            </w:tcBorders>
            <w:shd w:val="clear" w:color="000000" w:fill="1F497D"/>
            <w:vAlign w:val="center"/>
            <w:hideMark/>
          </w:tcPr>
          <w:p w:rsidR="00116D21" w:rsidRPr="00FE3DAF" w:rsidRDefault="00116D21" w:rsidP="00B523D8">
            <w:pPr>
              <w:pStyle w:val="TableHeader"/>
            </w:pPr>
            <w:r w:rsidRPr="00FE3DAF">
              <w:t>± 50%</w:t>
            </w:r>
          </w:p>
        </w:tc>
      </w:tr>
      <w:tr w:rsidR="00116D21" w:rsidRPr="00FE3DAF" w:rsidTr="00B523D8">
        <w:trPr>
          <w:trHeight w:val="315"/>
          <w:jc w:val="center"/>
        </w:trPr>
        <w:tc>
          <w:tcPr>
            <w:tcW w:w="1039" w:type="dxa"/>
            <w:vMerge w:val="restart"/>
            <w:shd w:val="clear" w:color="auto" w:fill="auto"/>
            <w:vAlign w:val="center"/>
            <w:hideMark/>
          </w:tcPr>
          <w:p w:rsidR="00116D21" w:rsidRPr="00FE3DAF" w:rsidRDefault="00116D21" w:rsidP="00CA7291">
            <w:pPr>
              <w:pStyle w:val="TableText"/>
            </w:pPr>
            <w:r w:rsidRPr="00FE3DAF">
              <w:t>CBP</w:t>
            </w:r>
          </w:p>
        </w:tc>
        <w:tc>
          <w:tcPr>
            <w:tcW w:w="1316" w:type="dxa"/>
            <w:vMerge w:val="restart"/>
            <w:shd w:val="clear" w:color="auto" w:fill="auto"/>
            <w:vAlign w:val="center"/>
            <w:hideMark/>
          </w:tcPr>
          <w:p w:rsidR="00116D21" w:rsidRPr="00FE3DAF" w:rsidRDefault="00116D21" w:rsidP="00CA7291">
            <w:pPr>
              <w:pStyle w:val="TableText"/>
            </w:pPr>
            <w:r w:rsidRPr="00FE3DAF">
              <w:t>Aggregate</w:t>
            </w:r>
          </w:p>
        </w:tc>
        <w:tc>
          <w:tcPr>
            <w:tcW w:w="1316" w:type="dxa"/>
            <w:shd w:val="clear" w:color="auto" w:fill="auto"/>
            <w:noWrap/>
            <w:vAlign w:val="center"/>
            <w:hideMark/>
          </w:tcPr>
          <w:p w:rsidR="00116D21" w:rsidRPr="00FE3DAF" w:rsidRDefault="00116D21" w:rsidP="00CA7291">
            <w:pPr>
              <w:pStyle w:val="TableText"/>
            </w:pPr>
            <w:r w:rsidRPr="00FE3DAF">
              <w:t>Upward</w:t>
            </w:r>
          </w:p>
        </w:tc>
        <w:tc>
          <w:tcPr>
            <w:tcW w:w="960" w:type="dxa"/>
            <w:shd w:val="clear" w:color="auto" w:fill="auto"/>
            <w:noWrap/>
            <w:vAlign w:val="center"/>
            <w:hideMark/>
          </w:tcPr>
          <w:p w:rsidR="00116D21" w:rsidRPr="00FE3DAF" w:rsidRDefault="00116D21" w:rsidP="00CA7291">
            <w:pPr>
              <w:pStyle w:val="TableText"/>
            </w:pPr>
            <w:r w:rsidRPr="00FE3DAF">
              <w:t>22.8%</w:t>
            </w:r>
          </w:p>
        </w:tc>
        <w:tc>
          <w:tcPr>
            <w:tcW w:w="960" w:type="dxa"/>
            <w:shd w:val="clear" w:color="auto" w:fill="auto"/>
            <w:noWrap/>
            <w:vAlign w:val="center"/>
            <w:hideMark/>
          </w:tcPr>
          <w:p w:rsidR="00116D21" w:rsidRPr="00FE3DAF" w:rsidRDefault="00116D21" w:rsidP="00CA7291">
            <w:pPr>
              <w:pStyle w:val="TableText"/>
            </w:pPr>
            <w:r w:rsidRPr="00FE3DAF">
              <w:t>3.5%</w:t>
            </w:r>
          </w:p>
        </w:tc>
        <w:tc>
          <w:tcPr>
            <w:tcW w:w="960" w:type="dxa"/>
            <w:shd w:val="clear" w:color="auto" w:fill="auto"/>
            <w:noWrap/>
            <w:vAlign w:val="center"/>
            <w:hideMark/>
          </w:tcPr>
          <w:p w:rsidR="00116D21" w:rsidRPr="00FE3DAF" w:rsidRDefault="00116D21" w:rsidP="00CA7291">
            <w:pPr>
              <w:pStyle w:val="TableText"/>
            </w:pPr>
            <w:r w:rsidRPr="00FE3DAF">
              <w:t>3.5%</w:t>
            </w:r>
          </w:p>
        </w:tc>
        <w:tc>
          <w:tcPr>
            <w:tcW w:w="960" w:type="dxa"/>
            <w:shd w:val="clear" w:color="auto" w:fill="auto"/>
            <w:noWrap/>
            <w:vAlign w:val="center"/>
            <w:hideMark/>
          </w:tcPr>
          <w:p w:rsidR="00116D21" w:rsidRPr="00FE3DAF" w:rsidRDefault="00116D21" w:rsidP="00CA7291">
            <w:pPr>
              <w:pStyle w:val="TableText"/>
            </w:pPr>
            <w:r w:rsidRPr="00FE3DAF">
              <w:t>3.5%</w:t>
            </w:r>
          </w:p>
        </w:tc>
      </w:tr>
      <w:tr w:rsidR="00116D21" w:rsidRPr="00FE3DAF" w:rsidTr="00B523D8">
        <w:trPr>
          <w:trHeight w:val="315"/>
          <w:jc w:val="center"/>
        </w:trPr>
        <w:tc>
          <w:tcPr>
            <w:tcW w:w="1039" w:type="dxa"/>
            <w:vMerge/>
            <w:vAlign w:val="center"/>
            <w:hideMark/>
          </w:tcPr>
          <w:p w:rsidR="00116D21" w:rsidRPr="00FE3DAF" w:rsidRDefault="00116D21" w:rsidP="00CA7291">
            <w:pPr>
              <w:pStyle w:val="TableText"/>
            </w:pPr>
          </w:p>
        </w:tc>
        <w:tc>
          <w:tcPr>
            <w:tcW w:w="1316" w:type="dxa"/>
            <w:vMerge/>
            <w:vAlign w:val="center"/>
            <w:hideMark/>
          </w:tcPr>
          <w:p w:rsidR="00116D21" w:rsidRPr="00FE3DAF" w:rsidRDefault="00116D21" w:rsidP="00CA7291">
            <w:pPr>
              <w:pStyle w:val="TableText"/>
            </w:pPr>
          </w:p>
        </w:tc>
        <w:tc>
          <w:tcPr>
            <w:tcW w:w="1316" w:type="dxa"/>
            <w:shd w:val="clear" w:color="auto" w:fill="auto"/>
            <w:noWrap/>
            <w:vAlign w:val="center"/>
            <w:hideMark/>
          </w:tcPr>
          <w:p w:rsidR="00116D21" w:rsidRPr="00FE3DAF" w:rsidRDefault="00116D21" w:rsidP="00CA7291">
            <w:pPr>
              <w:pStyle w:val="TableText"/>
            </w:pPr>
            <w:r w:rsidRPr="00FE3DAF">
              <w:t>Downward</w:t>
            </w:r>
          </w:p>
        </w:tc>
        <w:tc>
          <w:tcPr>
            <w:tcW w:w="960" w:type="dxa"/>
            <w:shd w:val="clear" w:color="auto" w:fill="auto"/>
            <w:noWrap/>
            <w:vAlign w:val="center"/>
            <w:hideMark/>
          </w:tcPr>
          <w:p w:rsidR="00116D21" w:rsidRPr="00FE3DAF" w:rsidRDefault="00116D21" w:rsidP="00CA7291">
            <w:pPr>
              <w:pStyle w:val="TableText"/>
            </w:pPr>
            <w:r w:rsidRPr="00FE3DAF">
              <w:t>3.5%</w:t>
            </w:r>
          </w:p>
        </w:tc>
        <w:tc>
          <w:tcPr>
            <w:tcW w:w="960" w:type="dxa"/>
            <w:shd w:val="clear" w:color="auto" w:fill="auto"/>
            <w:noWrap/>
            <w:vAlign w:val="center"/>
            <w:hideMark/>
          </w:tcPr>
          <w:p w:rsidR="00116D21" w:rsidRPr="00FE3DAF" w:rsidRDefault="00116D21" w:rsidP="00CA7291">
            <w:pPr>
              <w:pStyle w:val="TableText"/>
            </w:pPr>
            <w:r w:rsidRPr="00FE3DAF">
              <w:t>3.5%</w:t>
            </w:r>
          </w:p>
        </w:tc>
        <w:tc>
          <w:tcPr>
            <w:tcW w:w="960" w:type="dxa"/>
            <w:shd w:val="clear" w:color="auto" w:fill="auto"/>
            <w:noWrap/>
            <w:vAlign w:val="center"/>
            <w:hideMark/>
          </w:tcPr>
          <w:p w:rsidR="00116D21" w:rsidRPr="00FE3DAF" w:rsidRDefault="00116D21" w:rsidP="00CA7291">
            <w:pPr>
              <w:pStyle w:val="TableText"/>
            </w:pPr>
            <w:r w:rsidRPr="00FE3DAF">
              <w:t>3.5%</w:t>
            </w:r>
          </w:p>
        </w:tc>
        <w:tc>
          <w:tcPr>
            <w:tcW w:w="960" w:type="dxa"/>
            <w:shd w:val="clear" w:color="auto" w:fill="auto"/>
            <w:noWrap/>
            <w:vAlign w:val="center"/>
            <w:hideMark/>
          </w:tcPr>
          <w:p w:rsidR="00116D21" w:rsidRPr="00FE3DAF" w:rsidRDefault="00116D21" w:rsidP="00CA7291">
            <w:pPr>
              <w:pStyle w:val="TableText"/>
            </w:pPr>
            <w:r w:rsidRPr="00FE3DAF">
              <w:t>3.5%</w:t>
            </w:r>
          </w:p>
        </w:tc>
      </w:tr>
      <w:tr w:rsidR="00116D21" w:rsidRPr="00FE3DAF" w:rsidTr="00B523D8">
        <w:trPr>
          <w:trHeight w:val="315"/>
          <w:jc w:val="center"/>
        </w:trPr>
        <w:tc>
          <w:tcPr>
            <w:tcW w:w="1039" w:type="dxa"/>
            <w:vMerge/>
            <w:vAlign w:val="center"/>
            <w:hideMark/>
          </w:tcPr>
          <w:p w:rsidR="00116D21" w:rsidRPr="00FE3DAF" w:rsidRDefault="00116D21" w:rsidP="00CA7291">
            <w:pPr>
              <w:pStyle w:val="TableText"/>
            </w:pPr>
          </w:p>
        </w:tc>
        <w:tc>
          <w:tcPr>
            <w:tcW w:w="1316" w:type="dxa"/>
            <w:vMerge/>
            <w:vAlign w:val="center"/>
            <w:hideMark/>
          </w:tcPr>
          <w:p w:rsidR="00116D21" w:rsidRPr="00FE3DAF" w:rsidRDefault="00116D21" w:rsidP="00CA7291">
            <w:pPr>
              <w:pStyle w:val="TableText"/>
            </w:pPr>
          </w:p>
        </w:tc>
        <w:tc>
          <w:tcPr>
            <w:tcW w:w="1316" w:type="dxa"/>
            <w:shd w:val="clear" w:color="auto" w:fill="auto"/>
            <w:noWrap/>
            <w:vAlign w:val="center"/>
            <w:hideMark/>
          </w:tcPr>
          <w:p w:rsidR="00116D21" w:rsidRPr="00FE3DAF" w:rsidRDefault="00116D21" w:rsidP="00CA7291">
            <w:pPr>
              <w:pStyle w:val="TableText"/>
            </w:pPr>
            <w:r w:rsidRPr="00FE3DAF">
              <w:t>TOTAL</w:t>
            </w:r>
          </w:p>
        </w:tc>
        <w:tc>
          <w:tcPr>
            <w:tcW w:w="960" w:type="dxa"/>
            <w:shd w:val="clear" w:color="auto" w:fill="auto"/>
            <w:noWrap/>
            <w:vAlign w:val="center"/>
            <w:hideMark/>
          </w:tcPr>
          <w:p w:rsidR="00116D21" w:rsidRPr="00FE3DAF" w:rsidRDefault="00116D21" w:rsidP="00CA7291">
            <w:pPr>
              <w:pStyle w:val="TableText"/>
            </w:pPr>
            <w:r w:rsidRPr="00FE3DAF">
              <w:t>26.3%</w:t>
            </w:r>
          </w:p>
        </w:tc>
        <w:tc>
          <w:tcPr>
            <w:tcW w:w="960" w:type="dxa"/>
            <w:shd w:val="clear" w:color="auto" w:fill="auto"/>
            <w:noWrap/>
            <w:vAlign w:val="center"/>
            <w:hideMark/>
          </w:tcPr>
          <w:p w:rsidR="00116D21" w:rsidRPr="00FE3DAF" w:rsidRDefault="00116D21" w:rsidP="00CA7291">
            <w:pPr>
              <w:pStyle w:val="TableText"/>
            </w:pPr>
            <w:r w:rsidRPr="00FE3DAF">
              <w:t>7.0%</w:t>
            </w:r>
          </w:p>
        </w:tc>
        <w:tc>
          <w:tcPr>
            <w:tcW w:w="960" w:type="dxa"/>
            <w:shd w:val="clear" w:color="auto" w:fill="auto"/>
            <w:noWrap/>
            <w:vAlign w:val="center"/>
            <w:hideMark/>
          </w:tcPr>
          <w:p w:rsidR="00116D21" w:rsidRPr="00FE3DAF" w:rsidRDefault="00116D21" w:rsidP="00CA7291">
            <w:pPr>
              <w:pStyle w:val="TableText"/>
            </w:pPr>
            <w:r w:rsidRPr="00FE3DAF">
              <w:t>7.0%</w:t>
            </w:r>
          </w:p>
        </w:tc>
        <w:tc>
          <w:tcPr>
            <w:tcW w:w="960" w:type="dxa"/>
            <w:shd w:val="clear" w:color="auto" w:fill="auto"/>
            <w:noWrap/>
            <w:vAlign w:val="center"/>
            <w:hideMark/>
          </w:tcPr>
          <w:p w:rsidR="00116D21" w:rsidRPr="00FE3DAF" w:rsidRDefault="00116D21" w:rsidP="00CA7291">
            <w:pPr>
              <w:pStyle w:val="TableText"/>
            </w:pPr>
            <w:r w:rsidRPr="00FE3DAF">
              <w:t>7.0%</w:t>
            </w:r>
          </w:p>
        </w:tc>
      </w:tr>
      <w:tr w:rsidR="00116D21" w:rsidRPr="00FE3DAF" w:rsidTr="00B523D8">
        <w:trPr>
          <w:trHeight w:val="315"/>
          <w:jc w:val="center"/>
        </w:trPr>
        <w:tc>
          <w:tcPr>
            <w:tcW w:w="1039" w:type="dxa"/>
            <w:vMerge/>
            <w:vAlign w:val="center"/>
            <w:hideMark/>
          </w:tcPr>
          <w:p w:rsidR="00116D21" w:rsidRPr="00FE3DAF" w:rsidRDefault="00116D21" w:rsidP="00CA7291">
            <w:pPr>
              <w:pStyle w:val="TableText"/>
            </w:pPr>
          </w:p>
        </w:tc>
        <w:tc>
          <w:tcPr>
            <w:tcW w:w="1316" w:type="dxa"/>
            <w:vMerge w:val="restart"/>
            <w:shd w:val="clear" w:color="auto" w:fill="auto"/>
            <w:vAlign w:val="center"/>
            <w:hideMark/>
          </w:tcPr>
          <w:p w:rsidR="00116D21" w:rsidRPr="00FE3DAF" w:rsidRDefault="00116D21" w:rsidP="00CA7291">
            <w:pPr>
              <w:pStyle w:val="TableText"/>
            </w:pPr>
            <w:r w:rsidRPr="00FE3DAF">
              <w:t>Individual</w:t>
            </w:r>
          </w:p>
        </w:tc>
        <w:tc>
          <w:tcPr>
            <w:tcW w:w="1316" w:type="dxa"/>
            <w:shd w:val="clear" w:color="auto" w:fill="auto"/>
            <w:noWrap/>
            <w:vAlign w:val="center"/>
            <w:hideMark/>
          </w:tcPr>
          <w:p w:rsidR="00116D21" w:rsidRPr="00FE3DAF" w:rsidRDefault="00116D21" w:rsidP="00CA7291">
            <w:pPr>
              <w:pStyle w:val="TableText"/>
            </w:pPr>
            <w:r w:rsidRPr="00FE3DAF">
              <w:t>Upward</w:t>
            </w:r>
          </w:p>
        </w:tc>
        <w:tc>
          <w:tcPr>
            <w:tcW w:w="960" w:type="dxa"/>
            <w:shd w:val="clear" w:color="auto" w:fill="auto"/>
            <w:noWrap/>
            <w:vAlign w:val="center"/>
            <w:hideMark/>
          </w:tcPr>
          <w:p w:rsidR="00116D21" w:rsidRPr="00FE3DAF" w:rsidRDefault="00116D21" w:rsidP="00CA7291">
            <w:pPr>
              <w:pStyle w:val="TableText"/>
            </w:pPr>
            <w:r w:rsidRPr="00FE3DAF">
              <w:t>20.3%</w:t>
            </w:r>
          </w:p>
        </w:tc>
        <w:tc>
          <w:tcPr>
            <w:tcW w:w="960" w:type="dxa"/>
            <w:shd w:val="clear" w:color="auto" w:fill="auto"/>
            <w:noWrap/>
            <w:vAlign w:val="center"/>
            <w:hideMark/>
          </w:tcPr>
          <w:p w:rsidR="00116D21" w:rsidRPr="00FE3DAF" w:rsidRDefault="00116D21" w:rsidP="00CA7291">
            <w:pPr>
              <w:pStyle w:val="TableText"/>
            </w:pPr>
            <w:r w:rsidRPr="00FE3DAF">
              <w:t>9.1%</w:t>
            </w:r>
          </w:p>
        </w:tc>
        <w:tc>
          <w:tcPr>
            <w:tcW w:w="960" w:type="dxa"/>
            <w:shd w:val="clear" w:color="auto" w:fill="auto"/>
            <w:noWrap/>
            <w:vAlign w:val="center"/>
            <w:hideMark/>
          </w:tcPr>
          <w:p w:rsidR="00116D21" w:rsidRPr="00FE3DAF" w:rsidRDefault="00116D21" w:rsidP="00CA7291">
            <w:pPr>
              <w:pStyle w:val="TableText"/>
            </w:pPr>
            <w:r w:rsidRPr="00FE3DAF">
              <w:t>4.8%</w:t>
            </w:r>
          </w:p>
        </w:tc>
        <w:tc>
          <w:tcPr>
            <w:tcW w:w="960" w:type="dxa"/>
            <w:shd w:val="clear" w:color="auto" w:fill="auto"/>
            <w:noWrap/>
            <w:vAlign w:val="center"/>
            <w:hideMark/>
          </w:tcPr>
          <w:p w:rsidR="00116D21" w:rsidRPr="00FE3DAF" w:rsidRDefault="00116D21" w:rsidP="00CA7291">
            <w:pPr>
              <w:pStyle w:val="TableText"/>
            </w:pPr>
            <w:r w:rsidRPr="00FE3DAF">
              <w:t>2.1%</w:t>
            </w:r>
          </w:p>
        </w:tc>
      </w:tr>
      <w:tr w:rsidR="00116D21" w:rsidRPr="00FE3DAF" w:rsidTr="00B523D8">
        <w:trPr>
          <w:trHeight w:val="315"/>
          <w:jc w:val="center"/>
        </w:trPr>
        <w:tc>
          <w:tcPr>
            <w:tcW w:w="1039" w:type="dxa"/>
            <w:vMerge/>
            <w:vAlign w:val="center"/>
            <w:hideMark/>
          </w:tcPr>
          <w:p w:rsidR="00116D21" w:rsidRPr="00FE3DAF" w:rsidRDefault="00116D21" w:rsidP="00CA7291">
            <w:pPr>
              <w:pStyle w:val="TableText"/>
            </w:pPr>
          </w:p>
        </w:tc>
        <w:tc>
          <w:tcPr>
            <w:tcW w:w="1316" w:type="dxa"/>
            <w:vMerge/>
            <w:vAlign w:val="center"/>
            <w:hideMark/>
          </w:tcPr>
          <w:p w:rsidR="00116D21" w:rsidRPr="00FE3DAF" w:rsidRDefault="00116D21" w:rsidP="00CA7291">
            <w:pPr>
              <w:pStyle w:val="TableText"/>
            </w:pPr>
          </w:p>
        </w:tc>
        <w:tc>
          <w:tcPr>
            <w:tcW w:w="1316" w:type="dxa"/>
            <w:shd w:val="clear" w:color="auto" w:fill="auto"/>
            <w:noWrap/>
            <w:vAlign w:val="center"/>
            <w:hideMark/>
          </w:tcPr>
          <w:p w:rsidR="00116D21" w:rsidRPr="00FE3DAF" w:rsidRDefault="00116D21" w:rsidP="00CA7291">
            <w:pPr>
              <w:pStyle w:val="TableText"/>
            </w:pPr>
            <w:r w:rsidRPr="00FE3DAF">
              <w:t>Downward</w:t>
            </w:r>
          </w:p>
        </w:tc>
        <w:tc>
          <w:tcPr>
            <w:tcW w:w="960" w:type="dxa"/>
            <w:shd w:val="clear" w:color="auto" w:fill="auto"/>
            <w:noWrap/>
            <w:vAlign w:val="center"/>
            <w:hideMark/>
          </w:tcPr>
          <w:p w:rsidR="00116D21" w:rsidRPr="00FE3DAF" w:rsidRDefault="00116D21" w:rsidP="00CA7291">
            <w:pPr>
              <w:pStyle w:val="TableText"/>
            </w:pPr>
            <w:r w:rsidRPr="00FE3DAF">
              <w:t>2.2%</w:t>
            </w:r>
          </w:p>
        </w:tc>
        <w:tc>
          <w:tcPr>
            <w:tcW w:w="960" w:type="dxa"/>
            <w:shd w:val="clear" w:color="auto" w:fill="auto"/>
            <w:noWrap/>
            <w:vAlign w:val="center"/>
            <w:hideMark/>
          </w:tcPr>
          <w:p w:rsidR="00116D21" w:rsidRPr="00FE3DAF" w:rsidRDefault="00116D21" w:rsidP="00CA7291">
            <w:pPr>
              <w:pStyle w:val="TableText"/>
            </w:pPr>
            <w:r w:rsidRPr="00FE3DAF">
              <w:t>1.2%</w:t>
            </w:r>
          </w:p>
        </w:tc>
        <w:tc>
          <w:tcPr>
            <w:tcW w:w="960" w:type="dxa"/>
            <w:shd w:val="clear" w:color="auto" w:fill="auto"/>
            <w:noWrap/>
            <w:vAlign w:val="center"/>
            <w:hideMark/>
          </w:tcPr>
          <w:p w:rsidR="00116D21" w:rsidRPr="00FE3DAF" w:rsidRDefault="00116D21" w:rsidP="00CA7291">
            <w:pPr>
              <w:pStyle w:val="TableText"/>
            </w:pPr>
            <w:r w:rsidRPr="00FE3DAF">
              <w:t>0.7%</w:t>
            </w:r>
          </w:p>
        </w:tc>
        <w:tc>
          <w:tcPr>
            <w:tcW w:w="960" w:type="dxa"/>
            <w:shd w:val="clear" w:color="auto" w:fill="auto"/>
            <w:noWrap/>
            <w:vAlign w:val="center"/>
            <w:hideMark/>
          </w:tcPr>
          <w:p w:rsidR="00116D21" w:rsidRPr="00FE3DAF" w:rsidRDefault="00116D21" w:rsidP="00CA7291">
            <w:pPr>
              <w:pStyle w:val="TableText"/>
            </w:pPr>
            <w:r w:rsidRPr="00FE3DAF">
              <w:t>0.6%</w:t>
            </w:r>
          </w:p>
        </w:tc>
      </w:tr>
      <w:tr w:rsidR="00116D21" w:rsidRPr="00FE3DAF" w:rsidTr="00B523D8">
        <w:trPr>
          <w:trHeight w:val="315"/>
          <w:jc w:val="center"/>
        </w:trPr>
        <w:tc>
          <w:tcPr>
            <w:tcW w:w="1039" w:type="dxa"/>
            <w:vMerge/>
            <w:vAlign w:val="center"/>
            <w:hideMark/>
          </w:tcPr>
          <w:p w:rsidR="00116D21" w:rsidRPr="00FE3DAF" w:rsidRDefault="00116D21" w:rsidP="00B523D8">
            <w:pPr>
              <w:pStyle w:val="TableText"/>
            </w:pPr>
          </w:p>
        </w:tc>
        <w:tc>
          <w:tcPr>
            <w:tcW w:w="1316" w:type="dxa"/>
            <w:vMerge/>
            <w:vAlign w:val="center"/>
            <w:hideMark/>
          </w:tcPr>
          <w:p w:rsidR="00116D21" w:rsidRPr="00FE3DAF" w:rsidRDefault="00116D21" w:rsidP="00B523D8">
            <w:pPr>
              <w:pStyle w:val="TableText"/>
            </w:pPr>
          </w:p>
        </w:tc>
        <w:tc>
          <w:tcPr>
            <w:tcW w:w="1316" w:type="dxa"/>
            <w:shd w:val="clear" w:color="auto" w:fill="auto"/>
            <w:noWrap/>
            <w:vAlign w:val="center"/>
            <w:hideMark/>
          </w:tcPr>
          <w:p w:rsidR="00116D21" w:rsidRPr="00FE3DAF" w:rsidRDefault="00116D21" w:rsidP="00B523D8">
            <w:pPr>
              <w:pStyle w:val="TableText"/>
            </w:pPr>
            <w:r w:rsidRPr="00FE3DAF">
              <w:t>TOTAL</w:t>
            </w:r>
          </w:p>
        </w:tc>
        <w:tc>
          <w:tcPr>
            <w:tcW w:w="960" w:type="dxa"/>
            <w:shd w:val="clear" w:color="auto" w:fill="auto"/>
            <w:noWrap/>
            <w:vAlign w:val="center"/>
            <w:hideMark/>
          </w:tcPr>
          <w:p w:rsidR="00116D21" w:rsidRPr="00FE3DAF" w:rsidRDefault="00116D21" w:rsidP="00B523D8">
            <w:pPr>
              <w:pStyle w:val="TableText"/>
            </w:pPr>
            <w:r w:rsidRPr="00FE3DAF">
              <w:t>22.5%</w:t>
            </w:r>
          </w:p>
        </w:tc>
        <w:tc>
          <w:tcPr>
            <w:tcW w:w="960" w:type="dxa"/>
            <w:shd w:val="clear" w:color="auto" w:fill="auto"/>
            <w:noWrap/>
            <w:vAlign w:val="center"/>
            <w:hideMark/>
          </w:tcPr>
          <w:p w:rsidR="00116D21" w:rsidRPr="00FE3DAF" w:rsidRDefault="00116D21" w:rsidP="00B523D8">
            <w:pPr>
              <w:pStyle w:val="TableText"/>
            </w:pPr>
            <w:r w:rsidRPr="00FE3DAF">
              <w:t>10.3%</w:t>
            </w:r>
          </w:p>
        </w:tc>
        <w:tc>
          <w:tcPr>
            <w:tcW w:w="960" w:type="dxa"/>
            <w:shd w:val="clear" w:color="auto" w:fill="auto"/>
            <w:noWrap/>
            <w:vAlign w:val="center"/>
            <w:hideMark/>
          </w:tcPr>
          <w:p w:rsidR="00116D21" w:rsidRPr="00FE3DAF" w:rsidRDefault="00116D21" w:rsidP="00B523D8">
            <w:pPr>
              <w:pStyle w:val="TableText"/>
            </w:pPr>
            <w:r w:rsidRPr="00FE3DAF">
              <w:t>5.5%</w:t>
            </w:r>
          </w:p>
        </w:tc>
        <w:tc>
          <w:tcPr>
            <w:tcW w:w="960" w:type="dxa"/>
            <w:shd w:val="clear" w:color="auto" w:fill="auto"/>
            <w:noWrap/>
            <w:vAlign w:val="center"/>
            <w:hideMark/>
          </w:tcPr>
          <w:p w:rsidR="00116D21" w:rsidRPr="00FE3DAF" w:rsidRDefault="00116D21" w:rsidP="00B523D8">
            <w:pPr>
              <w:pStyle w:val="TableText"/>
            </w:pPr>
            <w:r w:rsidRPr="00FE3DAF">
              <w:t>2.7%</w:t>
            </w:r>
          </w:p>
        </w:tc>
      </w:tr>
    </w:tbl>
    <w:p w:rsidR="008B5314" w:rsidRDefault="008B5314"/>
    <w:p w:rsidR="00B073CB" w:rsidRDefault="00B073CB">
      <w:r>
        <w:br w:type="page"/>
      </w:r>
    </w:p>
    <w:p w:rsidR="00B073CB" w:rsidRDefault="00B073CB" w:rsidP="00B073CB">
      <w:pPr>
        <w:pStyle w:val="Heading1"/>
      </w:pPr>
      <w:bookmarkStart w:id="65" w:name="_Toc318789287"/>
      <w:bookmarkStart w:id="66" w:name="_Toc324232560"/>
      <w:bookmarkStart w:id="67" w:name="_Toc318393842"/>
      <w:bookmarkStart w:id="68" w:name="_Toc326150805"/>
      <w:r>
        <w:lastRenderedPageBreak/>
        <w:t>Impact Simulation Analysis</w:t>
      </w:r>
      <w:bookmarkEnd w:id="65"/>
      <w:bookmarkEnd w:id="66"/>
      <w:bookmarkEnd w:id="68"/>
    </w:p>
    <w:p w:rsidR="00B073CB" w:rsidRDefault="00B073CB" w:rsidP="00B073CB">
      <w:pPr>
        <w:pStyle w:val="BodyParagraph"/>
      </w:pPr>
      <w:r>
        <w:t>Section</w:t>
      </w:r>
      <w:r w:rsidR="00CC2233">
        <w:t xml:space="preserve"> 2</w:t>
      </w:r>
      <w:r>
        <w:t xml:space="preserve"> </w:t>
      </w:r>
      <w:r w:rsidR="00CC2233">
        <w:t xml:space="preserve">summarized the assessment of baseline accuracy by comparing impact estimates for each baseline option with regression based estimates (documented in Volume 1) for each event day in 2011.  In </w:t>
      </w:r>
      <w:r>
        <w:t>this section</w:t>
      </w:r>
      <w:r w:rsidR="00CC2233">
        <w:t xml:space="preserve">, </w:t>
      </w:r>
      <w:r w:rsidR="002526C3">
        <w:t>baseline accuracy is assessed by simulating a load reduction on an event-like day and observing how well the baseline calculation performs for this hypothetical event.  This method makes it possible to assess how well the baseline accords with the unperturbed load, and how well the baseline impact accords with the true (simulated) impact, because both the unperturbed load and the true impact are known.  Furthermore, it allows for an investigation of the bias and goodness of fit for the load impact estimates for each baseline option without having to worry about confounding factors that can be difficult for a baseline to discern, like load shifting to pre-event hours, reducing load in anticipation of the event, or other ways in which aggregators try to manage a particular baseline.  In other words, the analysis presented in this section allows the reader to make a clear judgment about each baseline method’s performance under idealized conditions.</w:t>
      </w:r>
    </w:p>
    <w:p w:rsidR="00B073CB" w:rsidRPr="008271A6" w:rsidRDefault="00B073CB" w:rsidP="00B073CB">
      <w:pPr>
        <w:pStyle w:val="BodyParagraph"/>
      </w:pPr>
      <w:r>
        <w:t xml:space="preserve">The first subsection </w:t>
      </w:r>
      <w:r w:rsidR="00CC2233">
        <w:t xml:space="preserve">below describes impact simulation analysis applied here.  Detailed assessments of each baseline option for </w:t>
      </w:r>
      <w:r>
        <w:t>each utili</w:t>
      </w:r>
      <w:r w:rsidR="00087C75">
        <w:t>ty, program</w:t>
      </w:r>
      <w:r w:rsidR="00CC2233">
        <w:t xml:space="preserve"> and </w:t>
      </w:r>
      <w:r w:rsidR="00087C75">
        <w:t xml:space="preserve">resource </w:t>
      </w:r>
      <w:r w:rsidR="00CC2233">
        <w:t xml:space="preserve">option are presented in the remainder of the section.  </w:t>
      </w:r>
    </w:p>
    <w:p w:rsidR="00B073CB" w:rsidRDefault="00B073CB" w:rsidP="00B073CB">
      <w:pPr>
        <w:pStyle w:val="Heading2"/>
      </w:pPr>
      <w:bookmarkStart w:id="69" w:name="_Toc318472347"/>
      <w:bookmarkStart w:id="70" w:name="_Toc318789288"/>
      <w:bookmarkStart w:id="71" w:name="_Toc324232561"/>
      <w:bookmarkStart w:id="72" w:name="_Toc326150806"/>
      <w:r w:rsidRPr="002443DF">
        <w:t>Framework</w:t>
      </w:r>
      <w:r>
        <w:t xml:space="preserve"> for Assessing Accuracy</w:t>
      </w:r>
      <w:bookmarkEnd w:id="67"/>
      <w:bookmarkEnd w:id="69"/>
      <w:bookmarkEnd w:id="70"/>
      <w:bookmarkEnd w:id="71"/>
      <w:bookmarkEnd w:id="72"/>
      <w:r>
        <w:t xml:space="preserve"> </w:t>
      </w:r>
      <w:bookmarkStart w:id="73" w:name="_Toc315172962"/>
    </w:p>
    <w:bookmarkEnd w:id="73"/>
    <w:p w:rsidR="008B5314" w:rsidRDefault="00B073CB">
      <w:pPr>
        <w:pStyle w:val="BodyBeforeBullet"/>
        <w:rPr>
          <w:rFonts w:cs="Arial"/>
          <w:lang w:val="en-CA"/>
        </w:rPr>
      </w:pPr>
      <w:r w:rsidRPr="00EF7019">
        <w:rPr>
          <w:rFonts w:cs="Arial"/>
          <w:lang w:val="en-CA"/>
        </w:rPr>
        <w:t xml:space="preserve">To implement the </w:t>
      </w:r>
      <w:r>
        <w:rPr>
          <w:rFonts w:cs="Arial"/>
          <w:lang w:val="en-CA"/>
        </w:rPr>
        <w:t>assessment framework described above, we</w:t>
      </w:r>
      <w:r w:rsidRPr="00EF7019">
        <w:rPr>
          <w:rFonts w:cs="Arial"/>
          <w:lang w:val="en-CA"/>
        </w:rPr>
        <w:t>:</w:t>
      </w:r>
    </w:p>
    <w:p w:rsidR="00B073CB" w:rsidRDefault="00B073CB" w:rsidP="00B073CB">
      <w:pPr>
        <w:pStyle w:val="Bullets"/>
        <w:numPr>
          <w:ilvl w:val="0"/>
          <w:numId w:val="27"/>
        </w:numPr>
        <w:rPr>
          <w:lang w:val="en-CA"/>
        </w:rPr>
      </w:pPr>
      <w:r>
        <w:rPr>
          <w:i/>
          <w:u w:val="single"/>
          <w:lang w:val="en-CA"/>
        </w:rPr>
        <w:t>Selected proxy event days</w:t>
      </w:r>
      <w:r w:rsidR="00B523D8">
        <w:rPr>
          <w:i/>
          <w:u w:val="single"/>
          <w:lang w:val="en-CA"/>
        </w:rPr>
        <w:t>:</w:t>
      </w:r>
      <w:r w:rsidRPr="00207E75">
        <w:rPr>
          <w:i/>
          <w:lang w:val="en-CA"/>
        </w:rPr>
        <w:t xml:space="preserve">  </w:t>
      </w:r>
      <w:r>
        <w:t>The proxy days were selected to match, as closely as possible, actual event conditions observed in 2011 for each of the three utilities.</w:t>
      </w:r>
    </w:p>
    <w:p w:rsidR="00B073CB" w:rsidRDefault="00B073CB" w:rsidP="00B073CB">
      <w:pPr>
        <w:pStyle w:val="Bullets"/>
        <w:numPr>
          <w:ilvl w:val="0"/>
          <w:numId w:val="27"/>
        </w:numPr>
        <w:rPr>
          <w:i/>
          <w:u w:val="single"/>
          <w:lang w:val="en-CA"/>
        </w:rPr>
      </w:pPr>
      <w:r>
        <w:rPr>
          <w:i/>
          <w:u w:val="single"/>
          <w:lang w:val="en-CA"/>
        </w:rPr>
        <w:t>Identified realistic</w:t>
      </w:r>
      <w:r w:rsidRPr="00864573">
        <w:rPr>
          <w:i/>
          <w:u w:val="single"/>
          <w:lang w:val="en-CA"/>
        </w:rPr>
        <w:t xml:space="preserve"> demand reductions</w:t>
      </w:r>
      <w:r>
        <w:rPr>
          <w:i/>
          <w:u w:val="single"/>
          <w:lang w:val="en-CA"/>
        </w:rPr>
        <w:t xml:space="preserve"> for each individual customer</w:t>
      </w:r>
      <w:r w:rsidRPr="00864573">
        <w:rPr>
          <w:lang w:val="en-CA"/>
        </w:rPr>
        <w:t>:</w:t>
      </w:r>
      <w:r>
        <w:rPr>
          <w:lang w:val="en-CA"/>
        </w:rPr>
        <w:t xml:space="preserve">  For both the CBP program and the aggregator contracts</w:t>
      </w:r>
      <w:r w:rsidR="002526C3">
        <w:rPr>
          <w:lang w:val="en-CA"/>
        </w:rPr>
        <w:t>,</w:t>
      </w:r>
      <w:r>
        <w:rPr>
          <w:lang w:val="en-CA"/>
        </w:rPr>
        <w:t xml:space="preserve"> commitments are made at the aggregate level, not at the individual level.  Because aggregators do not produce estimates of the expected load reductions for each customer, we used </w:t>
      </w:r>
      <w:r w:rsidR="003B6657">
        <w:rPr>
          <w:lang w:val="en-CA"/>
        </w:rPr>
        <w:t xml:space="preserve">customer specific values </w:t>
      </w:r>
      <w:r w:rsidR="00CE3792">
        <w:rPr>
          <w:lang w:val="en-CA"/>
        </w:rPr>
        <w:t>produced during</w:t>
      </w:r>
      <w:r w:rsidR="003B6657">
        <w:rPr>
          <w:lang w:val="en-CA"/>
        </w:rPr>
        <w:t xml:space="preserve"> </w:t>
      </w:r>
      <w:r>
        <w:rPr>
          <w:lang w:val="en-CA"/>
        </w:rPr>
        <w:t>the M&amp;E evaluation.</w:t>
      </w:r>
      <w:r w:rsidR="003B6657">
        <w:rPr>
          <w:lang w:val="en-CA"/>
        </w:rPr>
        <w:t xml:space="preserve"> </w:t>
      </w:r>
      <w:r>
        <w:rPr>
          <w:lang w:val="en-CA"/>
        </w:rPr>
        <w:t>The reductions are a realistic approximation of individual customers’ load reduction.</w:t>
      </w:r>
      <w:r w:rsidR="003B6657">
        <w:rPr>
          <w:lang w:val="en-CA"/>
        </w:rPr>
        <w:t xml:space="preserve">  By design, the reductions varied across customers, but were the same across event days for each customer.</w:t>
      </w:r>
    </w:p>
    <w:p w:rsidR="00B073CB" w:rsidRPr="003B6657" w:rsidRDefault="00B073CB" w:rsidP="003B6657">
      <w:pPr>
        <w:pStyle w:val="Bullets"/>
        <w:numPr>
          <w:ilvl w:val="0"/>
          <w:numId w:val="27"/>
        </w:numPr>
        <w:rPr>
          <w:u w:val="single"/>
          <w:lang w:val="en-CA"/>
        </w:rPr>
      </w:pPr>
      <w:r w:rsidRPr="00207E75">
        <w:rPr>
          <w:i/>
          <w:u w:val="single"/>
          <w:lang w:val="en-CA"/>
        </w:rPr>
        <w:t>Appl</w:t>
      </w:r>
      <w:r>
        <w:rPr>
          <w:i/>
          <w:u w:val="single"/>
          <w:lang w:val="en-CA"/>
        </w:rPr>
        <w:t>ied</w:t>
      </w:r>
      <w:r w:rsidRPr="00207E75">
        <w:rPr>
          <w:i/>
          <w:u w:val="single"/>
          <w:lang w:val="en-CA"/>
        </w:rPr>
        <w:t xml:space="preserve"> the demand reduction</w:t>
      </w:r>
      <w:r>
        <w:rPr>
          <w:i/>
          <w:u w:val="single"/>
          <w:lang w:val="en-CA"/>
        </w:rPr>
        <w:t>s</w:t>
      </w:r>
      <w:r w:rsidRPr="00207E75">
        <w:rPr>
          <w:i/>
          <w:u w:val="single"/>
          <w:lang w:val="en-CA"/>
        </w:rPr>
        <w:t xml:space="preserve"> to unperturbed loads</w:t>
      </w:r>
      <w:r>
        <w:rPr>
          <w:i/>
          <w:u w:val="single"/>
          <w:lang w:val="en-CA"/>
        </w:rPr>
        <w:t xml:space="preserve"> during proxy event days</w:t>
      </w:r>
      <w:r w:rsidR="00B523D8">
        <w:rPr>
          <w:i/>
          <w:u w:val="single"/>
          <w:lang w:val="en-CA"/>
        </w:rPr>
        <w:t>:</w:t>
      </w:r>
      <w:r>
        <w:rPr>
          <w:i/>
          <w:lang w:val="en-CA"/>
        </w:rPr>
        <w:t xml:space="preserve"> </w:t>
      </w:r>
      <w:r>
        <w:rPr>
          <w:lang w:val="en-CA"/>
        </w:rPr>
        <w:t xml:space="preserve"> For</w:t>
      </w:r>
      <w:r w:rsidRPr="00207E75">
        <w:rPr>
          <w:lang w:val="en-CA"/>
        </w:rPr>
        <w:t xml:space="preserve"> each of the </w:t>
      </w:r>
      <w:r>
        <w:rPr>
          <w:lang w:val="en-CA"/>
        </w:rPr>
        <w:t xml:space="preserve">proxy curtailment event periods, the </w:t>
      </w:r>
      <w:r w:rsidRPr="00207E75">
        <w:rPr>
          <w:lang w:val="en-CA"/>
        </w:rPr>
        <w:t xml:space="preserve">demand reductions were subtracted from the unperturbed loads. </w:t>
      </w:r>
      <w:r w:rsidR="004025E5">
        <w:rPr>
          <w:lang w:val="en-CA"/>
        </w:rPr>
        <w:t xml:space="preserve">The same individual customer-specific </w:t>
      </w:r>
      <w:r w:rsidR="00E431D6">
        <w:rPr>
          <w:lang w:val="en-CA"/>
        </w:rPr>
        <w:t>demand reduction is applied to every proxy event day.</w:t>
      </w:r>
      <w:r w:rsidR="004025E5">
        <w:rPr>
          <w:lang w:val="en-CA"/>
        </w:rPr>
        <w:t xml:space="preserve"> </w:t>
      </w:r>
      <w:r w:rsidR="000A214D">
        <w:rPr>
          <w:lang w:val="en-CA"/>
        </w:rPr>
        <w:t xml:space="preserve"> Because the demand reductions were simulated, the true counterfactual and demand reductions</w:t>
      </w:r>
      <w:r w:rsidR="000A214D" w:rsidRPr="003B6657">
        <w:rPr>
          <w:lang w:val="en-CA"/>
        </w:rPr>
        <w:t xml:space="preserve"> are known</w:t>
      </w:r>
      <w:r w:rsidR="000A214D">
        <w:rPr>
          <w:lang w:val="en-CA"/>
        </w:rPr>
        <w:t xml:space="preserve">, allowing us to test how close the baseline methods are to correctly estimating the demand </w:t>
      </w:r>
      <w:r w:rsidR="00B8552D">
        <w:rPr>
          <w:lang w:val="en-CA"/>
        </w:rPr>
        <w:t xml:space="preserve">reductions. </w:t>
      </w:r>
    </w:p>
    <w:p w:rsidR="00B073CB" w:rsidRPr="00DA1E8C" w:rsidRDefault="00B073CB" w:rsidP="00B073CB">
      <w:pPr>
        <w:pStyle w:val="Bullets"/>
        <w:numPr>
          <w:ilvl w:val="0"/>
          <w:numId w:val="27"/>
        </w:numPr>
        <w:rPr>
          <w:lang w:val="en-CA"/>
        </w:rPr>
      </w:pPr>
      <w:r w:rsidRPr="00DA1E8C">
        <w:rPr>
          <w:i/>
          <w:u w:val="single"/>
          <w:lang w:val="en-CA"/>
        </w:rPr>
        <w:t>Calculate</w:t>
      </w:r>
      <w:r>
        <w:rPr>
          <w:i/>
          <w:u w:val="single"/>
          <w:lang w:val="en-CA"/>
        </w:rPr>
        <w:t>d</w:t>
      </w:r>
      <w:r w:rsidRPr="00DA1E8C">
        <w:rPr>
          <w:i/>
          <w:u w:val="single"/>
          <w:lang w:val="en-CA"/>
        </w:rPr>
        <w:t xml:space="preserve"> the </w:t>
      </w:r>
      <w:r>
        <w:rPr>
          <w:i/>
          <w:u w:val="single"/>
          <w:lang w:val="en-CA"/>
        </w:rPr>
        <w:t>baselines</w:t>
      </w:r>
      <w:r w:rsidRPr="00DA1E8C">
        <w:rPr>
          <w:i/>
          <w:u w:val="single"/>
          <w:lang w:val="en-CA"/>
        </w:rPr>
        <w:t xml:space="preserve"> </w:t>
      </w:r>
      <w:r w:rsidR="002526C3">
        <w:rPr>
          <w:i/>
          <w:u w:val="single"/>
          <w:lang w:val="en-CA"/>
        </w:rPr>
        <w:t xml:space="preserve">and load impacts </w:t>
      </w:r>
      <w:r w:rsidRPr="00DA1E8C">
        <w:rPr>
          <w:i/>
          <w:u w:val="single"/>
          <w:lang w:val="en-CA"/>
        </w:rPr>
        <w:t xml:space="preserve">using each of 32 </w:t>
      </w:r>
      <w:r w:rsidR="002526C3">
        <w:rPr>
          <w:i/>
          <w:u w:val="single"/>
          <w:lang w:val="en-CA"/>
        </w:rPr>
        <w:t>baseline methods</w:t>
      </w:r>
      <w:r w:rsidRPr="00DA1E8C">
        <w:rPr>
          <w:i/>
          <w:u w:val="single"/>
          <w:lang w:val="en-CA"/>
        </w:rPr>
        <w:t>:</w:t>
      </w:r>
      <w:r w:rsidRPr="00DA1E8C">
        <w:rPr>
          <w:lang w:val="en-CA"/>
        </w:rPr>
        <w:t xml:space="preserve">  </w:t>
      </w:r>
      <w:r>
        <w:rPr>
          <w:lang w:val="en-CA"/>
        </w:rPr>
        <w:t xml:space="preserve">As described in Table 1-1, the baselines were calculated individually and in aggregate, assuming universal and elective application of </w:t>
      </w:r>
      <w:r w:rsidR="00E535D9">
        <w:rPr>
          <w:lang w:val="en-CA"/>
        </w:rPr>
        <w:t>same-day</w:t>
      </w:r>
      <w:r>
        <w:rPr>
          <w:lang w:val="en-CA"/>
        </w:rPr>
        <w:t xml:space="preserve"> adjustments, and with different caps on same-day</w:t>
      </w:r>
      <w:r w:rsidRPr="00DA1E8C">
        <w:rPr>
          <w:lang w:val="en-CA"/>
        </w:rPr>
        <w:t xml:space="preserve"> adjustments</w:t>
      </w:r>
      <w:r>
        <w:rPr>
          <w:lang w:val="en-CA"/>
        </w:rPr>
        <w:t>.</w:t>
      </w:r>
      <w:r w:rsidR="000A214D">
        <w:rPr>
          <w:lang w:val="en-CA"/>
        </w:rPr>
        <w:t xml:space="preserve"> Impacts were calculated as the difference between the baseline and the loads with the simulated demand reduction.</w:t>
      </w:r>
      <w:r>
        <w:rPr>
          <w:lang w:val="en-CA"/>
        </w:rPr>
        <w:t xml:space="preserve"> </w:t>
      </w:r>
      <w:r w:rsidRPr="00DA1E8C">
        <w:rPr>
          <w:lang w:val="en-CA"/>
        </w:rPr>
        <w:t xml:space="preserve">  </w:t>
      </w:r>
    </w:p>
    <w:p w:rsidR="00B073CB" w:rsidRPr="00DA1E8C" w:rsidRDefault="00B073CB" w:rsidP="00B073CB">
      <w:pPr>
        <w:pStyle w:val="Bullets"/>
        <w:numPr>
          <w:ilvl w:val="0"/>
          <w:numId w:val="27"/>
        </w:numPr>
        <w:rPr>
          <w:lang w:val="en-CA"/>
        </w:rPr>
      </w:pPr>
      <w:r w:rsidRPr="00DA1E8C">
        <w:rPr>
          <w:i/>
          <w:u w:val="single"/>
          <w:lang w:val="en-CA"/>
        </w:rPr>
        <w:t>Asses</w:t>
      </w:r>
      <w:r>
        <w:rPr>
          <w:i/>
          <w:u w:val="single"/>
          <w:lang w:val="en-CA"/>
        </w:rPr>
        <w:t>sed</w:t>
      </w:r>
      <w:r w:rsidRPr="00DA1E8C">
        <w:rPr>
          <w:i/>
          <w:u w:val="single"/>
          <w:lang w:val="en-CA"/>
        </w:rPr>
        <w:t xml:space="preserve"> the accuracy of each of the settlement alternatives:</w:t>
      </w:r>
      <w:r w:rsidRPr="00DA1E8C">
        <w:rPr>
          <w:lang w:val="en-CA"/>
        </w:rPr>
        <w:t xml:space="preserve"> </w:t>
      </w:r>
      <w:r>
        <w:rPr>
          <w:lang w:val="en-CA"/>
        </w:rPr>
        <w:t xml:space="preserve"> </w:t>
      </w:r>
      <w:r w:rsidRPr="00DA1E8C">
        <w:rPr>
          <w:lang w:val="en-CA"/>
        </w:rPr>
        <w:t xml:space="preserve">To standardize the comparison, we used metrics designed to assess if </w:t>
      </w:r>
      <w:r w:rsidR="002526C3">
        <w:rPr>
          <w:lang w:val="en-CA"/>
        </w:rPr>
        <w:t xml:space="preserve">each baseline method </w:t>
      </w:r>
      <w:r w:rsidRPr="00DA1E8C">
        <w:rPr>
          <w:lang w:val="en-CA"/>
        </w:rPr>
        <w:t>systematically over or under-</w:t>
      </w:r>
      <w:r w:rsidR="002526C3">
        <w:rPr>
          <w:lang w:val="en-CA"/>
        </w:rPr>
        <w:t xml:space="preserve">estimates </w:t>
      </w:r>
      <w:r w:rsidRPr="00DA1E8C">
        <w:rPr>
          <w:lang w:val="en-CA"/>
        </w:rPr>
        <w:t>demand reductions (b</w:t>
      </w:r>
      <w:r w:rsidR="002526C3">
        <w:rPr>
          <w:lang w:val="en-CA"/>
        </w:rPr>
        <w:t>ias) and metrics that summarize</w:t>
      </w:r>
      <w:r w:rsidRPr="00DA1E8C">
        <w:rPr>
          <w:lang w:val="en-CA"/>
        </w:rPr>
        <w:t xml:space="preserve"> how close the </w:t>
      </w:r>
      <w:r w:rsidR="002526C3">
        <w:rPr>
          <w:lang w:val="en-CA"/>
        </w:rPr>
        <w:t xml:space="preserve">estimates are </w:t>
      </w:r>
      <w:r w:rsidRPr="00DA1E8C">
        <w:rPr>
          <w:lang w:val="en-CA"/>
        </w:rPr>
        <w:t xml:space="preserve">to the true </w:t>
      </w:r>
      <w:r w:rsidR="002526C3">
        <w:rPr>
          <w:lang w:val="en-CA"/>
        </w:rPr>
        <w:t xml:space="preserve">(simulated) </w:t>
      </w:r>
      <w:r w:rsidRPr="00DA1E8C">
        <w:rPr>
          <w:lang w:val="en-CA"/>
        </w:rPr>
        <w:t xml:space="preserve">demand reductions (goodness-of-fit). </w:t>
      </w:r>
    </w:p>
    <w:p w:rsidR="00B073CB" w:rsidRPr="00DE5AD5" w:rsidRDefault="008E540D" w:rsidP="00B073CB">
      <w:pPr>
        <w:pStyle w:val="BodyParagraph"/>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1pt;width:480.2pt;height:644.45pt;z-index:251687936;mso-position-horizontal:center" filled="t" fillcolor="#d8d8d8 [2732]" stroked="t" strokeweight=".5pt">
            <v:fill opacity="64881f"/>
            <v:imagedata r:id="rId26" o:title=""/>
            <w10:wrap type="square"/>
          </v:shape>
          <o:OLEObject Type="Embed" ProgID="Word.Document.12" ShapeID="_x0000_s1032" DrawAspect="Content" ObjectID="_1399892636" r:id="rId27">
            <o:FieldCodes>\s</o:FieldCodes>
          </o:OLEObject>
        </w:pict>
      </w:r>
    </w:p>
    <w:p w:rsidR="00B073CB" w:rsidRPr="00660761" w:rsidRDefault="00B073CB" w:rsidP="00B073CB">
      <w:pPr>
        <w:pStyle w:val="BodyParaAfterTableFigure"/>
      </w:pPr>
      <w:r>
        <w:rPr>
          <w:lang w:val="en-CA"/>
        </w:rPr>
        <w:lastRenderedPageBreak/>
        <w:t xml:space="preserve">The remainder of this </w:t>
      </w:r>
      <w:r w:rsidR="00B2167A">
        <w:rPr>
          <w:lang w:val="en-CA"/>
        </w:rPr>
        <w:t>sub</w:t>
      </w:r>
      <w:r>
        <w:rPr>
          <w:lang w:val="en-CA"/>
        </w:rPr>
        <w:t xml:space="preserve">section provides </w:t>
      </w:r>
      <w:r w:rsidR="00B2167A">
        <w:rPr>
          <w:lang w:val="en-CA"/>
        </w:rPr>
        <w:t xml:space="preserve">more </w:t>
      </w:r>
      <w:r>
        <w:rPr>
          <w:lang w:val="en-CA"/>
        </w:rPr>
        <w:t xml:space="preserve">details regarding each step.  </w:t>
      </w:r>
      <w:r w:rsidR="00B2167A">
        <w:rPr>
          <w:lang w:val="en-CA"/>
        </w:rPr>
        <w:t>In the t</w:t>
      </w:r>
      <w:r>
        <w:t>he remainder of the report</w:t>
      </w:r>
      <w:r w:rsidR="00B2167A">
        <w:t>,</w:t>
      </w:r>
      <w:r>
        <w:t xml:space="preserve"> we focus on the accuracy of the demand reductions calculated using baselines (as opposed to baseline accuracy).  The reason a baseline is calculated in the fi</w:t>
      </w:r>
      <w:r w:rsidR="00B2167A">
        <w:t xml:space="preserve">rst place is to estimate load </w:t>
      </w:r>
      <w:r>
        <w:t xml:space="preserve">reductions.  Aggregators and customers are not concerned with how well a baseline estimates their load in the absence of a load reduction, </w:t>
      </w:r>
      <w:r>
        <w:rPr>
          <w:i/>
          <w:iCs/>
        </w:rPr>
        <w:t>per se</w:t>
      </w:r>
      <w:r>
        <w:t xml:space="preserve">; they are concerned about how well a baseline estimates their load reduction, because this impacts how much they are compensated.  In other words, baselines are means to an end, not the end in itself.  Thus, we assess each set of baseline rules based on how accurately it estimates demand reductions, not just by how well it estimates the load itself. </w:t>
      </w:r>
    </w:p>
    <w:p w:rsidR="00B073CB" w:rsidRDefault="00B073CB" w:rsidP="00B073CB">
      <w:pPr>
        <w:pStyle w:val="Heading3"/>
      </w:pPr>
      <w:bookmarkStart w:id="74" w:name="_Toc315172964"/>
      <w:bookmarkStart w:id="75" w:name="_Toc318393843"/>
      <w:bookmarkStart w:id="76" w:name="_Toc318472348"/>
      <w:bookmarkStart w:id="77" w:name="_Toc318789289"/>
      <w:bookmarkStart w:id="78" w:name="_Toc324232562"/>
      <w:bookmarkStart w:id="79" w:name="_Toc326150807"/>
      <w:r>
        <w:t xml:space="preserve">Selection of </w:t>
      </w:r>
      <w:r w:rsidRPr="00E80A77">
        <w:t>Proxy</w:t>
      </w:r>
      <w:r>
        <w:t xml:space="preserve"> Event Days and Hours</w:t>
      </w:r>
      <w:bookmarkEnd w:id="74"/>
      <w:bookmarkEnd w:id="75"/>
      <w:bookmarkEnd w:id="76"/>
      <w:bookmarkEnd w:id="77"/>
      <w:bookmarkEnd w:id="78"/>
      <w:bookmarkEnd w:id="79"/>
    </w:p>
    <w:p w:rsidR="00B073CB" w:rsidRDefault="00B073CB" w:rsidP="00B073CB">
      <w:pPr>
        <w:pStyle w:val="BodyParagraph"/>
      </w:pPr>
      <w:r>
        <w:t>The proxy days were selected to match actual event conditions observed in 2011 as closely as possible based on system load and weather conditions.</w:t>
      </w:r>
      <w:r w:rsidR="00B2167A">
        <w:t xml:space="preserve">  This is a critical step in the</w:t>
      </w:r>
      <w:r>
        <w:t xml:space="preserve"> method because the proxy events are used to assess how accurately the baselines calculate demand reductions under event-like conditions. Tables 3-1, 3-2 and 3-3 compare the actual and proxy event day conditions based on annual system load ranking and average daily temperature, which reflects overall heat intensity better than the daily maximum temperature.  To facilitate the comparison, the actual and proxy event days are sorted by the annual ranking of system peak load for that day.  Overall, the proxy event days we selected were highly comparable to the actual event days for each utility and program option.</w:t>
      </w:r>
    </w:p>
    <w:p w:rsidR="00B073CB" w:rsidRPr="00050374" w:rsidRDefault="00B2167A" w:rsidP="00B073CB">
      <w:pPr>
        <w:pStyle w:val="TableFigureCaption"/>
        <w:keepNext w:val="0"/>
      </w:pPr>
      <w:r>
        <w:t>Table 3</w:t>
      </w:r>
      <w:r w:rsidR="00B073CB" w:rsidRPr="00050374">
        <w:t>-1</w:t>
      </w:r>
      <w:r w:rsidR="00B073CB">
        <w:t>:</w:t>
      </w:r>
      <w:r w:rsidR="00B073CB" w:rsidRPr="00050374">
        <w:t xml:space="preserve"> </w:t>
      </w:r>
      <w:r w:rsidR="00B073CB">
        <w:t xml:space="preserve">Comparison of </w:t>
      </w:r>
      <w:r w:rsidR="00B073CB" w:rsidRPr="00050374">
        <w:t>PG&amp;E</w:t>
      </w:r>
      <w:r w:rsidR="00B073CB">
        <w:t xml:space="preserve"> Actual and Proxy Events</w:t>
      </w:r>
    </w:p>
    <w:tbl>
      <w:tblPr>
        <w:tblW w:w="871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0"/>
        <w:gridCol w:w="928"/>
        <w:gridCol w:w="928"/>
        <w:gridCol w:w="920"/>
        <w:gridCol w:w="920"/>
        <w:gridCol w:w="920"/>
        <w:gridCol w:w="920"/>
        <w:gridCol w:w="920"/>
        <w:gridCol w:w="920"/>
      </w:tblGrid>
      <w:tr w:rsidR="00B073CB" w:rsidRPr="00050374" w:rsidTr="002E1347">
        <w:trPr>
          <w:trHeight w:val="300"/>
          <w:jc w:val="center"/>
        </w:trPr>
        <w:tc>
          <w:tcPr>
            <w:tcW w:w="1340" w:type="dxa"/>
            <w:vMerge w:val="restart"/>
            <w:tcBorders>
              <w:right w:val="single" w:sz="4" w:space="0" w:color="FFFFFF" w:themeColor="background1"/>
            </w:tcBorders>
            <w:shd w:val="clear" w:color="000000" w:fill="1F497D"/>
            <w:noWrap/>
            <w:vAlign w:val="center"/>
            <w:hideMark/>
          </w:tcPr>
          <w:p w:rsidR="00B073CB" w:rsidRPr="00050374" w:rsidRDefault="00B073CB" w:rsidP="00B523D8">
            <w:pPr>
              <w:pStyle w:val="TableHeader"/>
            </w:pPr>
            <w:r>
              <w:t>Event</w:t>
            </w:r>
          </w:p>
        </w:tc>
        <w:tc>
          <w:tcPr>
            <w:tcW w:w="3696" w:type="dxa"/>
            <w:gridSpan w:val="4"/>
            <w:tcBorders>
              <w:left w:val="single" w:sz="4" w:space="0" w:color="FFFFFF" w:themeColor="background1"/>
              <w:bottom w:val="single" w:sz="4" w:space="0" w:color="FFFFFF" w:themeColor="background1"/>
              <w:right w:val="single" w:sz="4" w:space="0" w:color="FFFFFF" w:themeColor="background1"/>
            </w:tcBorders>
            <w:shd w:val="clear" w:color="000000" w:fill="1F497D"/>
            <w:noWrap/>
            <w:vAlign w:val="center"/>
            <w:hideMark/>
          </w:tcPr>
          <w:p w:rsidR="00B073CB" w:rsidRPr="00050374" w:rsidRDefault="00B073CB" w:rsidP="00B523D8">
            <w:pPr>
              <w:pStyle w:val="TableHeader"/>
            </w:pPr>
            <w:r w:rsidRPr="00050374">
              <w:t>Actual</w:t>
            </w:r>
          </w:p>
        </w:tc>
        <w:tc>
          <w:tcPr>
            <w:tcW w:w="3680" w:type="dxa"/>
            <w:gridSpan w:val="4"/>
            <w:tcBorders>
              <w:left w:val="single" w:sz="4" w:space="0" w:color="FFFFFF" w:themeColor="background1"/>
              <w:bottom w:val="single" w:sz="4" w:space="0" w:color="FFFFFF" w:themeColor="background1"/>
            </w:tcBorders>
            <w:shd w:val="clear" w:color="000000" w:fill="1F497D"/>
            <w:noWrap/>
            <w:vAlign w:val="center"/>
            <w:hideMark/>
          </w:tcPr>
          <w:p w:rsidR="00B073CB" w:rsidRPr="00050374" w:rsidRDefault="00B073CB" w:rsidP="00B523D8">
            <w:pPr>
              <w:pStyle w:val="TableHeader"/>
            </w:pPr>
            <w:r w:rsidRPr="00050374">
              <w:t>Proxy</w:t>
            </w:r>
          </w:p>
        </w:tc>
      </w:tr>
      <w:tr w:rsidR="00B073CB" w:rsidRPr="00050374" w:rsidTr="002E1347">
        <w:trPr>
          <w:trHeight w:val="525"/>
          <w:jc w:val="center"/>
        </w:trPr>
        <w:tc>
          <w:tcPr>
            <w:tcW w:w="1340" w:type="dxa"/>
            <w:vMerge/>
            <w:tcBorders>
              <w:right w:val="single" w:sz="4" w:space="0" w:color="FFFFFF" w:themeColor="background1"/>
            </w:tcBorders>
            <w:vAlign w:val="center"/>
            <w:hideMark/>
          </w:tcPr>
          <w:p w:rsidR="00B073CB" w:rsidRPr="00050374" w:rsidRDefault="00B073CB" w:rsidP="00B523D8">
            <w:pPr>
              <w:pStyle w:val="TableHeader"/>
            </w:pPr>
          </w:p>
        </w:tc>
        <w:tc>
          <w:tcPr>
            <w:tcW w:w="928"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Annual</w:t>
            </w:r>
            <w:r w:rsidR="00B523D8">
              <w:t xml:space="preserve"> </w:t>
            </w:r>
            <w:r>
              <w:t xml:space="preserve">System Peak </w:t>
            </w:r>
            <w:r w:rsidRPr="00050374">
              <w:t>Rank</w:t>
            </w:r>
          </w:p>
        </w:tc>
        <w:tc>
          <w:tcPr>
            <w:tcW w:w="928"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System Load</w:t>
            </w:r>
            <w:r w:rsidR="00B523D8">
              <w:t xml:space="preserve"> </w:t>
            </w:r>
            <w:r>
              <w:t>(</w:t>
            </w:r>
            <w:r w:rsidRPr="00050374">
              <w:t>MW</w:t>
            </w:r>
            <w:r>
              <w:t>)</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Annual</w:t>
            </w:r>
            <w:r w:rsidR="00B523D8">
              <w:t xml:space="preserve"> </w:t>
            </w:r>
            <w:r w:rsidRPr="00050374">
              <w:t>Temp Rank</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Avg. Daily</w:t>
            </w:r>
            <w:r w:rsidR="00B523D8">
              <w:t xml:space="preserve"> </w:t>
            </w:r>
            <w:r w:rsidRPr="00050374">
              <w:t>Temp</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Default="00B073CB" w:rsidP="00B523D8">
            <w:pPr>
              <w:pStyle w:val="TableHeader"/>
            </w:pPr>
            <w:r>
              <w:t>Annual</w:t>
            </w:r>
          </w:p>
          <w:p w:rsidR="00B073CB" w:rsidRPr="00050374" w:rsidRDefault="00B073CB" w:rsidP="00B523D8">
            <w:pPr>
              <w:pStyle w:val="TableHeader"/>
            </w:pPr>
            <w:r>
              <w:t xml:space="preserve">System Peak </w:t>
            </w:r>
            <w:r w:rsidRPr="00050374">
              <w:t>Rank</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Default="00B073CB" w:rsidP="00B523D8">
            <w:pPr>
              <w:pStyle w:val="TableHeader"/>
            </w:pPr>
            <w:r>
              <w:t>System Load</w:t>
            </w:r>
          </w:p>
          <w:p w:rsidR="00B073CB" w:rsidRPr="00050374" w:rsidRDefault="00B073CB" w:rsidP="00B523D8">
            <w:pPr>
              <w:pStyle w:val="TableHeader"/>
            </w:pPr>
            <w:r>
              <w:t>(</w:t>
            </w:r>
            <w:r w:rsidRPr="00050374">
              <w:t>MW</w:t>
            </w:r>
            <w:r>
              <w:t>)</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Annual</w:t>
            </w:r>
            <w:r w:rsidR="00B523D8">
              <w:t xml:space="preserve"> </w:t>
            </w:r>
            <w:r w:rsidRPr="00050374">
              <w:t>Temp Rank</w:t>
            </w:r>
          </w:p>
        </w:tc>
        <w:tc>
          <w:tcPr>
            <w:tcW w:w="920" w:type="dxa"/>
            <w:tcBorders>
              <w:top w:val="single" w:sz="4" w:space="0" w:color="FFFFFF" w:themeColor="background1"/>
              <w:left w:val="single" w:sz="4" w:space="0" w:color="FFFFFF" w:themeColor="background1"/>
            </w:tcBorders>
            <w:shd w:val="clear" w:color="000000" w:fill="1F497D"/>
            <w:vAlign w:val="center"/>
            <w:hideMark/>
          </w:tcPr>
          <w:p w:rsidR="00B073CB" w:rsidRPr="00050374" w:rsidRDefault="00B073CB" w:rsidP="00B523D8">
            <w:pPr>
              <w:pStyle w:val="TableHeader"/>
            </w:pPr>
            <w:r>
              <w:t>Avg. Daily</w:t>
            </w:r>
            <w:r w:rsidR="00B523D8">
              <w:t xml:space="preserve"> </w:t>
            </w:r>
            <w:r w:rsidRPr="00050374">
              <w:t>Temp</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1</w:t>
            </w:r>
          </w:p>
        </w:tc>
        <w:tc>
          <w:tcPr>
            <w:tcW w:w="928" w:type="dxa"/>
            <w:shd w:val="clear" w:color="auto" w:fill="auto"/>
            <w:noWrap/>
            <w:vAlign w:val="center"/>
            <w:hideMark/>
          </w:tcPr>
          <w:p w:rsidR="00B073CB" w:rsidRPr="00050374" w:rsidRDefault="00B073CB" w:rsidP="002E1347">
            <w:pPr>
              <w:pStyle w:val="TableText"/>
            </w:pPr>
            <w:r w:rsidRPr="00050374">
              <w:t>2</w:t>
            </w:r>
          </w:p>
        </w:tc>
        <w:tc>
          <w:tcPr>
            <w:tcW w:w="928" w:type="dxa"/>
            <w:shd w:val="clear" w:color="auto" w:fill="auto"/>
            <w:noWrap/>
            <w:vAlign w:val="center"/>
            <w:hideMark/>
          </w:tcPr>
          <w:p w:rsidR="00B073CB" w:rsidRPr="00050374" w:rsidRDefault="00B073CB" w:rsidP="002E1347">
            <w:pPr>
              <w:pStyle w:val="TableText"/>
            </w:pPr>
            <w:r w:rsidRPr="00050374">
              <w:t>17,749</w:t>
            </w:r>
          </w:p>
        </w:tc>
        <w:tc>
          <w:tcPr>
            <w:tcW w:w="920" w:type="dxa"/>
            <w:shd w:val="clear" w:color="auto" w:fill="auto"/>
            <w:noWrap/>
            <w:vAlign w:val="center"/>
            <w:hideMark/>
          </w:tcPr>
          <w:p w:rsidR="00B073CB" w:rsidRPr="00050374" w:rsidRDefault="00B073CB" w:rsidP="002E1347">
            <w:pPr>
              <w:pStyle w:val="TableText"/>
            </w:pPr>
            <w:r w:rsidRPr="00050374">
              <w:t>4</w:t>
            </w:r>
          </w:p>
        </w:tc>
        <w:tc>
          <w:tcPr>
            <w:tcW w:w="920" w:type="dxa"/>
            <w:shd w:val="clear" w:color="auto" w:fill="auto"/>
            <w:noWrap/>
            <w:vAlign w:val="center"/>
            <w:hideMark/>
          </w:tcPr>
          <w:p w:rsidR="00B073CB" w:rsidRPr="00050374" w:rsidRDefault="00B073CB" w:rsidP="002E1347">
            <w:pPr>
              <w:pStyle w:val="TableText"/>
            </w:pPr>
            <w:r w:rsidRPr="00050374">
              <w:t>75.1</w:t>
            </w:r>
          </w:p>
        </w:tc>
        <w:tc>
          <w:tcPr>
            <w:tcW w:w="920" w:type="dxa"/>
            <w:shd w:val="clear" w:color="auto" w:fill="auto"/>
            <w:noWrap/>
            <w:vAlign w:val="center"/>
            <w:hideMark/>
          </w:tcPr>
          <w:p w:rsidR="00B073CB" w:rsidRPr="00050374" w:rsidRDefault="00B073CB" w:rsidP="002E1347">
            <w:pPr>
              <w:pStyle w:val="TableText"/>
            </w:pPr>
            <w:r w:rsidRPr="00050374">
              <w:t>4</w:t>
            </w:r>
          </w:p>
        </w:tc>
        <w:tc>
          <w:tcPr>
            <w:tcW w:w="920" w:type="dxa"/>
            <w:shd w:val="clear" w:color="auto" w:fill="auto"/>
            <w:noWrap/>
            <w:vAlign w:val="center"/>
            <w:hideMark/>
          </w:tcPr>
          <w:p w:rsidR="00B073CB" w:rsidRPr="00050374" w:rsidRDefault="00B073CB" w:rsidP="002E1347">
            <w:pPr>
              <w:pStyle w:val="TableText"/>
            </w:pPr>
            <w:r w:rsidRPr="00050374">
              <w:t>17,324</w:t>
            </w:r>
          </w:p>
        </w:tc>
        <w:tc>
          <w:tcPr>
            <w:tcW w:w="920" w:type="dxa"/>
            <w:shd w:val="clear" w:color="auto" w:fill="auto"/>
            <w:noWrap/>
            <w:vAlign w:val="center"/>
            <w:hideMark/>
          </w:tcPr>
          <w:p w:rsidR="00B073CB" w:rsidRPr="00050374" w:rsidRDefault="00B073CB" w:rsidP="002E1347">
            <w:pPr>
              <w:pStyle w:val="TableText"/>
            </w:pPr>
            <w:r w:rsidRPr="00050374">
              <w:t>5</w:t>
            </w:r>
          </w:p>
        </w:tc>
        <w:tc>
          <w:tcPr>
            <w:tcW w:w="920" w:type="dxa"/>
            <w:shd w:val="clear" w:color="auto" w:fill="auto"/>
            <w:noWrap/>
            <w:vAlign w:val="center"/>
            <w:hideMark/>
          </w:tcPr>
          <w:p w:rsidR="00B073CB" w:rsidRPr="00050374" w:rsidRDefault="00B073CB" w:rsidP="002E1347">
            <w:pPr>
              <w:pStyle w:val="TableText"/>
            </w:pPr>
            <w:r w:rsidRPr="00050374">
              <w:t>73.5</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2</w:t>
            </w:r>
          </w:p>
        </w:tc>
        <w:tc>
          <w:tcPr>
            <w:tcW w:w="928" w:type="dxa"/>
            <w:shd w:val="clear" w:color="auto" w:fill="auto"/>
            <w:noWrap/>
            <w:vAlign w:val="center"/>
            <w:hideMark/>
          </w:tcPr>
          <w:p w:rsidR="00B073CB" w:rsidRPr="00050374" w:rsidRDefault="00B073CB" w:rsidP="002E1347">
            <w:pPr>
              <w:pStyle w:val="TableText"/>
            </w:pPr>
            <w:r w:rsidRPr="00050374">
              <w:t>3</w:t>
            </w:r>
          </w:p>
        </w:tc>
        <w:tc>
          <w:tcPr>
            <w:tcW w:w="928" w:type="dxa"/>
            <w:shd w:val="clear" w:color="auto" w:fill="auto"/>
            <w:noWrap/>
            <w:vAlign w:val="center"/>
            <w:hideMark/>
          </w:tcPr>
          <w:p w:rsidR="00B073CB" w:rsidRPr="00050374" w:rsidRDefault="00B073CB" w:rsidP="002E1347">
            <w:pPr>
              <w:pStyle w:val="TableText"/>
            </w:pPr>
            <w:r w:rsidRPr="00050374">
              <w:t>17,700</w:t>
            </w:r>
          </w:p>
        </w:tc>
        <w:tc>
          <w:tcPr>
            <w:tcW w:w="920" w:type="dxa"/>
            <w:shd w:val="clear" w:color="auto" w:fill="auto"/>
            <w:noWrap/>
            <w:vAlign w:val="center"/>
            <w:hideMark/>
          </w:tcPr>
          <w:p w:rsidR="00B073CB" w:rsidRPr="00050374" w:rsidRDefault="00B073CB" w:rsidP="002E1347">
            <w:pPr>
              <w:pStyle w:val="TableText"/>
            </w:pPr>
            <w:r w:rsidRPr="00050374">
              <w:t>2</w:t>
            </w:r>
          </w:p>
        </w:tc>
        <w:tc>
          <w:tcPr>
            <w:tcW w:w="920" w:type="dxa"/>
            <w:shd w:val="clear" w:color="auto" w:fill="auto"/>
            <w:noWrap/>
            <w:vAlign w:val="center"/>
            <w:hideMark/>
          </w:tcPr>
          <w:p w:rsidR="00B073CB" w:rsidRPr="00050374" w:rsidRDefault="00B073CB" w:rsidP="002E1347">
            <w:pPr>
              <w:pStyle w:val="TableText"/>
            </w:pPr>
            <w:r w:rsidRPr="00050374">
              <w:t>75.6</w:t>
            </w:r>
          </w:p>
        </w:tc>
        <w:tc>
          <w:tcPr>
            <w:tcW w:w="920" w:type="dxa"/>
            <w:shd w:val="clear" w:color="auto" w:fill="auto"/>
            <w:noWrap/>
            <w:vAlign w:val="center"/>
            <w:hideMark/>
          </w:tcPr>
          <w:p w:rsidR="00B073CB" w:rsidRPr="00050374" w:rsidRDefault="00B073CB" w:rsidP="002E1347">
            <w:pPr>
              <w:pStyle w:val="TableText"/>
            </w:pPr>
            <w:r w:rsidRPr="00050374">
              <w:t>7</w:t>
            </w:r>
          </w:p>
        </w:tc>
        <w:tc>
          <w:tcPr>
            <w:tcW w:w="920" w:type="dxa"/>
            <w:shd w:val="clear" w:color="auto" w:fill="auto"/>
            <w:noWrap/>
            <w:vAlign w:val="center"/>
            <w:hideMark/>
          </w:tcPr>
          <w:p w:rsidR="00B073CB" w:rsidRPr="00050374" w:rsidRDefault="00B073CB" w:rsidP="002E1347">
            <w:pPr>
              <w:pStyle w:val="TableText"/>
            </w:pPr>
            <w:r w:rsidRPr="00050374">
              <w:t>17,013</w:t>
            </w:r>
          </w:p>
        </w:tc>
        <w:tc>
          <w:tcPr>
            <w:tcW w:w="920" w:type="dxa"/>
            <w:shd w:val="clear" w:color="auto" w:fill="auto"/>
            <w:noWrap/>
            <w:vAlign w:val="center"/>
            <w:hideMark/>
          </w:tcPr>
          <w:p w:rsidR="00B073CB" w:rsidRPr="00050374" w:rsidRDefault="00B073CB" w:rsidP="002E1347">
            <w:pPr>
              <w:pStyle w:val="TableText"/>
            </w:pPr>
            <w:r w:rsidRPr="00050374">
              <w:t>15</w:t>
            </w:r>
          </w:p>
        </w:tc>
        <w:tc>
          <w:tcPr>
            <w:tcW w:w="920" w:type="dxa"/>
            <w:shd w:val="clear" w:color="auto" w:fill="auto"/>
            <w:noWrap/>
            <w:vAlign w:val="center"/>
            <w:hideMark/>
          </w:tcPr>
          <w:p w:rsidR="00B073CB" w:rsidRPr="00050374" w:rsidRDefault="00B073CB" w:rsidP="002E1347">
            <w:pPr>
              <w:pStyle w:val="TableText"/>
            </w:pPr>
            <w:r w:rsidRPr="00050374">
              <w:t>72.4</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3</w:t>
            </w:r>
          </w:p>
        </w:tc>
        <w:tc>
          <w:tcPr>
            <w:tcW w:w="928" w:type="dxa"/>
            <w:shd w:val="clear" w:color="auto" w:fill="auto"/>
            <w:noWrap/>
            <w:vAlign w:val="center"/>
            <w:hideMark/>
          </w:tcPr>
          <w:p w:rsidR="00B073CB" w:rsidRPr="00050374" w:rsidRDefault="00B073CB" w:rsidP="002E1347">
            <w:pPr>
              <w:pStyle w:val="TableText"/>
            </w:pPr>
            <w:r w:rsidRPr="00050374">
              <w:t>5</w:t>
            </w:r>
          </w:p>
        </w:tc>
        <w:tc>
          <w:tcPr>
            <w:tcW w:w="928" w:type="dxa"/>
            <w:shd w:val="clear" w:color="auto" w:fill="auto"/>
            <w:noWrap/>
            <w:vAlign w:val="center"/>
            <w:hideMark/>
          </w:tcPr>
          <w:p w:rsidR="00B073CB" w:rsidRPr="00050374" w:rsidRDefault="00B073CB" w:rsidP="002E1347">
            <w:pPr>
              <w:pStyle w:val="TableText"/>
            </w:pPr>
            <w:r w:rsidRPr="00050374">
              <w:t>17,269</w:t>
            </w:r>
          </w:p>
        </w:tc>
        <w:tc>
          <w:tcPr>
            <w:tcW w:w="920" w:type="dxa"/>
            <w:shd w:val="clear" w:color="auto" w:fill="auto"/>
            <w:noWrap/>
            <w:vAlign w:val="center"/>
            <w:hideMark/>
          </w:tcPr>
          <w:p w:rsidR="00B073CB" w:rsidRPr="00050374" w:rsidRDefault="00B073CB" w:rsidP="002E1347">
            <w:pPr>
              <w:pStyle w:val="TableText"/>
            </w:pPr>
            <w:r w:rsidRPr="00050374">
              <w:t>17</w:t>
            </w:r>
          </w:p>
        </w:tc>
        <w:tc>
          <w:tcPr>
            <w:tcW w:w="920" w:type="dxa"/>
            <w:shd w:val="clear" w:color="auto" w:fill="auto"/>
            <w:noWrap/>
            <w:vAlign w:val="center"/>
            <w:hideMark/>
          </w:tcPr>
          <w:p w:rsidR="00B073CB" w:rsidRPr="00050374" w:rsidRDefault="00B073CB" w:rsidP="002E1347">
            <w:pPr>
              <w:pStyle w:val="TableText"/>
            </w:pPr>
            <w:r w:rsidRPr="00050374">
              <w:t>72.0</w:t>
            </w:r>
          </w:p>
        </w:tc>
        <w:tc>
          <w:tcPr>
            <w:tcW w:w="920" w:type="dxa"/>
            <w:shd w:val="clear" w:color="auto" w:fill="auto"/>
            <w:noWrap/>
            <w:vAlign w:val="center"/>
            <w:hideMark/>
          </w:tcPr>
          <w:p w:rsidR="00B073CB" w:rsidRPr="00050374" w:rsidRDefault="00B073CB" w:rsidP="002E1347">
            <w:pPr>
              <w:pStyle w:val="TableText"/>
            </w:pPr>
            <w:r w:rsidRPr="00050374">
              <w:t>11</w:t>
            </w:r>
          </w:p>
        </w:tc>
        <w:tc>
          <w:tcPr>
            <w:tcW w:w="920" w:type="dxa"/>
            <w:shd w:val="clear" w:color="auto" w:fill="auto"/>
            <w:noWrap/>
            <w:vAlign w:val="center"/>
            <w:hideMark/>
          </w:tcPr>
          <w:p w:rsidR="00B073CB" w:rsidRPr="00050374" w:rsidRDefault="00B073CB" w:rsidP="002E1347">
            <w:pPr>
              <w:pStyle w:val="TableText"/>
            </w:pPr>
            <w:r w:rsidRPr="00050374">
              <w:t>16,831</w:t>
            </w:r>
          </w:p>
        </w:tc>
        <w:tc>
          <w:tcPr>
            <w:tcW w:w="920" w:type="dxa"/>
            <w:shd w:val="clear" w:color="auto" w:fill="auto"/>
            <w:noWrap/>
            <w:vAlign w:val="center"/>
            <w:hideMark/>
          </w:tcPr>
          <w:p w:rsidR="00B073CB" w:rsidRPr="00050374" w:rsidRDefault="00B073CB" w:rsidP="002E1347">
            <w:pPr>
              <w:pStyle w:val="TableText"/>
            </w:pPr>
            <w:r w:rsidRPr="00050374">
              <w:t>9</w:t>
            </w:r>
          </w:p>
        </w:tc>
        <w:tc>
          <w:tcPr>
            <w:tcW w:w="920" w:type="dxa"/>
            <w:shd w:val="clear" w:color="auto" w:fill="auto"/>
            <w:noWrap/>
            <w:vAlign w:val="center"/>
            <w:hideMark/>
          </w:tcPr>
          <w:p w:rsidR="00B073CB" w:rsidRPr="00050374" w:rsidRDefault="00B073CB" w:rsidP="002E1347">
            <w:pPr>
              <w:pStyle w:val="TableText"/>
            </w:pPr>
            <w:r w:rsidRPr="00050374">
              <w:t>72.8</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4</w:t>
            </w:r>
          </w:p>
        </w:tc>
        <w:tc>
          <w:tcPr>
            <w:tcW w:w="928" w:type="dxa"/>
            <w:shd w:val="clear" w:color="auto" w:fill="auto"/>
            <w:noWrap/>
            <w:vAlign w:val="center"/>
            <w:hideMark/>
          </w:tcPr>
          <w:p w:rsidR="00B073CB" w:rsidRPr="00050374" w:rsidRDefault="00B073CB" w:rsidP="002E1347">
            <w:pPr>
              <w:pStyle w:val="TableText"/>
            </w:pPr>
            <w:r w:rsidRPr="00050374">
              <w:t>10</w:t>
            </w:r>
          </w:p>
        </w:tc>
        <w:tc>
          <w:tcPr>
            <w:tcW w:w="928" w:type="dxa"/>
            <w:shd w:val="clear" w:color="auto" w:fill="auto"/>
            <w:noWrap/>
            <w:vAlign w:val="center"/>
            <w:hideMark/>
          </w:tcPr>
          <w:p w:rsidR="00B073CB" w:rsidRPr="00050374" w:rsidRDefault="00B073CB" w:rsidP="002E1347">
            <w:pPr>
              <w:pStyle w:val="TableText"/>
            </w:pPr>
            <w:r w:rsidRPr="00050374">
              <w:t>16,831</w:t>
            </w:r>
          </w:p>
        </w:tc>
        <w:tc>
          <w:tcPr>
            <w:tcW w:w="920" w:type="dxa"/>
            <w:shd w:val="clear" w:color="auto" w:fill="auto"/>
            <w:noWrap/>
            <w:vAlign w:val="center"/>
            <w:hideMark/>
          </w:tcPr>
          <w:p w:rsidR="00B073CB" w:rsidRPr="00050374" w:rsidRDefault="00B073CB" w:rsidP="002E1347">
            <w:pPr>
              <w:pStyle w:val="TableText"/>
            </w:pPr>
            <w:r w:rsidRPr="00050374">
              <w:t>13</w:t>
            </w:r>
          </w:p>
        </w:tc>
        <w:tc>
          <w:tcPr>
            <w:tcW w:w="920" w:type="dxa"/>
            <w:shd w:val="clear" w:color="auto" w:fill="auto"/>
            <w:noWrap/>
            <w:vAlign w:val="center"/>
            <w:hideMark/>
          </w:tcPr>
          <w:p w:rsidR="00B073CB" w:rsidRPr="00050374" w:rsidRDefault="00B073CB" w:rsidP="002E1347">
            <w:pPr>
              <w:pStyle w:val="TableText"/>
            </w:pPr>
            <w:r w:rsidRPr="00050374">
              <w:t>72.6</w:t>
            </w:r>
          </w:p>
        </w:tc>
        <w:tc>
          <w:tcPr>
            <w:tcW w:w="920" w:type="dxa"/>
            <w:shd w:val="clear" w:color="auto" w:fill="auto"/>
            <w:noWrap/>
            <w:vAlign w:val="center"/>
            <w:hideMark/>
          </w:tcPr>
          <w:p w:rsidR="00B073CB" w:rsidRPr="00050374" w:rsidRDefault="00B073CB" w:rsidP="002E1347">
            <w:pPr>
              <w:pStyle w:val="TableText"/>
            </w:pPr>
            <w:r w:rsidRPr="00050374">
              <w:t>15</w:t>
            </w:r>
          </w:p>
        </w:tc>
        <w:tc>
          <w:tcPr>
            <w:tcW w:w="920" w:type="dxa"/>
            <w:shd w:val="clear" w:color="auto" w:fill="auto"/>
            <w:noWrap/>
            <w:vAlign w:val="center"/>
            <w:hideMark/>
          </w:tcPr>
          <w:p w:rsidR="00B073CB" w:rsidRPr="00050374" w:rsidRDefault="00B073CB" w:rsidP="002E1347">
            <w:pPr>
              <w:pStyle w:val="TableText"/>
            </w:pPr>
            <w:r w:rsidRPr="00050374">
              <w:t>16,699</w:t>
            </w:r>
          </w:p>
        </w:tc>
        <w:tc>
          <w:tcPr>
            <w:tcW w:w="920" w:type="dxa"/>
            <w:shd w:val="clear" w:color="auto" w:fill="auto"/>
            <w:noWrap/>
            <w:vAlign w:val="center"/>
            <w:hideMark/>
          </w:tcPr>
          <w:p w:rsidR="00B073CB" w:rsidRPr="00050374" w:rsidRDefault="00B073CB" w:rsidP="002E1347">
            <w:pPr>
              <w:pStyle w:val="TableText"/>
            </w:pPr>
            <w:r w:rsidRPr="00050374">
              <w:t>11</w:t>
            </w:r>
          </w:p>
        </w:tc>
        <w:tc>
          <w:tcPr>
            <w:tcW w:w="920" w:type="dxa"/>
            <w:shd w:val="clear" w:color="auto" w:fill="auto"/>
            <w:noWrap/>
            <w:vAlign w:val="center"/>
            <w:hideMark/>
          </w:tcPr>
          <w:p w:rsidR="00B073CB" w:rsidRPr="00050374" w:rsidRDefault="00B073CB" w:rsidP="002E1347">
            <w:pPr>
              <w:pStyle w:val="TableText"/>
            </w:pPr>
            <w:r w:rsidRPr="00050374">
              <w:t>72.8</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5</w:t>
            </w:r>
          </w:p>
        </w:tc>
        <w:tc>
          <w:tcPr>
            <w:tcW w:w="928" w:type="dxa"/>
            <w:shd w:val="clear" w:color="auto" w:fill="auto"/>
            <w:noWrap/>
            <w:vAlign w:val="center"/>
            <w:hideMark/>
          </w:tcPr>
          <w:p w:rsidR="00B073CB" w:rsidRPr="00050374" w:rsidRDefault="00B073CB" w:rsidP="002E1347">
            <w:pPr>
              <w:pStyle w:val="TableText"/>
            </w:pPr>
            <w:r w:rsidRPr="00050374">
              <w:t>16</w:t>
            </w:r>
          </w:p>
        </w:tc>
        <w:tc>
          <w:tcPr>
            <w:tcW w:w="928" w:type="dxa"/>
            <w:shd w:val="clear" w:color="auto" w:fill="auto"/>
            <w:noWrap/>
            <w:vAlign w:val="center"/>
            <w:hideMark/>
          </w:tcPr>
          <w:p w:rsidR="00B073CB" w:rsidRPr="00050374" w:rsidRDefault="00B073CB" w:rsidP="002E1347">
            <w:pPr>
              <w:pStyle w:val="TableText"/>
            </w:pPr>
            <w:r w:rsidRPr="00050374">
              <w:t>16,687</w:t>
            </w:r>
          </w:p>
        </w:tc>
        <w:tc>
          <w:tcPr>
            <w:tcW w:w="920" w:type="dxa"/>
            <w:shd w:val="clear" w:color="auto" w:fill="auto"/>
            <w:noWrap/>
            <w:vAlign w:val="center"/>
            <w:hideMark/>
          </w:tcPr>
          <w:p w:rsidR="00B073CB" w:rsidRPr="00050374" w:rsidRDefault="00B073CB" w:rsidP="002E1347">
            <w:pPr>
              <w:pStyle w:val="TableText"/>
            </w:pPr>
            <w:r w:rsidRPr="00050374">
              <w:t>19</w:t>
            </w:r>
          </w:p>
        </w:tc>
        <w:tc>
          <w:tcPr>
            <w:tcW w:w="920" w:type="dxa"/>
            <w:shd w:val="clear" w:color="auto" w:fill="auto"/>
            <w:noWrap/>
            <w:vAlign w:val="center"/>
            <w:hideMark/>
          </w:tcPr>
          <w:p w:rsidR="00B073CB" w:rsidRPr="00050374" w:rsidRDefault="00B073CB" w:rsidP="002E1347">
            <w:pPr>
              <w:pStyle w:val="TableText"/>
            </w:pPr>
            <w:r w:rsidRPr="00050374">
              <w:t>71.4</w:t>
            </w:r>
          </w:p>
        </w:tc>
        <w:tc>
          <w:tcPr>
            <w:tcW w:w="920" w:type="dxa"/>
            <w:shd w:val="clear" w:color="auto" w:fill="auto"/>
            <w:noWrap/>
            <w:vAlign w:val="center"/>
            <w:hideMark/>
          </w:tcPr>
          <w:p w:rsidR="00B073CB" w:rsidRPr="00050374" w:rsidRDefault="00B073CB" w:rsidP="002E1347">
            <w:pPr>
              <w:pStyle w:val="TableText"/>
            </w:pPr>
            <w:r w:rsidRPr="00050374">
              <w:t>17</w:t>
            </w:r>
          </w:p>
        </w:tc>
        <w:tc>
          <w:tcPr>
            <w:tcW w:w="920" w:type="dxa"/>
            <w:shd w:val="clear" w:color="auto" w:fill="auto"/>
            <w:noWrap/>
            <w:vAlign w:val="center"/>
            <w:hideMark/>
          </w:tcPr>
          <w:p w:rsidR="00B073CB" w:rsidRPr="00050374" w:rsidRDefault="00B073CB" w:rsidP="002E1347">
            <w:pPr>
              <w:pStyle w:val="TableText"/>
            </w:pPr>
            <w:r w:rsidRPr="00050374">
              <w:t>16,601</w:t>
            </w:r>
          </w:p>
        </w:tc>
        <w:tc>
          <w:tcPr>
            <w:tcW w:w="920" w:type="dxa"/>
            <w:shd w:val="clear" w:color="auto" w:fill="auto"/>
            <w:noWrap/>
            <w:vAlign w:val="center"/>
            <w:hideMark/>
          </w:tcPr>
          <w:p w:rsidR="00B073CB" w:rsidRPr="00050374" w:rsidRDefault="00B073CB" w:rsidP="002E1347">
            <w:pPr>
              <w:pStyle w:val="TableText"/>
            </w:pPr>
            <w:r w:rsidRPr="00050374">
              <w:t>6</w:t>
            </w:r>
          </w:p>
        </w:tc>
        <w:tc>
          <w:tcPr>
            <w:tcW w:w="920" w:type="dxa"/>
            <w:shd w:val="clear" w:color="auto" w:fill="auto"/>
            <w:noWrap/>
            <w:vAlign w:val="center"/>
            <w:hideMark/>
          </w:tcPr>
          <w:p w:rsidR="00B073CB" w:rsidRPr="00050374" w:rsidRDefault="00B073CB" w:rsidP="002E1347">
            <w:pPr>
              <w:pStyle w:val="TableText"/>
            </w:pPr>
            <w:r w:rsidRPr="00050374">
              <w:t>73.5</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6</w:t>
            </w:r>
          </w:p>
        </w:tc>
        <w:tc>
          <w:tcPr>
            <w:tcW w:w="928" w:type="dxa"/>
            <w:shd w:val="clear" w:color="auto" w:fill="auto"/>
            <w:noWrap/>
            <w:vAlign w:val="center"/>
            <w:hideMark/>
          </w:tcPr>
          <w:p w:rsidR="00B073CB" w:rsidRPr="00050374" w:rsidRDefault="00B073CB" w:rsidP="002E1347">
            <w:pPr>
              <w:pStyle w:val="TableText"/>
            </w:pPr>
            <w:r w:rsidRPr="00050374">
              <w:t>23</w:t>
            </w:r>
          </w:p>
        </w:tc>
        <w:tc>
          <w:tcPr>
            <w:tcW w:w="928" w:type="dxa"/>
            <w:shd w:val="clear" w:color="auto" w:fill="auto"/>
            <w:noWrap/>
            <w:vAlign w:val="center"/>
            <w:hideMark/>
          </w:tcPr>
          <w:p w:rsidR="00B073CB" w:rsidRPr="00050374" w:rsidRDefault="00B073CB" w:rsidP="002E1347">
            <w:pPr>
              <w:pStyle w:val="TableText"/>
            </w:pPr>
            <w:r w:rsidRPr="00050374">
              <w:t>16,263</w:t>
            </w:r>
          </w:p>
        </w:tc>
        <w:tc>
          <w:tcPr>
            <w:tcW w:w="920" w:type="dxa"/>
            <w:shd w:val="clear" w:color="auto" w:fill="auto"/>
            <w:noWrap/>
            <w:vAlign w:val="center"/>
            <w:hideMark/>
          </w:tcPr>
          <w:p w:rsidR="00B073CB" w:rsidRPr="00050374" w:rsidRDefault="00B073CB" w:rsidP="002E1347">
            <w:pPr>
              <w:pStyle w:val="TableText"/>
            </w:pPr>
            <w:r w:rsidRPr="00050374">
              <w:t>25</w:t>
            </w:r>
          </w:p>
        </w:tc>
        <w:tc>
          <w:tcPr>
            <w:tcW w:w="920" w:type="dxa"/>
            <w:shd w:val="clear" w:color="auto" w:fill="auto"/>
            <w:noWrap/>
            <w:vAlign w:val="center"/>
            <w:hideMark/>
          </w:tcPr>
          <w:p w:rsidR="00B073CB" w:rsidRPr="00050374" w:rsidRDefault="00B073CB" w:rsidP="002E1347">
            <w:pPr>
              <w:pStyle w:val="TableText"/>
            </w:pPr>
            <w:r w:rsidRPr="00050374">
              <w:t>70.7</w:t>
            </w:r>
          </w:p>
        </w:tc>
        <w:tc>
          <w:tcPr>
            <w:tcW w:w="920" w:type="dxa"/>
            <w:shd w:val="clear" w:color="auto" w:fill="auto"/>
            <w:noWrap/>
            <w:vAlign w:val="center"/>
            <w:hideMark/>
          </w:tcPr>
          <w:p w:rsidR="00B073CB" w:rsidRPr="00050374" w:rsidRDefault="00B073CB" w:rsidP="002E1347">
            <w:pPr>
              <w:pStyle w:val="TableText"/>
            </w:pPr>
            <w:r w:rsidRPr="00050374">
              <w:t>19</w:t>
            </w:r>
          </w:p>
        </w:tc>
        <w:tc>
          <w:tcPr>
            <w:tcW w:w="920" w:type="dxa"/>
            <w:shd w:val="clear" w:color="auto" w:fill="auto"/>
            <w:noWrap/>
            <w:vAlign w:val="center"/>
            <w:hideMark/>
          </w:tcPr>
          <w:p w:rsidR="00B073CB" w:rsidRPr="00050374" w:rsidRDefault="00B073CB" w:rsidP="002E1347">
            <w:pPr>
              <w:pStyle w:val="TableText"/>
            </w:pPr>
            <w:r w:rsidRPr="00050374">
              <w:t>16,352</w:t>
            </w:r>
          </w:p>
        </w:tc>
        <w:tc>
          <w:tcPr>
            <w:tcW w:w="920" w:type="dxa"/>
            <w:shd w:val="clear" w:color="auto" w:fill="auto"/>
            <w:noWrap/>
            <w:vAlign w:val="center"/>
            <w:hideMark/>
          </w:tcPr>
          <w:p w:rsidR="00B073CB" w:rsidRPr="00050374" w:rsidRDefault="00B073CB" w:rsidP="002E1347">
            <w:pPr>
              <w:pStyle w:val="TableText"/>
            </w:pPr>
            <w:r w:rsidRPr="00050374">
              <w:t>31</w:t>
            </w:r>
          </w:p>
        </w:tc>
        <w:tc>
          <w:tcPr>
            <w:tcW w:w="920" w:type="dxa"/>
            <w:shd w:val="clear" w:color="auto" w:fill="auto"/>
            <w:noWrap/>
            <w:vAlign w:val="center"/>
            <w:hideMark/>
          </w:tcPr>
          <w:p w:rsidR="00B073CB" w:rsidRPr="00050374" w:rsidRDefault="00B073CB" w:rsidP="002E1347">
            <w:pPr>
              <w:pStyle w:val="TableText"/>
            </w:pPr>
            <w:r w:rsidRPr="00050374">
              <w:t>70.1</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7</w:t>
            </w:r>
          </w:p>
        </w:tc>
        <w:tc>
          <w:tcPr>
            <w:tcW w:w="928" w:type="dxa"/>
            <w:shd w:val="clear" w:color="auto" w:fill="auto"/>
            <w:noWrap/>
            <w:vAlign w:val="center"/>
            <w:hideMark/>
          </w:tcPr>
          <w:p w:rsidR="00B073CB" w:rsidRPr="00050374" w:rsidRDefault="00B073CB" w:rsidP="002E1347">
            <w:pPr>
              <w:pStyle w:val="TableText"/>
            </w:pPr>
            <w:r w:rsidRPr="00050374">
              <w:t>25</w:t>
            </w:r>
          </w:p>
        </w:tc>
        <w:tc>
          <w:tcPr>
            <w:tcW w:w="928" w:type="dxa"/>
            <w:shd w:val="clear" w:color="auto" w:fill="auto"/>
            <w:noWrap/>
            <w:vAlign w:val="center"/>
            <w:hideMark/>
          </w:tcPr>
          <w:p w:rsidR="00B073CB" w:rsidRPr="00050374" w:rsidRDefault="00B073CB" w:rsidP="002E1347">
            <w:pPr>
              <w:pStyle w:val="TableText"/>
            </w:pPr>
            <w:r w:rsidRPr="00050374">
              <w:t>16,082</w:t>
            </w:r>
          </w:p>
        </w:tc>
        <w:tc>
          <w:tcPr>
            <w:tcW w:w="920" w:type="dxa"/>
            <w:shd w:val="clear" w:color="auto" w:fill="auto"/>
            <w:noWrap/>
            <w:vAlign w:val="center"/>
            <w:hideMark/>
          </w:tcPr>
          <w:p w:rsidR="00B073CB" w:rsidRPr="00050374" w:rsidRDefault="00B073CB" w:rsidP="002E1347">
            <w:pPr>
              <w:pStyle w:val="TableText"/>
            </w:pPr>
            <w:r w:rsidRPr="00050374">
              <w:t>28</w:t>
            </w:r>
          </w:p>
        </w:tc>
        <w:tc>
          <w:tcPr>
            <w:tcW w:w="920" w:type="dxa"/>
            <w:shd w:val="clear" w:color="auto" w:fill="auto"/>
            <w:noWrap/>
            <w:vAlign w:val="center"/>
            <w:hideMark/>
          </w:tcPr>
          <w:p w:rsidR="00B073CB" w:rsidRPr="00050374" w:rsidRDefault="00B073CB" w:rsidP="002E1347">
            <w:pPr>
              <w:pStyle w:val="TableText"/>
            </w:pPr>
            <w:r w:rsidRPr="00050374">
              <w:t>70.5</w:t>
            </w:r>
          </w:p>
        </w:tc>
        <w:tc>
          <w:tcPr>
            <w:tcW w:w="920" w:type="dxa"/>
            <w:shd w:val="clear" w:color="auto" w:fill="auto"/>
            <w:noWrap/>
            <w:vAlign w:val="center"/>
            <w:hideMark/>
          </w:tcPr>
          <w:p w:rsidR="00B073CB" w:rsidRPr="00050374" w:rsidRDefault="00B073CB" w:rsidP="002E1347">
            <w:pPr>
              <w:pStyle w:val="TableText"/>
            </w:pPr>
            <w:r w:rsidRPr="00050374">
              <w:t>22</w:t>
            </w:r>
          </w:p>
        </w:tc>
        <w:tc>
          <w:tcPr>
            <w:tcW w:w="920" w:type="dxa"/>
            <w:shd w:val="clear" w:color="auto" w:fill="auto"/>
            <w:noWrap/>
            <w:vAlign w:val="center"/>
            <w:hideMark/>
          </w:tcPr>
          <w:p w:rsidR="00B073CB" w:rsidRPr="00050374" w:rsidRDefault="00B073CB" w:rsidP="002E1347">
            <w:pPr>
              <w:pStyle w:val="TableText"/>
            </w:pPr>
            <w:r w:rsidRPr="00050374">
              <w:t>16,344</w:t>
            </w:r>
          </w:p>
        </w:tc>
        <w:tc>
          <w:tcPr>
            <w:tcW w:w="920" w:type="dxa"/>
            <w:shd w:val="clear" w:color="auto" w:fill="auto"/>
            <w:noWrap/>
            <w:vAlign w:val="center"/>
            <w:hideMark/>
          </w:tcPr>
          <w:p w:rsidR="00B073CB" w:rsidRPr="00050374" w:rsidRDefault="00B073CB" w:rsidP="002E1347">
            <w:pPr>
              <w:pStyle w:val="TableText"/>
            </w:pPr>
            <w:r w:rsidRPr="00050374">
              <w:t>22</w:t>
            </w:r>
          </w:p>
        </w:tc>
        <w:tc>
          <w:tcPr>
            <w:tcW w:w="920" w:type="dxa"/>
            <w:shd w:val="clear" w:color="auto" w:fill="auto"/>
            <w:noWrap/>
            <w:vAlign w:val="center"/>
            <w:hideMark/>
          </w:tcPr>
          <w:p w:rsidR="00B073CB" w:rsidRPr="00050374" w:rsidRDefault="00B073CB" w:rsidP="002E1347">
            <w:pPr>
              <w:pStyle w:val="TableText"/>
            </w:pPr>
            <w:r w:rsidRPr="00050374">
              <w:t>71.0</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8</w:t>
            </w:r>
          </w:p>
        </w:tc>
        <w:tc>
          <w:tcPr>
            <w:tcW w:w="928" w:type="dxa"/>
            <w:shd w:val="clear" w:color="auto" w:fill="auto"/>
            <w:noWrap/>
            <w:vAlign w:val="center"/>
            <w:hideMark/>
          </w:tcPr>
          <w:p w:rsidR="00B073CB" w:rsidRPr="00050374" w:rsidRDefault="00B073CB" w:rsidP="002E1347">
            <w:pPr>
              <w:pStyle w:val="TableText"/>
            </w:pPr>
            <w:r w:rsidRPr="00050374">
              <w:t>27</w:t>
            </w:r>
          </w:p>
        </w:tc>
        <w:tc>
          <w:tcPr>
            <w:tcW w:w="928" w:type="dxa"/>
            <w:shd w:val="clear" w:color="auto" w:fill="auto"/>
            <w:noWrap/>
            <w:vAlign w:val="center"/>
            <w:hideMark/>
          </w:tcPr>
          <w:p w:rsidR="00B073CB" w:rsidRPr="00050374" w:rsidRDefault="00B073CB" w:rsidP="002E1347">
            <w:pPr>
              <w:pStyle w:val="TableText"/>
            </w:pPr>
            <w:r w:rsidRPr="00050374">
              <w:t>15,921</w:t>
            </w:r>
          </w:p>
        </w:tc>
        <w:tc>
          <w:tcPr>
            <w:tcW w:w="920" w:type="dxa"/>
            <w:shd w:val="clear" w:color="auto" w:fill="auto"/>
            <w:noWrap/>
            <w:vAlign w:val="center"/>
            <w:hideMark/>
          </w:tcPr>
          <w:p w:rsidR="00B073CB" w:rsidRPr="00050374" w:rsidRDefault="00B073CB" w:rsidP="002E1347">
            <w:pPr>
              <w:pStyle w:val="TableText"/>
            </w:pPr>
            <w:r w:rsidRPr="00050374">
              <w:t>43</w:t>
            </w:r>
          </w:p>
        </w:tc>
        <w:tc>
          <w:tcPr>
            <w:tcW w:w="920" w:type="dxa"/>
            <w:shd w:val="clear" w:color="auto" w:fill="auto"/>
            <w:noWrap/>
            <w:vAlign w:val="center"/>
            <w:hideMark/>
          </w:tcPr>
          <w:p w:rsidR="00B073CB" w:rsidRPr="00050374" w:rsidRDefault="00B073CB" w:rsidP="002E1347">
            <w:pPr>
              <w:pStyle w:val="TableText"/>
            </w:pPr>
            <w:r w:rsidRPr="00050374">
              <w:t>69.1</w:t>
            </w:r>
          </w:p>
        </w:tc>
        <w:tc>
          <w:tcPr>
            <w:tcW w:w="920" w:type="dxa"/>
            <w:shd w:val="clear" w:color="auto" w:fill="auto"/>
            <w:noWrap/>
            <w:vAlign w:val="center"/>
            <w:hideMark/>
          </w:tcPr>
          <w:p w:rsidR="00B073CB" w:rsidRPr="00050374" w:rsidRDefault="00B073CB" w:rsidP="002E1347">
            <w:pPr>
              <w:pStyle w:val="TableText"/>
            </w:pPr>
            <w:r w:rsidRPr="00050374">
              <w:t>26</w:t>
            </w:r>
          </w:p>
        </w:tc>
        <w:tc>
          <w:tcPr>
            <w:tcW w:w="920" w:type="dxa"/>
            <w:shd w:val="clear" w:color="auto" w:fill="auto"/>
            <w:noWrap/>
            <w:vAlign w:val="center"/>
            <w:hideMark/>
          </w:tcPr>
          <w:p w:rsidR="00B073CB" w:rsidRPr="00050374" w:rsidRDefault="00B073CB" w:rsidP="002E1347">
            <w:pPr>
              <w:pStyle w:val="TableText"/>
            </w:pPr>
            <w:r w:rsidRPr="00050374">
              <w:t>15,996</w:t>
            </w:r>
          </w:p>
        </w:tc>
        <w:tc>
          <w:tcPr>
            <w:tcW w:w="920" w:type="dxa"/>
            <w:shd w:val="clear" w:color="auto" w:fill="auto"/>
            <w:noWrap/>
            <w:vAlign w:val="center"/>
            <w:hideMark/>
          </w:tcPr>
          <w:p w:rsidR="00B073CB" w:rsidRPr="00050374" w:rsidRDefault="00B073CB" w:rsidP="002E1347">
            <w:pPr>
              <w:pStyle w:val="TableText"/>
            </w:pPr>
            <w:r w:rsidRPr="00050374">
              <w:t>34</w:t>
            </w:r>
          </w:p>
        </w:tc>
        <w:tc>
          <w:tcPr>
            <w:tcW w:w="920" w:type="dxa"/>
            <w:shd w:val="clear" w:color="auto" w:fill="auto"/>
            <w:noWrap/>
            <w:vAlign w:val="center"/>
            <w:hideMark/>
          </w:tcPr>
          <w:p w:rsidR="00B073CB" w:rsidRPr="00050374" w:rsidRDefault="00B073CB" w:rsidP="002E1347">
            <w:pPr>
              <w:pStyle w:val="TableText"/>
            </w:pPr>
            <w:r w:rsidRPr="00050374">
              <w:t>69.5</w:t>
            </w:r>
          </w:p>
        </w:tc>
      </w:tr>
      <w:tr w:rsidR="00B073CB" w:rsidRPr="00050374" w:rsidTr="002E1347">
        <w:trPr>
          <w:trHeight w:val="315"/>
          <w:jc w:val="center"/>
        </w:trPr>
        <w:tc>
          <w:tcPr>
            <w:tcW w:w="1340" w:type="dxa"/>
            <w:shd w:val="clear" w:color="auto" w:fill="auto"/>
            <w:noWrap/>
            <w:vAlign w:val="center"/>
            <w:hideMark/>
          </w:tcPr>
          <w:p w:rsidR="00B073CB" w:rsidRPr="00050374" w:rsidRDefault="00B073CB" w:rsidP="002E1347">
            <w:pPr>
              <w:pStyle w:val="TableText"/>
            </w:pPr>
            <w:r w:rsidRPr="00050374">
              <w:t>9</w:t>
            </w:r>
          </w:p>
        </w:tc>
        <w:tc>
          <w:tcPr>
            <w:tcW w:w="928" w:type="dxa"/>
            <w:shd w:val="clear" w:color="auto" w:fill="auto"/>
            <w:noWrap/>
            <w:vAlign w:val="center"/>
            <w:hideMark/>
          </w:tcPr>
          <w:p w:rsidR="00B073CB" w:rsidRPr="00050374" w:rsidRDefault="00B073CB" w:rsidP="002E1347">
            <w:pPr>
              <w:pStyle w:val="TableText"/>
            </w:pPr>
            <w:r w:rsidRPr="00050374">
              <w:t>29</w:t>
            </w:r>
          </w:p>
        </w:tc>
        <w:tc>
          <w:tcPr>
            <w:tcW w:w="928" w:type="dxa"/>
            <w:shd w:val="clear" w:color="auto" w:fill="auto"/>
            <w:noWrap/>
            <w:vAlign w:val="center"/>
            <w:hideMark/>
          </w:tcPr>
          <w:p w:rsidR="00B073CB" w:rsidRPr="00050374" w:rsidRDefault="00B073CB" w:rsidP="002E1347">
            <w:pPr>
              <w:pStyle w:val="TableText"/>
            </w:pPr>
            <w:r w:rsidRPr="00050374">
              <w:t>15,761</w:t>
            </w:r>
          </w:p>
        </w:tc>
        <w:tc>
          <w:tcPr>
            <w:tcW w:w="920" w:type="dxa"/>
            <w:shd w:val="clear" w:color="auto" w:fill="auto"/>
            <w:noWrap/>
            <w:vAlign w:val="center"/>
            <w:hideMark/>
          </w:tcPr>
          <w:p w:rsidR="00B073CB" w:rsidRPr="00050374" w:rsidRDefault="00B073CB" w:rsidP="002E1347">
            <w:pPr>
              <w:pStyle w:val="TableText"/>
            </w:pPr>
            <w:r w:rsidRPr="00050374">
              <w:t>29</w:t>
            </w:r>
          </w:p>
        </w:tc>
        <w:tc>
          <w:tcPr>
            <w:tcW w:w="920" w:type="dxa"/>
            <w:shd w:val="clear" w:color="auto" w:fill="auto"/>
            <w:noWrap/>
            <w:vAlign w:val="center"/>
            <w:hideMark/>
          </w:tcPr>
          <w:p w:rsidR="00B073CB" w:rsidRPr="00050374" w:rsidRDefault="00B073CB" w:rsidP="002E1347">
            <w:pPr>
              <w:pStyle w:val="TableText"/>
            </w:pPr>
            <w:r w:rsidRPr="00050374">
              <w:t>70.5</w:t>
            </w:r>
          </w:p>
        </w:tc>
        <w:tc>
          <w:tcPr>
            <w:tcW w:w="920" w:type="dxa"/>
            <w:shd w:val="clear" w:color="auto" w:fill="auto"/>
            <w:noWrap/>
            <w:vAlign w:val="center"/>
            <w:hideMark/>
          </w:tcPr>
          <w:p w:rsidR="00B073CB" w:rsidRPr="00050374" w:rsidRDefault="00B073CB" w:rsidP="002E1347">
            <w:pPr>
              <w:pStyle w:val="TableText"/>
            </w:pPr>
            <w:r w:rsidRPr="00050374">
              <w:t>35</w:t>
            </w:r>
          </w:p>
        </w:tc>
        <w:tc>
          <w:tcPr>
            <w:tcW w:w="920" w:type="dxa"/>
            <w:shd w:val="clear" w:color="auto" w:fill="auto"/>
            <w:noWrap/>
            <w:vAlign w:val="center"/>
            <w:hideMark/>
          </w:tcPr>
          <w:p w:rsidR="00B073CB" w:rsidRPr="00050374" w:rsidRDefault="00B073CB" w:rsidP="002E1347">
            <w:pPr>
              <w:pStyle w:val="TableText"/>
            </w:pPr>
            <w:r w:rsidRPr="00050374">
              <w:t>15,457</w:t>
            </w:r>
          </w:p>
        </w:tc>
        <w:tc>
          <w:tcPr>
            <w:tcW w:w="920" w:type="dxa"/>
            <w:shd w:val="clear" w:color="auto" w:fill="auto"/>
            <w:noWrap/>
            <w:vAlign w:val="center"/>
            <w:hideMark/>
          </w:tcPr>
          <w:p w:rsidR="00B073CB" w:rsidRPr="00050374" w:rsidRDefault="00B073CB" w:rsidP="002E1347">
            <w:pPr>
              <w:pStyle w:val="TableText"/>
            </w:pPr>
            <w:r w:rsidRPr="00050374">
              <w:t>16</w:t>
            </w:r>
          </w:p>
        </w:tc>
        <w:tc>
          <w:tcPr>
            <w:tcW w:w="920" w:type="dxa"/>
            <w:shd w:val="clear" w:color="auto" w:fill="auto"/>
            <w:noWrap/>
            <w:vAlign w:val="center"/>
            <w:hideMark/>
          </w:tcPr>
          <w:p w:rsidR="00B073CB" w:rsidRPr="00050374" w:rsidRDefault="00B073CB" w:rsidP="002E1347">
            <w:pPr>
              <w:pStyle w:val="TableText"/>
            </w:pPr>
            <w:r w:rsidRPr="00050374">
              <w:t>72.0</w:t>
            </w:r>
          </w:p>
        </w:tc>
      </w:tr>
      <w:tr w:rsidR="00B073CB" w:rsidRPr="00050374" w:rsidTr="002E1347">
        <w:trPr>
          <w:trHeight w:val="315"/>
          <w:jc w:val="center"/>
        </w:trPr>
        <w:tc>
          <w:tcPr>
            <w:tcW w:w="1340" w:type="dxa"/>
            <w:shd w:val="clear" w:color="auto" w:fill="auto"/>
            <w:noWrap/>
            <w:vAlign w:val="center"/>
            <w:hideMark/>
          </w:tcPr>
          <w:p w:rsidR="00B073CB" w:rsidRPr="00050374" w:rsidRDefault="00B073CB" w:rsidP="002E1347">
            <w:pPr>
              <w:pStyle w:val="TableText"/>
              <w:rPr>
                <w:b/>
              </w:rPr>
            </w:pPr>
            <w:r w:rsidRPr="00050374">
              <w:rPr>
                <w:b/>
              </w:rPr>
              <w:t>Average</w:t>
            </w:r>
          </w:p>
        </w:tc>
        <w:tc>
          <w:tcPr>
            <w:tcW w:w="928" w:type="dxa"/>
            <w:shd w:val="clear" w:color="auto" w:fill="auto"/>
            <w:noWrap/>
            <w:vAlign w:val="center"/>
            <w:hideMark/>
          </w:tcPr>
          <w:p w:rsidR="00B073CB" w:rsidRPr="00050374" w:rsidRDefault="00B073CB" w:rsidP="002E1347">
            <w:pPr>
              <w:pStyle w:val="TableText"/>
              <w:rPr>
                <w:b/>
              </w:rPr>
            </w:pPr>
            <w:r w:rsidRPr="00050374">
              <w:rPr>
                <w:b/>
              </w:rPr>
              <w:t>15.6</w:t>
            </w:r>
          </w:p>
        </w:tc>
        <w:tc>
          <w:tcPr>
            <w:tcW w:w="928" w:type="dxa"/>
            <w:shd w:val="clear" w:color="auto" w:fill="auto"/>
            <w:noWrap/>
            <w:vAlign w:val="center"/>
            <w:hideMark/>
          </w:tcPr>
          <w:p w:rsidR="00B073CB" w:rsidRPr="00050374" w:rsidRDefault="00B073CB" w:rsidP="002E1347">
            <w:pPr>
              <w:pStyle w:val="TableText"/>
              <w:rPr>
                <w:b/>
              </w:rPr>
            </w:pPr>
            <w:r w:rsidRPr="00050374">
              <w:rPr>
                <w:b/>
              </w:rPr>
              <w:t>16,696</w:t>
            </w:r>
          </w:p>
        </w:tc>
        <w:tc>
          <w:tcPr>
            <w:tcW w:w="920" w:type="dxa"/>
            <w:shd w:val="clear" w:color="auto" w:fill="auto"/>
            <w:noWrap/>
            <w:vAlign w:val="center"/>
            <w:hideMark/>
          </w:tcPr>
          <w:p w:rsidR="00B073CB" w:rsidRPr="00050374" w:rsidRDefault="00B073CB" w:rsidP="002E1347">
            <w:pPr>
              <w:pStyle w:val="TableText"/>
              <w:rPr>
                <w:b/>
              </w:rPr>
            </w:pPr>
            <w:r w:rsidRPr="00050374">
              <w:rPr>
                <w:b/>
              </w:rPr>
              <w:t>20.0</w:t>
            </w:r>
          </w:p>
        </w:tc>
        <w:tc>
          <w:tcPr>
            <w:tcW w:w="920" w:type="dxa"/>
            <w:shd w:val="clear" w:color="auto" w:fill="auto"/>
            <w:noWrap/>
            <w:vAlign w:val="center"/>
            <w:hideMark/>
          </w:tcPr>
          <w:p w:rsidR="00B073CB" w:rsidRPr="00050374" w:rsidRDefault="00B073CB" w:rsidP="002E1347">
            <w:pPr>
              <w:pStyle w:val="TableText"/>
              <w:rPr>
                <w:b/>
              </w:rPr>
            </w:pPr>
            <w:r w:rsidRPr="00050374">
              <w:rPr>
                <w:b/>
              </w:rPr>
              <w:t>71.9</w:t>
            </w:r>
          </w:p>
        </w:tc>
        <w:tc>
          <w:tcPr>
            <w:tcW w:w="920" w:type="dxa"/>
            <w:shd w:val="clear" w:color="auto" w:fill="auto"/>
            <w:noWrap/>
            <w:vAlign w:val="center"/>
            <w:hideMark/>
          </w:tcPr>
          <w:p w:rsidR="00B073CB" w:rsidRPr="00050374" w:rsidRDefault="00B073CB" w:rsidP="002E1347">
            <w:pPr>
              <w:pStyle w:val="TableText"/>
              <w:rPr>
                <w:b/>
              </w:rPr>
            </w:pPr>
            <w:r w:rsidRPr="00050374">
              <w:rPr>
                <w:b/>
              </w:rPr>
              <w:t>17.3</w:t>
            </w:r>
          </w:p>
        </w:tc>
        <w:tc>
          <w:tcPr>
            <w:tcW w:w="920" w:type="dxa"/>
            <w:shd w:val="clear" w:color="auto" w:fill="auto"/>
            <w:noWrap/>
            <w:vAlign w:val="center"/>
            <w:hideMark/>
          </w:tcPr>
          <w:p w:rsidR="00B073CB" w:rsidRPr="00050374" w:rsidRDefault="00B073CB" w:rsidP="002E1347">
            <w:pPr>
              <w:pStyle w:val="TableText"/>
              <w:rPr>
                <w:b/>
              </w:rPr>
            </w:pPr>
            <w:r w:rsidRPr="00050374">
              <w:rPr>
                <w:b/>
              </w:rPr>
              <w:t>16,513</w:t>
            </w:r>
          </w:p>
        </w:tc>
        <w:tc>
          <w:tcPr>
            <w:tcW w:w="920" w:type="dxa"/>
            <w:shd w:val="clear" w:color="auto" w:fill="auto"/>
            <w:noWrap/>
            <w:vAlign w:val="center"/>
            <w:hideMark/>
          </w:tcPr>
          <w:p w:rsidR="00B073CB" w:rsidRPr="00050374" w:rsidRDefault="00B073CB" w:rsidP="002E1347">
            <w:pPr>
              <w:pStyle w:val="TableText"/>
              <w:rPr>
                <w:b/>
              </w:rPr>
            </w:pPr>
            <w:r w:rsidRPr="00050374">
              <w:rPr>
                <w:b/>
              </w:rPr>
              <w:t>16.6</w:t>
            </w:r>
          </w:p>
        </w:tc>
        <w:tc>
          <w:tcPr>
            <w:tcW w:w="920" w:type="dxa"/>
            <w:shd w:val="clear" w:color="auto" w:fill="auto"/>
            <w:noWrap/>
            <w:vAlign w:val="center"/>
            <w:hideMark/>
          </w:tcPr>
          <w:p w:rsidR="00B073CB" w:rsidRPr="00050374" w:rsidRDefault="00B073CB" w:rsidP="002E1347">
            <w:pPr>
              <w:pStyle w:val="TableText"/>
              <w:rPr>
                <w:b/>
              </w:rPr>
            </w:pPr>
            <w:r w:rsidRPr="00050374">
              <w:rPr>
                <w:b/>
              </w:rPr>
              <w:t>72.0</w:t>
            </w:r>
          </w:p>
        </w:tc>
      </w:tr>
    </w:tbl>
    <w:p w:rsidR="00B073CB" w:rsidRPr="00050374" w:rsidRDefault="00B073CB" w:rsidP="00B073CB">
      <w:pPr>
        <w:pStyle w:val="TableFigureCaption"/>
        <w:keepNext w:val="0"/>
      </w:pPr>
    </w:p>
    <w:p w:rsidR="002E1347" w:rsidRDefault="002E1347" w:rsidP="002E1347">
      <w:pPr>
        <w:pStyle w:val="BodyParaAfterTableFigure"/>
        <w:rPr>
          <w:rFonts w:ascii="Arial" w:hAnsi="Arial"/>
          <w:sz w:val="20"/>
        </w:rPr>
      </w:pPr>
      <w:r>
        <w:br w:type="page"/>
      </w:r>
    </w:p>
    <w:p w:rsidR="00B073CB" w:rsidRPr="00050374" w:rsidRDefault="00B2167A" w:rsidP="00B073CB">
      <w:pPr>
        <w:pStyle w:val="TableFigureCaption"/>
        <w:keepNext w:val="0"/>
      </w:pPr>
      <w:r>
        <w:lastRenderedPageBreak/>
        <w:t>Table 3</w:t>
      </w:r>
      <w:r w:rsidR="00B073CB">
        <w:t>-2:</w:t>
      </w:r>
      <w:r w:rsidR="00B073CB" w:rsidRPr="00050374">
        <w:t xml:space="preserve"> </w:t>
      </w:r>
      <w:r w:rsidR="00B073CB">
        <w:t>Comparison of SC</w:t>
      </w:r>
      <w:r w:rsidR="00B073CB" w:rsidRPr="00050374">
        <w:t>E</w:t>
      </w:r>
      <w:r w:rsidR="00B073CB">
        <w:t xml:space="preserve"> Actual and Proxy Events</w:t>
      </w:r>
      <w:r w:rsidR="00C67FD8">
        <w:rPr>
          <w:rStyle w:val="FootnoteReference"/>
        </w:rPr>
        <w:footnoteReference w:id="13"/>
      </w:r>
    </w:p>
    <w:tbl>
      <w:tblPr>
        <w:tblW w:w="7991" w:type="dxa"/>
        <w:jc w:val="center"/>
        <w:tblInd w:w="93" w:type="dxa"/>
        <w:tblLook w:val="04A0"/>
      </w:tblPr>
      <w:tblGrid>
        <w:gridCol w:w="1039"/>
        <w:gridCol w:w="1220"/>
        <w:gridCol w:w="1217"/>
        <w:gridCol w:w="1228"/>
        <w:gridCol w:w="920"/>
        <w:gridCol w:w="1406"/>
        <w:gridCol w:w="961"/>
      </w:tblGrid>
      <w:tr w:rsidR="00B073CB" w:rsidRPr="00050374" w:rsidTr="002E1347">
        <w:trPr>
          <w:trHeight w:val="510"/>
          <w:jc w:val="center"/>
        </w:trPr>
        <w:tc>
          <w:tcPr>
            <w:tcW w:w="1039"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B073CB" w:rsidRPr="00050374" w:rsidRDefault="00B073CB" w:rsidP="00B523D8">
            <w:pPr>
              <w:pStyle w:val="TableHeader"/>
            </w:pPr>
            <w:r w:rsidRPr="00050374">
              <w:t>Program</w:t>
            </w:r>
          </w:p>
        </w:tc>
        <w:tc>
          <w:tcPr>
            <w:tcW w:w="1261" w:type="dxa"/>
            <w:tcBorders>
              <w:top w:val="single" w:sz="4" w:space="0" w:color="auto"/>
              <w:left w:val="nil"/>
              <w:bottom w:val="single" w:sz="4" w:space="0" w:color="auto"/>
              <w:right w:val="single" w:sz="4" w:space="0" w:color="FFFFFF"/>
            </w:tcBorders>
            <w:shd w:val="clear" w:color="000000" w:fill="1F497D"/>
            <w:vAlign w:val="center"/>
            <w:hideMark/>
          </w:tcPr>
          <w:p w:rsidR="00B073CB" w:rsidRPr="00050374" w:rsidRDefault="00B073CB" w:rsidP="00B523D8">
            <w:pPr>
              <w:pStyle w:val="TableHeader"/>
            </w:pPr>
            <w:r>
              <w:t>Advance Notification</w:t>
            </w:r>
          </w:p>
        </w:tc>
        <w:tc>
          <w:tcPr>
            <w:tcW w:w="1217" w:type="dxa"/>
            <w:tcBorders>
              <w:top w:val="single" w:sz="4" w:space="0" w:color="auto"/>
              <w:left w:val="nil"/>
              <w:bottom w:val="single" w:sz="4" w:space="0" w:color="auto"/>
              <w:right w:val="single" w:sz="4" w:space="0" w:color="FFFFFF"/>
            </w:tcBorders>
            <w:shd w:val="clear" w:color="000000" w:fill="1F497D"/>
            <w:vAlign w:val="center"/>
            <w:hideMark/>
          </w:tcPr>
          <w:p w:rsidR="00B073CB" w:rsidRPr="00050374" w:rsidRDefault="00B073CB" w:rsidP="00B523D8">
            <w:pPr>
              <w:pStyle w:val="TableHeader"/>
            </w:pPr>
            <w:r w:rsidRPr="00050374">
              <w:t>Day Type</w:t>
            </w:r>
          </w:p>
        </w:tc>
        <w:tc>
          <w:tcPr>
            <w:tcW w:w="1228" w:type="dxa"/>
            <w:tcBorders>
              <w:top w:val="single" w:sz="4" w:space="0" w:color="auto"/>
              <w:left w:val="nil"/>
              <w:bottom w:val="single" w:sz="4" w:space="0" w:color="auto"/>
              <w:right w:val="single" w:sz="4" w:space="0" w:color="FFFFFF"/>
            </w:tcBorders>
            <w:shd w:val="clear" w:color="000000" w:fill="1F497D"/>
            <w:vAlign w:val="center"/>
            <w:hideMark/>
          </w:tcPr>
          <w:p w:rsidR="00B073CB" w:rsidRPr="00050374" w:rsidRDefault="00B073CB" w:rsidP="00B523D8">
            <w:pPr>
              <w:pStyle w:val="TableHeader"/>
            </w:pPr>
            <w:r>
              <w:t>Annual System Peak Rank</w:t>
            </w:r>
          </w:p>
        </w:tc>
        <w:tc>
          <w:tcPr>
            <w:tcW w:w="920" w:type="dxa"/>
            <w:tcBorders>
              <w:top w:val="single" w:sz="4" w:space="0" w:color="auto"/>
              <w:left w:val="nil"/>
              <w:bottom w:val="single" w:sz="4" w:space="0" w:color="auto"/>
              <w:right w:val="single" w:sz="4" w:space="0" w:color="FFFFFF"/>
            </w:tcBorders>
            <w:shd w:val="clear" w:color="000000" w:fill="1F497D"/>
            <w:vAlign w:val="center"/>
            <w:hideMark/>
          </w:tcPr>
          <w:p w:rsidR="00B073CB" w:rsidRPr="00050374" w:rsidRDefault="00B073CB" w:rsidP="00B523D8">
            <w:pPr>
              <w:pStyle w:val="TableHeader"/>
            </w:pPr>
            <w:r>
              <w:t>System Load (</w:t>
            </w:r>
            <w:r w:rsidRPr="00050374">
              <w:t>MW</w:t>
            </w:r>
            <w:r>
              <w:t>)</w:t>
            </w:r>
          </w:p>
        </w:tc>
        <w:tc>
          <w:tcPr>
            <w:tcW w:w="1406" w:type="dxa"/>
            <w:tcBorders>
              <w:top w:val="single" w:sz="4" w:space="0" w:color="auto"/>
              <w:left w:val="nil"/>
              <w:bottom w:val="single" w:sz="4" w:space="0" w:color="auto"/>
              <w:right w:val="single" w:sz="4" w:space="0" w:color="FFFFFF"/>
            </w:tcBorders>
            <w:shd w:val="clear" w:color="000000" w:fill="1F497D"/>
            <w:vAlign w:val="center"/>
            <w:hideMark/>
          </w:tcPr>
          <w:p w:rsidR="00B073CB" w:rsidRPr="00050374" w:rsidRDefault="00B073CB" w:rsidP="00B523D8">
            <w:pPr>
              <w:pStyle w:val="TableHeader"/>
            </w:pPr>
            <w:r>
              <w:t xml:space="preserve">Annual </w:t>
            </w:r>
            <w:r w:rsidRPr="00050374">
              <w:t>Temp Rank</w:t>
            </w:r>
          </w:p>
        </w:tc>
        <w:tc>
          <w:tcPr>
            <w:tcW w:w="920" w:type="dxa"/>
            <w:tcBorders>
              <w:top w:val="single" w:sz="4" w:space="0" w:color="auto"/>
              <w:left w:val="nil"/>
              <w:bottom w:val="single" w:sz="4" w:space="0" w:color="auto"/>
              <w:right w:val="single" w:sz="4" w:space="0" w:color="auto"/>
            </w:tcBorders>
            <w:shd w:val="clear" w:color="000000" w:fill="1F497D"/>
            <w:vAlign w:val="center"/>
            <w:hideMark/>
          </w:tcPr>
          <w:p w:rsidR="00B073CB" w:rsidRPr="00050374" w:rsidRDefault="00B073CB" w:rsidP="00B523D8">
            <w:pPr>
              <w:pStyle w:val="TableHeader"/>
            </w:pPr>
            <w:r>
              <w:t>Av</w:t>
            </w:r>
            <w:r w:rsidR="00B523D8">
              <w:t>era</w:t>
            </w:r>
            <w:r>
              <w:t>g</w:t>
            </w:r>
            <w:r w:rsidR="00B523D8">
              <w:t>e</w:t>
            </w:r>
            <w:r>
              <w:t xml:space="preserve"> Daily </w:t>
            </w:r>
            <w:r w:rsidRPr="00050374">
              <w:t>Temp</w:t>
            </w:r>
          </w:p>
        </w:tc>
      </w:tr>
      <w:tr w:rsidR="00B073CB" w:rsidRPr="00050374" w:rsidTr="002E1347">
        <w:trPr>
          <w:trHeight w:val="300"/>
          <w:jc w:val="center"/>
        </w:trPr>
        <w:tc>
          <w:tcPr>
            <w:tcW w:w="10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3CB" w:rsidRPr="00B523D8" w:rsidRDefault="00B073CB" w:rsidP="00B523D8">
            <w:pPr>
              <w:pStyle w:val="TableText"/>
              <w:rPr>
                <w:b/>
              </w:rPr>
            </w:pPr>
            <w:r w:rsidRPr="00B523D8">
              <w:rPr>
                <w:b/>
              </w:rPr>
              <w:t>CBP</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rsidR="00B073CB" w:rsidRPr="00B523D8" w:rsidRDefault="00B523D8" w:rsidP="00B523D8">
            <w:pPr>
              <w:pStyle w:val="TableText"/>
              <w:rPr>
                <w:b/>
              </w:rPr>
            </w:pPr>
            <w:r w:rsidRPr="00B523D8">
              <w:rPr>
                <w:b/>
              </w:rPr>
              <w:t>Day-a</w:t>
            </w:r>
            <w:r w:rsidR="00B073CB" w:rsidRPr="00B523D8">
              <w:rPr>
                <w:b/>
              </w:rPr>
              <w:t>head</w:t>
            </w:r>
          </w:p>
        </w:tc>
        <w:tc>
          <w:tcPr>
            <w:tcW w:w="1217"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Proxy</w:t>
            </w:r>
          </w:p>
        </w:tc>
        <w:tc>
          <w:tcPr>
            <w:tcW w:w="1228"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15.3</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18,679</w:t>
            </w:r>
          </w:p>
        </w:tc>
        <w:tc>
          <w:tcPr>
            <w:tcW w:w="1406"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14.6</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77.7</w:t>
            </w:r>
          </w:p>
        </w:tc>
      </w:tr>
      <w:tr w:rsidR="00B073CB" w:rsidRPr="00050374" w:rsidTr="002E1347">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B073CB" w:rsidRPr="00B523D8" w:rsidRDefault="00B073CB" w:rsidP="00B523D8">
            <w:pPr>
              <w:pStyle w:val="TableText"/>
              <w:rPr>
                <w:b/>
              </w:rPr>
            </w:pPr>
          </w:p>
        </w:tc>
        <w:tc>
          <w:tcPr>
            <w:tcW w:w="1261" w:type="dxa"/>
            <w:vMerge/>
            <w:tcBorders>
              <w:top w:val="nil"/>
              <w:left w:val="single" w:sz="4" w:space="0" w:color="auto"/>
              <w:bottom w:val="single" w:sz="4" w:space="0" w:color="auto"/>
              <w:right w:val="single" w:sz="4" w:space="0" w:color="auto"/>
            </w:tcBorders>
            <w:vAlign w:val="center"/>
            <w:hideMark/>
          </w:tcPr>
          <w:p w:rsidR="00B073CB" w:rsidRPr="00B523D8" w:rsidRDefault="00B073CB" w:rsidP="00B523D8">
            <w:pPr>
              <w:pStyle w:val="TableText"/>
              <w:rPr>
                <w:b/>
              </w:rPr>
            </w:pPr>
          </w:p>
        </w:tc>
        <w:tc>
          <w:tcPr>
            <w:tcW w:w="1217"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Actual</w:t>
            </w:r>
          </w:p>
        </w:tc>
        <w:tc>
          <w:tcPr>
            <w:tcW w:w="1228"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16.9</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18,552</w:t>
            </w:r>
          </w:p>
        </w:tc>
        <w:tc>
          <w:tcPr>
            <w:tcW w:w="1406"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16.9</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77.2</w:t>
            </w:r>
          </w:p>
        </w:tc>
      </w:tr>
      <w:tr w:rsidR="00B073CB" w:rsidRPr="00050374" w:rsidTr="002E1347">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B073CB" w:rsidRPr="00B523D8" w:rsidRDefault="00B073CB" w:rsidP="00B523D8">
            <w:pPr>
              <w:pStyle w:val="TableText"/>
              <w:rPr>
                <w:b/>
              </w:rPr>
            </w:pP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rsidR="00B073CB" w:rsidRPr="00B523D8" w:rsidRDefault="00B073CB" w:rsidP="00B523D8">
            <w:pPr>
              <w:pStyle w:val="TableText"/>
              <w:rPr>
                <w:b/>
              </w:rPr>
            </w:pPr>
            <w:r w:rsidRPr="00B523D8">
              <w:rPr>
                <w:b/>
              </w:rPr>
              <w:t>Day-</w:t>
            </w:r>
            <w:r w:rsidR="00B523D8" w:rsidRPr="00B523D8">
              <w:rPr>
                <w:b/>
              </w:rPr>
              <w:t>o</w:t>
            </w:r>
            <w:r w:rsidRPr="00B523D8">
              <w:rPr>
                <w:b/>
              </w:rPr>
              <w:t>f</w:t>
            </w:r>
          </w:p>
        </w:tc>
        <w:tc>
          <w:tcPr>
            <w:tcW w:w="1217"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Proxy</w:t>
            </w:r>
          </w:p>
        </w:tc>
        <w:tc>
          <w:tcPr>
            <w:tcW w:w="1228"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15.0</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18,621</w:t>
            </w:r>
          </w:p>
        </w:tc>
        <w:tc>
          <w:tcPr>
            <w:tcW w:w="1406"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17.6</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77.1</w:t>
            </w:r>
          </w:p>
        </w:tc>
      </w:tr>
      <w:tr w:rsidR="00B073CB" w:rsidRPr="00050374" w:rsidTr="002E1347">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B073CB" w:rsidRPr="00B523D8" w:rsidRDefault="00B073CB" w:rsidP="00B523D8">
            <w:pPr>
              <w:pStyle w:val="TableText"/>
              <w:rPr>
                <w:b/>
              </w:rPr>
            </w:pPr>
          </w:p>
        </w:tc>
        <w:tc>
          <w:tcPr>
            <w:tcW w:w="1261" w:type="dxa"/>
            <w:vMerge/>
            <w:tcBorders>
              <w:top w:val="nil"/>
              <w:left w:val="single" w:sz="4" w:space="0" w:color="auto"/>
              <w:bottom w:val="single" w:sz="4" w:space="0" w:color="auto"/>
              <w:right w:val="single" w:sz="4" w:space="0" w:color="auto"/>
            </w:tcBorders>
            <w:vAlign w:val="center"/>
            <w:hideMark/>
          </w:tcPr>
          <w:p w:rsidR="00B073CB" w:rsidRPr="00B523D8" w:rsidRDefault="00B073CB" w:rsidP="00B523D8">
            <w:pPr>
              <w:pStyle w:val="TableText"/>
              <w:rPr>
                <w:b/>
              </w:rPr>
            </w:pPr>
          </w:p>
        </w:tc>
        <w:tc>
          <w:tcPr>
            <w:tcW w:w="1217"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Actual</w:t>
            </w:r>
          </w:p>
        </w:tc>
        <w:tc>
          <w:tcPr>
            <w:tcW w:w="1228"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12.0</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19,782</w:t>
            </w:r>
          </w:p>
        </w:tc>
        <w:tc>
          <w:tcPr>
            <w:tcW w:w="1406"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11.0</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78.9</w:t>
            </w:r>
          </w:p>
        </w:tc>
      </w:tr>
      <w:tr w:rsidR="00B073CB" w:rsidRPr="00050374" w:rsidTr="002E1347">
        <w:trPr>
          <w:trHeight w:val="300"/>
          <w:jc w:val="center"/>
        </w:trPr>
        <w:tc>
          <w:tcPr>
            <w:tcW w:w="10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3CB" w:rsidRPr="00B523D8" w:rsidRDefault="00B073CB" w:rsidP="00B523D8">
            <w:pPr>
              <w:pStyle w:val="TableText"/>
              <w:rPr>
                <w:b/>
              </w:rPr>
            </w:pPr>
            <w:r w:rsidRPr="00B523D8">
              <w:rPr>
                <w:b/>
              </w:rPr>
              <w:t>DRRC</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rsidR="00B073CB" w:rsidRPr="00B523D8" w:rsidRDefault="00B073CB" w:rsidP="00B523D8">
            <w:pPr>
              <w:pStyle w:val="TableText"/>
              <w:rPr>
                <w:b/>
              </w:rPr>
            </w:pPr>
            <w:r w:rsidRPr="00B523D8">
              <w:rPr>
                <w:b/>
              </w:rPr>
              <w:t>Day-</w:t>
            </w:r>
            <w:r w:rsidR="00B523D8" w:rsidRPr="00B523D8">
              <w:rPr>
                <w:b/>
              </w:rPr>
              <w:t>a</w:t>
            </w:r>
            <w:r w:rsidRPr="00B523D8">
              <w:rPr>
                <w:b/>
              </w:rPr>
              <w:t>head</w:t>
            </w:r>
          </w:p>
        </w:tc>
        <w:tc>
          <w:tcPr>
            <w:tcW w:w="1217"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Proxy</w:t>
            </w:r>
          </w:p>
        </w:tc>
        <w:tc>
          <w:tcPr>
            <w:tcW w:w="1228"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15.6</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18,644</w:t>
            </w:r>
          </w:p>
        </w:tc>
        <w:tc>
          <w:tcPr>
            <w:tcW w:w="1406"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17.9</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77.1</w:t>
            </w:r>
          </w:p>
        </w:tc>
      </w:tr>
      <w:tr w:rsidR="00B073CB" w:rsidRPr="00050374" w:rsidTr="002E1347">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B073CB" w:rsidRPr="00B523D8" w:rsidRDefault="00B073CB" w:rsidP="00B523D8">
            <w:pPr>
              <w:pStyle w:val="TableText"/>
              <w:rPr>
                <w:b/>
              </w:rPr>
            </w:pPr>
          </w:p>
        </w:tc>
        <w:tc>
          <w:tcPr>
            <w:tcW w:w="1261" w:type="dxa"/>
            <w:vMerge/>
            <w:tcBorders>
              <w:top w:val="nil"/>
              <w:left w:val="single" w:sz="4" w:space="0" w:color="auto"/>
              <w:bottom w:val="single" w:sz="4" w:space="0" w:color="auto"/>
              <w:right w:val="single" w:sz="4" w:space="0" w:color="auto"/>
            </w:tcBorders>
            <w:vAlign w:val="center"/>
            <w:hideMark/>
          </w:tcPr>
          <w:p w:rsidR="00B073CB" w:rsidRPr="00B523D8" w:rsidRDefault="00B073CB" w:rsidP="00B523D8">
            <w:pPr>
              <w:pStyle w:val="TableText"/>
              <w:rPr>
                <w:b/>
              </w:rPr>
            </w:pPr>
          </w:p>
        </w:tc>
        <w:tc>
          <w:tcPr>
            <w:tcW w:w="1217"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Actual</w:t>
            </w:r>
          </w:p>
        </w:tc>
        <w:tc>
          <w:tcPr>
            <w:tcW w:w="1228"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17.5</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18,619</w:t>
            </w:r>
          </w:p>
        </w:tc>
        <w:tc>
          <w:tcPr>
            <w:tcW w:w="1406"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15.5</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77.8</w:t>
            </w:r>
          </w:p>
        </w:tc>
      </w:tr>
      <w:tr w:rsidR="00B073CB" w:rsidRPr="00050374" w:rsidTr="002E1347">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B073CB" w:rsidRPr="00B523D8" w:rsidRDefault="00B073CB" w:rsidP="00B523D8">
            <w:pPr>
              <w:pStyle w:val="TableText"/>
              <w:rPr>
                <w:b/>
              </w:rPr>
            </w:pP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rsidR="00B073CB" w:rsidRPr="00B523D8" w:rsidRDefault="00B073CB" w:rsidP="00B523D8">
            <w:pPr>
              <w:pStyle w:val="TableText"/>
              <w:rPr>
                <w:b/>
              </w:rPr>
            </w:pPr>
            <w:r w:rsidRPr="00B523D8">
              <w:rPr>
                <w:b/>
              </w:rPr>
              <w:t>Day-</w:t>
            </w:r>
            <w:r w:rsidR="00B523D8" w:rsidRPr="00B523D8">
              <w:rPr>
                <w:b/>
              </w:rPr>
              <w:t>o</w:t>
            </w:r>
            <w:r w:rsidRPr="00B523D8">
              <w:rPr>
                <w:b/>
              </w:rPr>
              <w:t>f</w:t>
            </w:r>
          </w:p>
        </w:tc>
        <w:tc>
          <w:tcPr>
            <w:tcW w:w="1217"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Proxy</w:t>
            </w:r>
          </w:p>
        </w:tc>
        <w:tc>
          <w:tcPr>
            <w:tcW w:w="1228"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15.0</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18,603</w:t>
            </w:r>
          </w:p>
        </w:tc>
        <w:tc>
          <w:tcPr>
            <w:tcW w:w="1406"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14.6</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77.4</w:t>
            </w:r>
          </w:p>
        </w:tc>
      </w:tr>
      <w:tr w:rsidR="00B073CB" w:rsidRPr="00050374" w:rsidTr="002E1347">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B073CB" w:rsidRPr="00050374" w:rsidRDefault="00B073CB" w:rsidP="00B523D8">
            <w:pPr>
              <w:pStyle w:val="TableText"/>
            </w:pPr>
          </w:p>
        </w:tc>
        <w:tc>
          <w:tcPr>
            <w:tcW w:w="1261" w:type="dxa"/>
            <w:vMerge/>
            <w:tcBorders>
              <w:top w:val="nil"/>
              <w:left w:val="single" w:sz="4" w:space="0" w:color="auto"/>
              <w:bottom w:val="single" w:sz="4" w:space="0" w:color="auto"/>
              <w:right w:val="single" w:sz="4" w:space="0" w:color="auto"/>
            </w:tcBorders>
            <w:vAlign w:val="center"/>
            <w:hideMark/>
          </w:tcPr>
          <w:p w:rsidR="00B073CB" w:rsidRPr="00050374" w:rsidRDefault="00B073CB" w:rsidP="00B523D8">
            <w:pPr>
              <w:pStyle w:val="TableText"/>
            </w:pPr>
          </w:p>
        </w:tc>
        <w:tc>
          <w:tcPr>
            <w:tcW w:w="1217"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Actual</w:t>
            </w:r>
          </w:p>
        </w:tc>
        <w:tc>
          <w:tcPr>
            <w:tcW w:w="1228"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29.7</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17,668</w:t>
            </w:r>
          </w:p>
        </w:tc>
        <w:tc>
          <w:tcPr>
            <w:tcW w:w="1406"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21.7</w:t>
            </w:r>
          </w:p>
        </w:tc>
        <w:tc>
          <w:tcPr>
            <w:tcW w:w="920" w:type="dxa"/>
            <w:tcBorders>
              <w:top w:val="nil"/>
              <w:left w:val="nil"/>
              <w:bottom w:val="single" w:sz="4" w:space="0" w:color="auto"/>
              <w:right w:val="single" w:sz="4" w:space="0" w:color="auto"/>
            </w:tcBorders>
            <w:shd w:val="clear" w:color="auto" w:fill="auto"/>
            <w:noWrap/>
            <w:vAlign w:val="center"/>
            <w:hideMark/>
          </w:tcPr>
          <w:p w:rsidR="00B073CB" w:rsidRPr="00050374" w:rsidRDefault="00B073CB" w:rsidP="002E1347">
            <w:pPr>
              <w:pStyle w:val="TableText"/>
            </w:pPr>
            <w:r w:rsidRPr="00050374">
              <w:t>76.6</w:t>
            </w:r>
          </w:p>
        </w:tc>
      </w:tr>
    </w:tbl>
    <w:p w:rsidR="00B073CB" w:rsidRPr="00050374" w:rsidRDefault="00B073CB" w:rsidP="00B073CB">
      <w:pPr>
        <w:pStyle w:val="TableFigureCaption"/>
        <w:keepNext w:val="0"/>
      </w:pPr>
    </w:p>
    <w:p w:rsidR="00B073CB" w:rsidRPr="00050374" w:rsidRDefault="00B2167A" w:rsidP="00B073CB">
      <w:pPr>
        <w:pStyle w:val="TableFigureCaption"/>
        <w:keepNext w:val="0"/>
      </w:pPr>
      <w:r>
        <w:t>Table 3</w:t>
      </w:r>
      <w:r w:rsidR="00B073CB">
        <w:t>-3:</w:t>
      </w:r>
      <w:r w:rsidR="00B073CB" w:rsidRPr="00050374">
        <w:t xml:space="preserve"> </w:t>
      </w:r>
      <w:r w:rsidR="00B073CB">
        <w:t>Comparison of SDG&amp;E Actual and Proxy Events</w:t>
      </w:r>
    </w:p>
    <w:tbl>
      <w:tblPr>
        <w:tblW w:w="87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0"/>
        <w:gridCol w:w="920"/>
        <w:gridCol w:w="920"/>
        <w:gridCol w:w="920"/>
        <w:gridCol w:w="920"/>
        <w:gridCol w:w="920"/>
        <w:gridCol w:w="920"/>
        <w:gridCol w:w="920"/>
        <w:gridCol w:w="961"/>
      </w:tblGrid>
      <w:tr w:rsidR="00B073CB" w:rsidRPr="00050374" w:rsidTr="002E1347">
        <w:trPr>
          <w:trHeight w:val="300"/>
          <w:jc w:val="center"/>
        </w:trPr>
        <w:tc>
          <w:tcPr>
            <w:tcW w:w="1340" w:type="dxa"/>
            <w:vMerge w:val="restart"/>
            <w:tcBorders>
              <w:right w:val="single" w:sz="4" w:space="0" w:color="FFFFFF" w:themeColor="background1"/>
            </w:tcBorders>
            <w:shd w:val="clear" w:color="000000" w:fill="1F497D"/>
            <w:noWrap/>
            <w:vAlign w:val="center"/>
            <w:hideMark/>
          </w:tcPr>
          <w:p w:rsidR="00B073CB" w:rsidRPr="00050374" w:rsidRDefault="00B073CB" w:rsidP="00B523D8">
            <w:pPr>
              <w:pStyle w:val="TableHeader"/>
            </w:pPr>
            <w:r w:rsidRPr="00050374">
              <w:t>Number</w:t>
            </w:r>
          </w:p>
        </w:tc>
        <w:tc>
          <w:tcPr>
            <w:tcW w:w="3680" w:type="dxa"/>
            <w:gridSpan w:val="4"/>
            <w:tcBorders>
              <w:left w:val="single" w:sz="4" w:space="0" w:color="FFFFFF" w:themeColor="background1"/>
              <w:bottom w:val="single" w:sz="4" w:space="0" w:color="FFFFFF" w:themeColor="background1"/>
              <w:right w:val="single" w:sz="4" w:space="0" w:color="FFFFFF" w:themeColor="background1"/>
            </w:tcBorders>
            <w:shd w:val="clear" w:color="000000" w:fill="1F497D"/>
            <w:noWrap/>
            <w:vAlign w:val="center"/>
            <w:hideMark/>
          </w:tcPr>
          <w:p w:rsidR="00B073CB" w:rsidRPr="00050374" w:rsidRDefault="00B073CB" w:rsidP="00B523D8">
            <w:pPr>
              <w:pStyle w:val="TableHeader"/>
            </w:pPr>
            <w:r w:rsidRPr="00050374">
              <w:t>Actual</w:t>
            </w:r>
          </w:p>
        </w:tc>
        <w:tc>
          <w:tcPr>
            <w:tcW w:w="3680" w:type="dxa"/>
            <w:gridSpan w:val="4"/>
            <w:tcBorders>
              <w:left w:val="single" w:sz="4" w:space="0" w:color="FFFFFF" w:themeColor="background1"/>
              <w:bottom w:val="single" w:sz="4" w:space="0" w:color="FFFFFF" w:themeColor="background1"/>
            </w:tcBorders>
            <w:shd w:val="clear" w:color="000000" w:fill="1F497D"/>
            <w:noWrap/>
            <w:vAlign w:val="center"/>
            <w:hideMark/>
          </w:tcPr>
          <w:p w:rsidR="00B073CB" w:rsidRPr="00050374" w:rsidRDefault="00B073CB" w:rsidP="00B523D8">
            <w:pPr>
              <w:pStyle w:val="TableHeader"/>
            </w:pPr>
            <w:r w:rsidRPr="00050374">
              <w:t>Proxy</w:t>
            </w:r>
          </w:p>
        </w:tc>
      </w:tr>
      <w:tr w:rsidR="00B073CB" w:rsidRPr="00050374" w:rsidTr="002E1347">
        <w:trPr>
          <w:trHeight w:val="525"/>
          <w:jc w:val="center"/>
        </w:trPr>
        <w:tc>
          <w:tcPr>
            <w:tcW w:w="1340" w:type="dxa"/>
            <w:vMerge/>
            <w:tcBorders>
              <w:right w:val="single" w:sz="4" w:space="0" w:color="FFFFFF" w:themeColor="background1"/>
            </w:tcBorders>
            <w:vAlign w:val="center"/>
            <w:hideMark/>
          </w:tcPr>
          <w:p w:rsidR="00B073CB" w:rsidRPr="00050374" w:rsidRDefault="00B073CB" w:rsidP="00B523D8">
            <w:pPr>
              <w:pStyle w:val="TableHeader"/>
            </w:pP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Annual System Peak Rank</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System Load (MW)</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Annual Temp Rank</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Avg. Daily Temp</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Annual System Peak Rank</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System Load (MW)</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B073CB" w:rsidRPr="00050374" w:rsidRDefault="00B073CB" w:rsidP="00B523D8">
            <w:pPr>
              <w:pStyle w:val="TableHeader"/>
            </w:pPr>
            <w:r>
              <w:t>Annual Temp Rank</w:t>
            </w:r>
          </w:p>
        </w:tc>
        <w:tc>
          <w:tcPr>
            <w:tcW w:w="920" w:type="dxa"/>
            <w:tcBorders>
              <w:top w:val="single" w:sz="4" w:space="0" w:color="FFFFFF" w:themeColor="background1"/>
              <w:left w:val="single" w:sz="4" w:space="0" w:color="FFFFFF" w:themeColor="background1"/>
            </w:tcBorders>
            <w:shd w:val="clear" w:color="000000" w:fill="1F497D"/>
            <w:vAlign w:val="center"/>
            <w:hideMark/>
          </w:tcPr>
          <w:p w:rsidR="00B073CB" w:rsidRPr="00050374" w:rsidRDefault="00B073CB" w:rsidP="00B523D8">
            <w:pPr>
              <w:pStyle w:val="TableHeader"/>
            </w:pPr>
            <w:r>
              <w:t>Av</w:t>
            </w:r>
            <w:r w:rsidR="00B523D8">
              <w:t>erage</w:t>
            </w:r>
            <w:r>
              <w:t xml:space="preserve"> Daily Temp</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1</w:t>
            </w:r>
          </w:p>
        </w:tc>
        <w:tc>
          <w:tcPr>
            <w:tcW w:w="920" w:type="dxa"/>
            <w:shd w:val="clear" w:color="auto" w:fill="auto"/>
            <w:noWrap/>
            <w:vAlign w:val="center"/>
            <w:hideMark/>
          </w:tcPr>
          <w:p w:rsidR="00B073CB" w:rsidRPr="00050374" w:rsidRDefault="00B073CB" w:rsidP="002E1347">
            <w:pPr>
              <w:pStyle w:val="TableText"/>
            </w:pPr>
            <w:r w:rsidRPr="00050374">
              <w:t>1</w:t>
            </w:r>
          </w:p>
        </w:tc>
        <w:tc>
          <w:tcPr>
            <w:tcW w:w="920" w:type="dxa"/>
            <w:shd w:val="clear" w:color="auto" w:fill="auto"/>
            <w:noWrap/>
            <w:vAlign w:val="center"/>
            <w:hideMark/>
          </w:tcPr>
          <w:p w:rsidR="00B073CB" w:rsidRPr="00050374" w:rsidRDefault="00B073CB" w:rsidP="002E1347">
            <w:pPr>
              <w:pStyle w:val="TableText"/>
            </w:pPr>
            <w:r w:rsidRPr="00050374">
              <w:t>4,372</w:t>
            </w:r>
          </w:p>
        </w:tc>
        <w:tc>
          <w:tcPr>
            <w:tcW w:w="920" w:type="dxa"/>
            <w:shd w:val="clear" w:color="auto" w:fill="auto"/>
            <w:noWrap/>
            <w:vAlign w:val="center"/>
            <w:hideMark/>
          </w:tcPr>
          <w:p w:rsidR="00B073CB" w:rsidRPr="00050374" w:rsidRDefault="00B073CB" w:rsidP="002E1347">
            <w:pPr>
              <w:pStyle w:val="TableText"/>
            </w:pPr>
            <w:r w:rsidRPr="00050374">
              <w:t>1</w:t>
            </w:r>
          </w:p>
        </w:tc>
        <w:tc>
          <w:tcPr>
            <w:tcW w:w="920" w:type="dxa"/>
            <w:shd w:val="clear" w:color="auto" w:fill="auto"/>
            <w:noWrap/>
            <w:vAlign w:val="center"/>
            <w:hideMark/>
          </w:tcPr>
          <w:p w:rsidR="00B073CB" w:rsidRPr="00050374" w:rsidRDefault="00B073CB" w:rsidP="002E1347">
            <w:pPr>
              <w:pStyle w:val="TableText"/>
            </w:pPr>
            <w:r w:rsidRPr="00050374">
              <w:t>79.6</w:t>
            </w:r>
          </w:p>
        </w:tc>
        <w:tc>
          <w:tcPr>
            <w:tcW w:w="920" w:type="dxa"/>
            <w:shd w:val="clear" w:color="auto" w:fill="auto"/>
            <w:noWrap/>
            <w:vAlign w:val="center"/>
            <w:hideMark/>
          </w:tcPr>
          <w:p w:rsidR="00B073CB" w:rsidRPr="00050374" w:rsidRDefault="00B073CB" w:rsidP="002E1347">
            <w:pPr>
              <w:pStyle w:val="TableText"/>
            </w:pPr>
            <w:r w:rsidRPr="00050374">
              <w:t>2</w:t>
            </w:r>
          </w:p>
        </w:tc>
        <w:tc>
          <w:tcPr>
            <w:tcW w:w="920" w:type="dxa"/>
            <w:shd w:val="clear" w:color="auto" w:fill="auto"/>
            <w:noWrap/>
            <w:vAlign w:val="center"/>
            <w:hideMark/>
          </w:tcPr>
          <w:p w:rsidR="00B073CB" w:rsidRPr="00050374" w:rsidRDefault="00B073CB" w:rsidP="002E1347">
            <w:pPr>
              <w:pStyle w:val="TableText"/>
            </w:pPr>
            <w:r w:rsidRPr="00050374">
              <w:t>4,320</w:t>
            </w:r>
          </w:p>
        </w:tc>
        <w:tc>
          <w:tcPr>
            <w:tcW w:w="920" w:type="dxa"/>
            <w:shd w:val="clear" w:color="auto" w:fill="auto"/>
            <w:noWrap/>
            <w:vAlign w:val="center"/>
            <w:hideMark/>
          </w:tcPr>
          <w:p w:rsidR="00B073CB" w:rsidRPr="00050374" w:rsidRDefault="00B073CB" w:rsidP="002E1347">
            <w:pPr>
              <w:pStyle w:val="TableText"/>
            </w:pPr>
            <w:r w:rsidRPr="00050374">
              <w:t>2</w:t>
            </w:r>
          </w:p>
        </w:tc>
        <w:tc>
          <w:tcPr>
            <w:tcW w:w="920" w:type="dxa"/>
            <w:shd w:val="clear" w:color="auto" w:fill="auto"/>
            <w:noWrap/>
            <w:vAlign w:val="center"/>
            <w:hideMark/>
          </w:tcPr>
          <w:p w:rsidR="00B073CB" w:rsidRPr="00050374" w:rsidRDefault="00B073CB" w:rsidP="002E1347">
            <w:pPr>
              <w:pStyle w:val="TableText"/>
            </w:pPr>
            <w:r w:rsidRPr="00050374">
              <w:t>78.9</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2</w:t>
            </w:r>
          </w:p>
        </w:tc>
        <w:tc>
          <w:tcPr>
            <w:tcW w:w="920" w:type="dxa"/>
            <w:shd w:val="clear" w:color="auto" w:fill="auto"/>
            <w:noWrap/>
            <w:vAlign w:val="center"/>
            <w:hideMark/>
          </w:tcPr>
          <w:p w:rsidR="00B073CB" w:rsidRPr="00050374" w:rsidRDefault="00B073CB" w:rsidP="002E1347">
            <w:pPr>
              <w:pStyle w:val="TableText"/>
            </w:pPr>
            <w:r w:rsidRPr="00050374">
              <w:t>4</w:t>
            </w:r>
          </w:p>
        </w:tc>
        <w:tc>
          <w:tcPr>
            <w:tcW w:w="920" w:type="dxa"/>
            <w:shd w:val="clear" w:color="auto" w:fill="auto"/>
            <w:noWrap/>
            <w:vAlign w:val="center"/>
            <w:hideMark/>
          </w:tcPr>
          <w:p w:rsidR="00B073CB" w:rsidRPr="00050374" w:rsidRDefault="00B073CB" w:rsidP="002E1347">
            <w:pPr>
              <w:pStyle w:val="TableText"/>
            </w:pPr>
            <w:r w:rsidRPr="00050374">
              <w:t>3,865</w:t>
            </w:r>
          </w:p>
        </w:tc>
        <w:tc>
          <w:tcPr>
            <w:tcW w:w="920" w:type="dxa"/>
            <w:shd w:val="clear" w:color="auto" w:fill="auto"/>
            <w:noWrap/>
            <w:vAlign w:val="center"/>
            <w:hideMark/>
          </w:tcPr>
          <w:p w:rsidR="00B073CB" w:rsidRPr="00050374" w:rsidRDefault="00B073CB" w:rsidP="002E1347">
            <w:pPr>
              <w:pStyle w:val="TableText"/>
            </w:pPr>
            <w:r w:rsidRPr="00050374">
              <w:t>3</w:t>
            </w:r>
          </w:p>
        </w:tc>
        <w:tc>
          <w:tcPr>
            <w:tcW w:w="920" w:type="dxa"/>
            <w:shd w:val="clear" w:color="auto" w:fill="auto"/>
            <w:noWrap/>
            <w:vAlign w:val="center"/>
            <w:hideMark/>
          </w:tcPr>
          <w:p w:rsidR="00B073CB" w:rsidRPr="00050374" w:rsidRDefault="00B073CB" w:rsidP="002E1347">
            <w:pPr>
              <w:pStyle w:val="TableText"/>
            </w:pPr>
            <w:r w:rsidRPr="00050374">
              <w:t>75.9</w:t>
            </w:r>
          </w:p>
        </w:tc>
        <w:tc>
          <w:tcPr>
            <w:tcW w:w="920" w:type="dxa"/>
            <w:shd w:val="clear" w:color="auto" w:fill="auto"/>
            <w:noWrap/>
            <w:vAlign w:val="center"/>
            <w:hideMark/>
          </w:tcPr>
          <w:p w:rsidR="00B073CB" w:rsidRPr="00050374" w:rsidRDefault="00B073CB" w:rsidP="002E1347">
            <w:pPr>
              <w:pStyle w:val="TableText"/>
            </w:pPr>
            <w:r w:rsidRPr="00050374">
              <w:t>3</w:t>
            </w:r>
          </w:p>
        </w:tc>
        <w:tc>
          <w:tcPr>
            <w:tcW w:w="920" w:type="dxa"/>
            <w:shd w:val="clear" w:color="auto" w:fill="auto"/>
            <w:noWrap/>
            <w:vAlign w:val="center"/>
            <w:hideMark/>
          </w:tcPr>
          <w:p w:rsidR="00B073CB" w:rsidRPr="00050374" w:rsidRDefault="00B073CB" w:rsidP="002E1347">
            <w:pPr>
              <w:pStyle w:val="TableText"/>
            </w:pPr>
            <w:r w:rsidRPr="00050374">
              <w:t>3,906</w:t>
            </w:r>
          </w:p>
        </w:tc>
        <w:tc>
          <w:tcPr>
            <w:tcW w:w="920" w:type="dxa"/>
            <w:shd w:val="clear" w:color="auto" w:fill="auto"/>
            <w:noWrap/>
            <w:vAlign w:val="center"/>
            <w:hideMark/>
          </w:tcPr>
          <w:p w:rsidR="00B073CB" w:rsidRPr="00050374" w:rsidRDefault="00B073CB" w:rsidP="002E1347">
            <w:pPr>
              <w:pStyle w:val="TableText"/>
            </w:pPr>
            <w:r w:rsidRPr="00050374">
              <w:t>4</w:t>
            </w:r>
          </w:p>
        </w:tc>
        <w:tc>
          <w:tcPr>
            <w:tcW w:w="920" w:type="dxa"/>
            <w:shd w:val="clear" w:color="auto" w:fill="auto"/>
            <w:noWrap/>
            <w:vAlign w:val="center"/>
            <w:hideMark/>
          </w:tcPr>
          <w:p w:rsidR="00B073CB" w:rsidRPr="00050374" w:rsidRDefault="00B073CB" w:rsidP="002E1347">
            <w:pPr>
              <w:pStyle w:val="TableText"/>
            </w:pPr>
            <w:r w:rsidRPr="00050374">
              <w:t>75.8</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3</w:t>
            </w:r>
          </w:p>
        </w:tc>
        <w:tc>
          <w:tcPr>
            <w:tcW w:w="920" w:type="dxa"/>
            <w:shd w:val="clear" w:color="auto" w:fill="auto"/>
            <w:noWrap/>
            <w:vAlign w:val="center"/>
            <w:hideMark/>
          </w:tcPr>
          <w:p w:rsidR="00B073CB" w:rsidRPr="00050374" w:rsidRDefault="00B073CB" w:rsidP="002E1347">
            <w:pPr>
              <w:pStyle w:val="TableText"/>
            </w:pPr>
            <w:r w:rsidRPr="00050374">
              <w:t>6</w:t>
            </w:r>
          </w:p>
        </w:tc>
        <w:tc>
          <w:tcPr>
            <w:tcW w:w="920" w:type="dxa"/>
            <w:shd w:val="clear" w:color="auto" w:fill="auto"/>
            <w:noWrap/>
            <w:vAlign w:val="center"/>
            <w:hideMark/>
          </w:tcPr>
          <w:p w:rsidR="00B073CB" w:rsidRPr="00050374" w:rsidRDefault="00B073CB" w:rsidP="002E1347">
            <w:pPr>
              <w:pStyle w:val="TableText"/>
            </w:pPr>
            <w:r w:rsidRPr="00050374">
              <w:t>3,849</w:t>
            </w:r>
          </w:p>
        </w:tc>
        <w:tc>
          <w:tcPr>
            <w:tcW w:w="920" w:type="dxa"/>
            <w:shd w:val="clear" w:color="auto" w:fill="auto"/>
            <w:noWrap/>
            <w:vAlign w:val="center"/>
            <w:hideMark/>
          </w:tcPr>
          <w:p w:rsidR="00B073CB" w:rsidRPr="00050374" w:rsidRDefault="00B073CB" w:rsidP="002E1347">
            <w:pPr>
              <w:pStyle w:val="TableText"/>
            </w:pPr>
            <w:r w:rsidRPr="00050374">
              <w:t>5</w:t>
            </w:r>
          </w:p>
        </w:tc>
        <w:tc>
          <w:tcPr>
            <w:tcW w:w="920" w:type="dxa"/>
            <w:shd w:val="clear" w:color="auto" w:fill="auto"/>
            <w:noWrap/>
            <w:vAlign w:val="center"/>
            <w:hideMark/>
          </w:tcPr>
          <w:p w:rsidR="00B073CB" w:rsidRPr="00050374" w:rsidRDefault="00B073CB" w:rsidP="002E1347">
            <w:pPr>
              <w:pStyle w:val="TableText"/>
            </w:pPr>
            <w:r w:rsidRPr="00050374">
              <w:t>75.2</w:t>
            </w:r>
          </w:p>
        </w:tc>
        <w:tc>
          <w:tcPr>
            <w:tcW w:w="920" w:type="dxa"/>
            <w:shd w:val="clear" w:color="auto" w:fill="auto"/>
            <w:noWrap/>
            <w:vAlign w:val="center"/>
            <w:hideMark/>
          </w:tcPr>
          <w:p w:rsidR="00B073CB" w:rsidRPr="00050374" w:rsidRDefault="00B073CB" w:rsidP="002E1347">
            <w:pPr>
              <w:pStyle w:val="TableText"/>
            </w:pPr>
            <w:r w:rsidRPr="00050374">
              <w:t>5</w:t>
            </w:r>
          </w:p>
        </w:tc>
        <w:tc>
          <w:tcPr>
            <w:tcW w:w="920" w:type="dxa"/>
            <w:shd w:val="clear" w:color="auto" w:fill="auto"/>
            <w:noWrap/>
            <w:vAlign w:val="center"/>
            <w:hideMark/>
          </w:tcPr>
          <w:p w:rsidR="00B073CB" w:rsidRPr="00050374" w:rsidRDefault="00B073CB" w:rsidP="002E1347">
            <w:pPr>
              <w:pStyle w:val="TableText"/>
            </w:pPr>
            <w:r w:rsidRPr="00050374">
              <w:t>3,851</w:t>
            </w:r>
          </w:p>
        </w:tc>
        <w:tc>
          <w:tcPr>
            <w:tcW w:w="920" w:type="dxa"/>
            <w:shd w:val="clear" w:color="auto" w:fill="auto"/>
            <w:noWrap/>
            <w:vAlign w:val="center"/>
            <w:hideMark/>
          </w:tcPr>
          <w:p w:rsidR="00B073CB" w:rsidRPr="00050374" w:rsidRDefault="00B073CB" w:rsidP="002E1347">
            <w:pPr>
              <w:pStyle w:val="TableText"/>
            </w:pPr>
            <w:r w:rsidRPr="00050374">
              <w:t>14</w:t>
            </w:r>
          </w:p>
        </w:tc>
        <w:tc>
          <w:tcPr>
            <w:tcW w:w="920" w:type="dxa"/>
            <w:shd w:val="clear" w:color="auto" w:fill="auto"/>
            <w:noWrap/>
            <w:vAlign w:val="center"/>
            <w:hideMark/>
          </w:tcPr>
          <w:p w:rsidR="00B073CB" w:rsidRPr="00050374" w:rsidRDefault="00B073CB" w:rsidP="002E1347">
            <w:pPr>
              <w:pStyle w:val="TableText"/>
            </w:pPr>
            <w:r w:rsidRPr="00050374">
              <w:t>72.4</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4</w:t>
            </w:r>
          </w:p>
        </w:tc>
        <w:tc>
          <w:tcPr>
            <w:tcW w:w="920" w:type="dxa"/>
            <w:shd w:val="clear" w:color="auto" w:fill="auto"/>
            <w:noWrap/>
            <w:vAlign w:val="center"/>
            <w:hideMark/>
          </w:tcPr>
          <w:p w:rsidR="00B073CB" w:rsidRPr="00050374" w:rsidRDefault="00B073CB" w:rsidP="002E1347">
            <w:pPr>
              <w:pStyle w:val="TableText"/>
            </w:pPr>
            <w:r w:rsidRPr="00050374">
              <w:t>9</w:t>
            </w:r>
          </w:p>
        </w:tc>
        <w:tc>
          <w:tcPr>
            <w:tcW w:w="920" w:type="dxa"/>
            <w:shd w:val="clear" w:color="auto" w:fill="auto"/>
            <w:noWrap/>
            <w:vAlign w:val="center"/>
            <w:hideMark/>
          </w:tcPr>
          <w:p w:rsidR="00B073CB" w:rsidRPr="00050374" w:rsidRDefault="00B073CB" w:rsidP="002E1347">
            <w:pPr>
              <w:pStyle w:val="TableText"/>
            </w:pPr>
            <w:r w:rsidRPr="00050374">
              <w:t>3,709</w:t>
            </w:r>
          </w:p>
        </w:tc>
        <w:tc>
          <w:tcPr>
            <w:tcW w:w="920" w:type="dxa"/>
            <w:shd w:val="clear" w:color="auto" w:fill="auto"/>
            <w:noWrap/>
            <w:vAlign w:val="center"/>
            <w:hideMark/>
          </w:tcPr>
          <w:p w:rsidR="00B073CB" w:rsidRPr="00050374" w:rsidRDefault="00B073CB" w:rsidP="002E1347">
            <w:pPr>
              <w:pStyle w:val="TableText"/>
            </w:pPr>
            <w:r w:rsidRPr="00050374">
              <w:t>8</w:t>
            </w:r>
          </w:p>
        </w:tc>
        <w:tc>
          <w:tcPr>
            <w:tcW w:w="920" w:type="dxa"/>
            <w:shd w:val="clear" w:color="auto" w:fill="auto"/>
            <w:noWrap/>
            <w:vAlign w:val="center"/>
            <w:hideMark/>
          </w:tcPr>
          <w:p w:rsidR="00B073CB" w:rsidRPr="00050374" w:rsidRDefault="00B073CB" w:rsidP="002E1347">
            <w:pPr>
              <w:pStyle w:val="TableText"/>
            </w:pPr>
            <w:r w:rsidRPr="00050374">
              <w:t>74.7</w:t>
            </w:r>
          </w:p>
        </w:tc>
        <w:tc>
          <w:tcPr>
            <w:tcW w:w="920" w:type="dxa"/>
            <w:shd w:val="clear" w:color="auto" w:fill="auto"/>
            <w:noWrap/>
            <w:vAlign w:val="center"/>
            <w:hideMark/>
          </w:tcPr>
          <w:p w:rsidR="00B073CB" w:rsidRPr="00050374" w:rsidRDefault="00B073CB" w:rsidP="002E1347">
            <w:pPr>
              <w:pStyle w:val="TableText"/>
            </w:pPr>
            <w:r w:rsidRPr="00050374">
              <w:t>7</w:t>
            </w:r>
          </w:p>
        </w:tc>
        <w:tc>
          <w:tcPr>
            <w:tcW w:w="920" w:type="dxa"/>
            <w:shd w:val="clear" w:color="auto" w:fill="auto"/>
            <w:noWrap/>
            <w:vAlign w:val="center"/>
            <w:hideMark/>
          </w:tcPr>
          <w:p w:rsidR="00B073CB" w:rsidRPr="00050374" w:rsidRDefault="00B073CB" w:rsidP="002E1347">
            <w:pPr>
              <w:pStyle w:val="TableText"/>
            </w:pPr>
            <w:r w:rsidRPr="00050374">
              <w:t>3,772</w:t>
            </w:r>
          </w:p>
        </w:tc>
        <w:tc>
          <w:tcPr>
            <w:tcW w:w="920" w:type="dxa"/>
            <w:shd w:val="clear" w:color="auto" w:fill="auto"/>
            <w:noWrap/>
            <w:vAlign w:val="center"/>
            <w:hideMark/>
          </w:tcPr>
          <w:p w:rsidR="00B073CB" w:rsidRPr="00050374" w:rsidRDefault="00B073CB" w:rsidP="002E1347">
            <w:pPr>
              <w:pStyle w:val="TableText"/>
            </w:pPr>
            <w:r w:rsidRPr="00050374">
              <w:t>7</w:t>
            </w:r>
          </w:p>
        </w:tc>
        <w:tc>
          <w:tcPr>
            <w:tcW w:w="920" w:type="dxa"/>
            <w:shd w:val="clear" w:color="auto" w:fill="auto"/>
            <w:noWrap/>
            <w:vAlign w:val="center"/>
            <w:hideMark/>
          </w:tcPr>
          <w:p w:rsidR="00B073CB" w:rsidRPr="00050374" w:rsidRDefault="00B073CB" w:rsidP="002E1347">
            <w:pPr>
              <w:pStyle w:val="TableText"/>
            </w:pPr>
            <w:r w:rsidRPr="00050374">
              <w:t>74.7</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5</w:t>
            </w:r>
          </w:p>
        </w:tc>
        <w:tc>
          <w:tcPr>
            <w:tcW w:w="920" w:type="dxa"/>
            <w:shd w:val="clear" w:color="auto" w:fill="auto"/>
            <w:noWrap/>
            <w:vAlign w:val="center"/>
            <w:hideMark/>
          </w:tcPr>
          <w:p w:rsidR="00B073CB" w:rsidRPr="00050374" w:rsidRDefault="00B073CB" w:rsidP="002E1347">
            <w:pPr>
              <w:pStyle w:val="TableText"/>
            </w:pPr>
            <w:r w:rsidRPr="00050374">
              <w:t>10</w:t>
            </w:r>
          </w:p>
        </w:tc>
        <w:tc>
          <w:tcPr>
            <w:tcW w:w="920" w:type="dxa"/>
            <w:shd w:val="clear" w:color="auto" w:fill="auto"/>
            <w:noWrap/>
            <w:vAlign w:val="center"/>
            <w:hideMark/>
          </w:tcPr>
          <w:p w:rsidR="00B073CB" w:rsidRPr="00050374" w:rsidRDefault="00B073CB" w:rsidP="002E1347">
            <w:pPr>
              <w:pStyle w:val="TableText"/>
            </w:pPr>
            <w:r w:rsidRPr="00050374">
              <w:t>3,683</w:t>
            </w:r>
          </w:p>
        </w:tc>
        <w:tc>
          <w:tcPr>
            <w:tcW w:w="920" w:type="dxa"/>
            <w:shd w:val="clear" w:color="auto" w:fill="auto"/>
            <w:noWrap/>
            <w:vAlign w:val="center"/>
            <w:hideMark/>
          </w:tcPr>
          <w:p w:rsidR="00B073CB" w:rsidRPr="00050374" w:rsidRDefault="00B073CB" w:rsidP="002E1347">
            <w:pPr>
              <w:pStyle w:val="TableText"/>
            </w:pPr>
            <w:r w:rsidRPr="00050374">
              <w:t>6</w:t>
            </w:r>
          </w:p>
        </w:tc>
        <w:tc>
          <w:tcPr>
            <w:tcW w:w="920" w:type="dxa"/>
            <w:shd w:val="clear" w:color="auto" w:fill="auto"/>
            <w:noWrap/>
            <w:vAlign w:val="center"/>
            <w:hideMark/>
          </w:tcPr>
          <w:p w:rsidR="00B073CB" w:rsidRPr="00050374" w:rsidRDefault="00B073CB" w:rsidP="002E1347">
            <w:pPr>
              <w:pStyle w:val="TableText"/>
            </w:pPr>
            <w:r w:rsidRPr="00050374">
              <w:t>74.8</w:t>
            </w:r>
          </w:p>
        </w:tc>
        <w:tc>
          <w:tcPr>
            <w:tcW w:w="920" w:type="dxa"/>
            <w:shd w:val="clear" w:color="auto" w:fill="auto"/>
            <w:noWrap/>
            <w:vAlign w:val="center"/>
            <w:hideMark/>
          </w:tcPr>
          <w:p w:rsidR="00B073CB" w:rsidRPr="00050374" w:rsidRDefault="00B073CB" w:rsidP="002E1347">
            <w:pPr>
              <w:pStyle w:val="TableText"/>
            </w:pPr>
            <w:r w:rsidRPr="00050374">
              <w:t>11</w:t>
            </w:r>
          </w:p>
        </w:tc>
        <w:tc>
          <w:tcPr>
            <w:tcW w:w="920" w:type="dxa"/>
            <w:shd w:val="clear" w:color="auto" w:fill="auto"/>
            <w:noWrap/>
            <w:vAlign w:val="center"/>
            <w:hideMark/>
          </w:tcPr>
          <w:p w:rsidR="00B073CB" w:rsidRPr="00050374" w:rsidRDefault="00B073CB" w:rsidP="002E1347">
            <w:pPr>
              <w:pStyle w:val="TableText"/>
            </w:pPr>
            <w:r w:rsidRPr="00050374">
              <w:t>3,671</w:t>
            </w:r>
          </w:p>
        </w:tc>
        <w:tc>
          <w:tcPr>
            <w:tcW w:w="920" w:type="dxa"/>
            <w:shd w:val="clear" w:color="auto" w:fill="auto"/>
            <w:noWrap/>
            <w:vAlign w:val="center"/>
            <w:hideMark/>
          </w:tcPr>
          <w:p w:rsidR="00B073CB" w:rsidRPr="00050374" w:rsidRDefault="00B073CB" w:rsidP="002E1347">
            <w:pPr>
              <w:pStyle w:val="TableText"/>
            </w:pPr>
            <w:r w:rsidRPr="00050374">
              <w:t>15</w:t>
            </w:r>
          </w:p>
        </w:tc>
        <w:tc>
          <w:tcPr>
            <w:tcW w:w="920" w:type="dxa"/>
            <w:shd w:val="clear" w:color="auto" w:fill="auto"/>
            <w:noWrap/>
            <w:vAlign w:val="center"/>
            <w:hideMark/>
          </w:tcPr>
          <w:p w:rsidR="00B073CB" w:rsidRPr="00050374" w:rsidRDefault="00B073CB" w:rsidP="002E1347">
            <w:pPr>
              <w:pStyle w:val="TableText"/>
            </w:pPr>
            <w:r w:rsidRPr="00050374">
              <w:t>71.7</w:t>
            </w:r>
          </w:p>
        </w:tc>
      </w:tr>
      <w:tr w:rsidR="00B073CB" w:rsidRPr="00050374" w:rsidTr="002E1347">
        <w:trPr>
          <w:trHeight w:val="300"/>
          <w:jc w:val="center"/>
        </w:trPr>
        <w:tc>
          <w:tcPr>
            <w:tcW w:w="1340" w:type="dxa"/>
            <w:shd w:val="clear" w:color="auto" w:fill="auto"/>
            <w:noWrap/>
            <w:vAlign w:val="center"/>
            <w:hideMark/>
          </w:tcPr>
          <w:p w:rsidR="00B073CB" w:rsidRPr="00050374" w:rsidRDefault="00B073CB" w:rsidP="002E1347">
            <w:pPr>
              <w:pStyle w:val="TableText"/>
            </w:pPr>
            <w:r w:rsidRPr="00050374">
              <w:t>6</w:t>
            </w:r>
          </w:p>
        </w:tc>
        <w:tc>
          <w:tcPr>
            <w:tcW w:w="920" w:type="dxa"/>
            <w:shd w:val="clear" w:color="auto" w:fill="auto"/>
            <w:noWrap/>
            <w:vAlign w:val="center"/>
            <w:hideMark/>
          </w:tcPr>
          <w:p w:rsidR="00B073CB" w:rsidRPr="00050374" w:rsidRDefault="00B073CB" w:rsidP="002E1347">
            <w:pPr>
              <w:pStyle w:val="TableText"/>
            </w:pPr>
            <w:r w:rsidRPr="00050374">
              <w:t>12</w:t>
            </w:r>
          </w:p>
        </w:tc>
        <w:tc>
          <w:tcPr>
            <w:tcW w:w="920" w:type="dxa"/>
            <w:shd w:val="clear" w:color="auto" w:fill="auto"/>
            <w:noWrap/>
            <w:vAlign w:val="center"/>
            <w:hideMark/>
          </w:tcPr>
          <w:p w:rsidR="00B073CB" w:rsidRPr="00050374" w:rsidRDefault="00B073CB" w:rsidP="002E1347">
            <w:pPr>
              <w:pStyle w:val="TableText"/>
            </w:pPr>
            <w:r w:rsidRPr="00050374">
              <w:t>3,663</w:t>
            </w:r>
          </w:p>
        </w:tc>
        <w:tc>
          <w:tcPr>
            <w:tcW w:w="920" w:type="dxa"/>
            <w:shd w:val="clear" w:color="auto" w:fill="auto"/>
            <w:noWrap/>
            <w:vAlign w:val="center"/>
            <w:hideMark/>
          </w:tcPr>
          <w:p w:rsidR="00B073CB" w:rsidRPr="00050374" w:rsidRDefault="00B073CB" w:rsidP="002E1347">
            <w:pPr>
              <w:pStyle w:val="TableText"/>
            </w:pPr>
            <w:r w:rsidRPr="00050374">
              <w:t>10</w:t>
            </w:r>
          </w:p>
        </w:tc>
        <w:tc>
          <w:tcPr>
            <w:tcW w:w="920" w:type="dxa"/>
            <w:shd w:val="clear" w:color="auto" w:fill="auto"/>
            <w:noWrap/>
            <w:vAlign w:val="center"/>
            <w:hideMark/>
          </w:tcPr>
          <w:p w:rsidR="00B073CB" w:rsidRPr="00050374" w:rsidRDefault="00B073CB" w:rsidP="002E1347">
            <w:pPr>
              <w:pStyle w:val="TableText"/>
            </w:pPr>
            <w:r w:rsidRPr="00050374">
              <w:t>73.9</w:t>
            </w:r>
          </w:p>
        </w:tc>
        <w:tc>
          <w:tcPr>
            <w:tcW w:w="920" w:type="dxa"/>
            <w:shd w:val="clear" w:color="auto" w:fill="auto"/>
            <w:noWrap/>
            <w:vAlign w:val="center"/>
            <w:hideMark/>
          </w:tcPr>
          <w:p w:rsidR="00B073CB" w:rsidRPr="00050374" w:rsidRDefault="00B073CB" w:rsidP="002E1347">
            <w:pPr>
              <w:pStyle w:val="TableText"/>
            </w:pPr>
            <w:r w:rsidRPr="00050374">
              <w:t>13</w:t>
            </w:r>
          </w:p>
        </w:tc>
        <w:tc>
          <w:tcPr>
            <w:tcW w:w="920" w:type="dxa"/>
            <w:shd w:val="clear" w:color="auto" w:fill="auto"/>
            <w:noWrap/>
            <w:vAlign w:val="center"/>
            <w:hideMark/>
          </w:tcPr>
          <w:p w:rsidR="00B073CB" w:rsidRPr="00050374" w:rsidRDefault="00B073CB" w:rsidP="002E1347">
            <w:pPr>
              <w:pStyle w:val="TableText"/>
            </w:pPr>
            <w:r w:rsidRPr="00050374">
              <w:t>3,616</w:t>
            </w:r>
          </w:p>
        </w:tc>
        <w:tc>
          <w:tcPr>
            <w:tcW w:w="920" w:type="dxa"/>
            <w:shd w:val="clear" w:color="auto" w:fill="auto"/>
            <w:noWrap/>
            <w:vAlign w:val="center"/>
            <w:hideMark/>
          </w:tcPr>
          <w:p w:rsidR="00B073CB" w:rsidRPr="00050374" w:rsidRDefault="00B073CB" w:rsidP="002E1347">
            <w:pPr>
              <w:pStyle w:val="TableText"/>
            </w:pPr>
            <w:r w:rsidRPr="00050374">
              <w:t>13</w:t>
            </w:r>
          </w:p>
        </w:tc>
        <w:tc>
          <w:tcPr>
            <w:tcW w:w="920" w:type="dxa"/>
            <w:shd w:val="clear" w:color="auto" w:fill="auto"/>
            <w:noWrap/>
            <w:vAlign w:val="center"/>
            <w:hideMark/>
          </w:tcPr>
          <w:p w:rsidR="00B073CB" w:rsidRPr="00050374" w:rsidRDefault="00B073CB" w:rsidP="002E1347">
            <w:pPr>
              <w:pStyle w:val="TableText"/>
            </w:pPr>
            <w:r w:rsidRPr="00050374">
              <w:t>72.5</w:t>
            </w:r>
          </w:p>
        </w:tc>
      </w:tr>
      <w:tr w:rsidR="00B073CB" w:rsidRPr="00050374" w:rsidTr="002E1347">
        <w:trPr>
          <w:trHeight w:val="315"/>
          <w:jc w:val="center"/>
        </w:trPr>
        <w:tc>
          <w:tcPr>
            <w:tcW w:w="1340" w:type="dxa"/>
            <w:shd w:val="clear" w:color="auto" w:fill="auto"/>
            <w:noWrap/>
            <w:vAlign w:val="center"/>
            <w:hideMark/>
          </w:tcPr>
          <w:p w:rsidR="00B073CB" w:rsidRPr="00050374" w:rsidRDefault="00B073CB" w:rsidP="002E1347">
            <w:pPr>
              <w:pStyle w:val="TableText"/>
            </w:pPr>
            <w:r w:rsidRPr="00050374">
              <w:t>7</w:t>
            </w:r>
          </w:p>
        </w:tc>
        <w:tc>
          <w:tcPr>
            <w:tcW w:w="920" w:type="dxa"/>
            <w:shd w:val="clear" w:color="auto" w:fill="auto"/>
            <w:noWrap/>
            <w:vAlign w:val="center"/>
            <w:hideMark/>
          </w:tcPr>
          <w:p w:rsidR="00B073CB" w:rsidRPr="00050374" w:rsidRDefault="00B073CB" w:rsidP="002E1347">
            <w:pPr>
              <w:pStyle w:val="TableText"/>
            </w:pPr>
            <w:r w:rsidRPr="00050374">
              <w:t>45</w:t>
            </w:r>
          </w:p>
        </w:tc>
        <w:tc>
          <w:tcPr>
            <w:tcW w:w="920" w:type="dxa"/>
            <w:shd w:val="clear" w:color="auto" w:fill="auto"/>
            <w:noWrap/>
            <w:vAlign w:val="center"/>
            <w:hideMark/>
          </w:tcPr>
          <w:p w:rsidR="00B073CB" w:rsidRPr="00050374" w:rsidRDefault="00B073CB" w:rsidP="002E1347">
            <w:pPr>
              <w:pStyle w:val="TableText"/>
            </w:pPr>
            <w:r w:rsidRPr="00050374">
              <w:t>3,036</w:t>
            </w:r>
          </w:p>
        </w:tc>
        <w:tc>
          <w:tcPr>
            <w:tcW w:w="920" w:type="dxa"/>
            <w:shd w:val="clear" w:color="auto" w:fill="auto"/>
            <w:noWrap/>
            <w:vAlign w:val="center"/>
            <w:hideMark/>
          </w:tcPr>
          <w:p w:rsidR="00B073CB" w:rsidRPr="00050374" w:rsidRDefault="00B073CB" w:rsidP="002E1347">
            <w:pPr>
              <w:pStyle w:val="TableText"/>
            </w:pPr>
            <w:r w:rsidRPr="00050374">
              <w:t>53</w:t>
            </w:r>
          </w:p>
        </w:tc>
        <w:tc>
          <w:tcPr>
            <w:tcW w:w="920" w:type="dxa"/>
            <w:shd w:val="clear" w:color="auto" w:fill="auto"/>
            <w:noWrap/>
            <w:vAlign w:val="center"/>
            <w:hideMark/>
          </w:tcPr>
          <w:p w:rsidR="00B073CB" w:rsidRPr="00050374" w:rsidRDefault="00B073CB" w:rsidP="002E1347">
            <w:pPr>
              <w:pStyle w:val="TableText"/>
            </w:pPr>
            <w:r w:rsidRPr="00050374">
              <w:t>66.5</w:t>
            </w:r>
          </w:p>
        </w:tc>
        <w:tc>
          <w:tcPr>
            <w:tcW w:w="920" w:type="dxa"/>
            <w:shd w:val="clear" w:color="auto" w:fill="auto"/>
            <w:noWrap/>
            <w:vAlign w:val="center"/>
            <w:hideMark/>
          </w:tcPr>
          <w:p w:rsidR="00B073CB" w:rsidRPr="00050374" w:rsidRDefault="00B073CB" w:rsidP="002E1347">
            <w:pPr>
              <w:pStyle w:val="TableText"/>
            </w:pPr>
            <w:r w:rsidRPr="00050374">
              <w:t>14</w:t>
            </w:r>
          </w:p>
        </w:tc>
        <w:tc>
          <w:tcPr>
            <w:tcW w:w="920" w:type="dxa"/>
            <w:shd w:val="clear" w:color="auto" w:fill="auto"/>
            <w:noWrap/>
            <w:vAlign w:val="center"/>
            <w:hideMark/>
          </w:tcPr>
          <w:p w:rsidR="00B073CB" w:rsidRPr="00050374" w:rsidRDefault="00B073CB" w:rsidP="002E1347">
            <w:pPr>
              <w:pStyle w:val="TableText"/>
            </w:pPr>
            <w:r w:rsidRPr="00050374">
              <w:t>3,614</w:t>
            </w:r>
          </w:p>
        </w:tc>
        <w:tc>
          <w:tcPr>
            <w:tcW w:w="920" w:type="dxa"/>
            <w:shd w:val="clear" w:color="auto" w:fill="auto"/>
            <w:noWrap/>
            <w:vAlign w:val="center"/>
            <w:hideMark/>
          </w:tcPr>
          <w:p w:rsidR="00B073CB" w:rsidRPr="00050374" w:rsidRDefault="00B073CB" w:rsidP="002E1347">
            <w:pPr>
              <w:pStyle w:val="TableText"/>
            </w:pPr>
            <w:r w:rsidRPr="00050374">
              <w:t>11</w:t>
            </w:r>
          </w:p>
        </w:tc>
        <w:tc>
          <w:tcPr>
            <w:tcW w:w="920" w:type="dxa"/>
            <w:shd w:val="clear" w:color="auto" w:fill="auto"/>
            <w:noWrap/>
            <w:vAlign w:val="center"/>
            <w:hideMark/>
          </w:tcPr>
          <w:p w:rsidR="00B073CB" w:rsidRPr="00050374" w:rsidRDefault="00B073CB" w:rsidP="002E1347">
            <w:pPr>
              <w:pStyle w:val="TableText"/>
            </w:pPr>
            <w:r w:rsidRPr="00050374">
              <w:t>73.7</w:t>
            </w:r>
          </w:p>
        </w:tc>
      </w:tr>
      <w:tr w:rsidR="00B073CB" w:rsidRPr="00050374" w:rsidTr="002E1347">
        <w:trPr>
          <w:trHeight w:val="315"/>
          <w:jc w:val="center"/>
        </w:trPr>
        <w:tc>
          <w:tcPr>
            <w:tcW w:w="1340" w:type="dxa"/>
            <w:shd w:val="clear" w:color="auto" w:fill="auto"/>
            <w:noWrap/>
            <w:vAlign w:val="center"/>
            <w:hideMark/>
          </w:tcPr>
          <w:p w:rsidR="00B073CB" w:rsidRPr="00050374" w:rsidRDefault="00B073CB" w:rsidP="002E1347">
            <w:pPr>
              <w:pStyle w:val="TableText"/>
              <w:rPr>
                <w:b/>
              </w:rPr>
            </w:pPr>
            <w:r w:rsidRPr="00050374">
              <w:rPr>
                <w:b/>
              </w:rPr>
              <w:t>Average</w:t>
            </w:r>
          </w:p>
        </w:tc>
        <w:tc>
          <w:tcPr>
            <w:tcW w:w="920" w:type="dxa"/>
            <w:shd w:val="clear" w:color="auto" w:fill="auto"/>
            <w:noWrap/>
            <w:vAlign w:val="center"/>
            <w:hideMark/>
          </w:tcPr>
          <w:p w:rsidR="00B073CB" w:rsidRPr="00050374" w:rsidRDefault="00B073CB" w:rsidP="002E1347">
            <w:pPr>
              <w:pStyle w:val="TableText"/>
              <w:rPr>
                <w:b/>
              </w:rPr>
            </w:pPr>
            <w:r w:rsidRPr="00050374">
              <w:rPr>
                <w:b/>
              </w:rPr>
              <w:t>12.4</w:t>
            </w:r>
          </w:p>
        </w:tc>
        <w:tc>
          <w:tcPr>
            <w:tcW w:w="920" w:type="dxa"/>
            <w:shd w:val="clear" w:color="auto" w:fill="auto"/>
            <w:noWrap/>
            <w:vAlign w:val="center"/>
            <w:hideMark/>
          </w:tcPr>
          <w:p w:rsidR="00B073CB" w:rsidRPr="00050374" w:rsidRDefault="00B073CB" w:rsidP="002E1347">
            <w:pPr>
              <w:pStyle w:val="TableText"/>
              <w:rPr>
                <w:b/>
              </w:rPr>
            </w:pPr>
            <w:r w:rsidRPr="00050374">
              <w:rPr>
                <w:b/>
              </w:rPr>
              <w:t>3739.6</w:t>
            </w:r>
          </w:p>
        </w:tc>
        <w:tc>
          <w:tcPr>
            <w:tcW w:w="920" w:type="dxa"/>
            <w:shd w:val="clear" w:color="auto" w:fill="auto"/>
            <w:noWrap/>
            <w:vAlign w:val="center"/>
            <w:hideMark/>
          </w:tcPr>
          <w:p w:rsidR="00B073CB" w:rsidRPr="00050374" w:rsidRDefault="00B073CB" w:rsidP="002E1347">
            <w:pPr>
              <w:pStyle w:val="TableText"/>
              <w:rPr>
                <w:b/>
              </w:rPr>
            </w:pPr>
            <w:r w:rsidRPr="00050374">
              <w:rPr>
                <w:b/>
              </w:rPr>
              <w:t>12.3</w:t>
            </w:r>
          </w:p>
        </w:tc>
        <w:tc>
          <w:tcPr>
            <w:tcW w:w="920" w:type="dxa"/>
            <w:shd w:val="clear" w:color="auto" w:fill="auto"/>
            <w:noWrap/>
            <w:vAlign w:val="center"/>
            <w:hideMark/>
          </w:tcPr>
          <w:p w:rsidR="00B073CB" w:rsidRPr="00050374" w:rsidRDefault="00B073CB" w:rsidP="002E1347">
            <w:pPr>
              <w:pStyle w:val="TableText"/>
              <w:rPr>
                <w:b/>
              </w:rPr>
            </w:pPr>
            <w:r w:rsidRPr="00050374">
              <w:rPr>
                <w:b/>
              </w:rPr>
              <w:t>74.4</w:t>
            </w:r>
          </w:p>
        </w:tc>
        <w:tc>
          <w:tcPr>
            <w:tcW w:w="920" w:type="dxa"/>
            <w:shd w:val="clear" w:color="auto" w:fill="auto"/>
            <w:noWrap/>
            <w:vAlign w:val="center"/>
            <w:hideMark/>
          </w:tcPr>
          <w:p w:rsidR="00B073CB" w:rsidRPr="00050374" w:rsidRDefault="00B073CB" w:rsidP="002E1347">
            <w:pPr>
              <w:pStyle w:val="TableText"/>
              <w:rPr>
                <w:b/>
              </w:rPr>
            </w:pPr>
            <w:r w:rsidRPr="00050374">
              <w:rPr>
                <w:b/>
              </w:rPr>
              <w:t>7.9</w:t>
            </w:r>
          </w:p>
        </w:tc>
        <w:tc>
          <w:tcPr>
            <w:tcW w:w="920" w:type="dxa"/>
            <w:shd w:val="clear" w:color="auto" w:fill="auto"/>
            <w:noWrap/>
            <w:vAlign w:val="center"/>
            <w:hideMark/>
          </w:tcPr>
          <w:p w:rsidR="00B073CB" w:rsidRPr="00050374" w:rsidRDefault="00B073CB" w:rsidP="002E1347">
            <w:pPr>
              <w:pStyle w:val="TableText"/>
              <w:rPr>
                <w:b/>
              </w:rPr>
            </w:pPr>
            <w:r w:rsidRPr="00050374">
              <w:rPr>
                <w:b/>
              </w:rPr>
              <w:t>3821.4</w:t>
            </w:r>
          </w:p>
        </w:tc>
        <w:tc>
          <w:tcPr>
            <w:tcW w:w="920" w:type="dxa"/>
            <w:shd w:val="clear" w:color="auto" w:fill="auto"/>
            <w:noWrap/>
            <w:vAlign w:val="center"/>
            <w:hideMark/>
          </w:tcPr>
          <w:p w:rsidR="00B073CB" w:rsidRPr="00050374" w:rsidRDefault="00B073CB" w:rsidP="002E1347">
            <w:pPr>
              <w:pStyle w:val="TableText"/>
              <w:rPr>
                <w:b/>
              </w:rPr>
            </w:pPr>
            <w:r w:rsidRPr="00050374">
              <w:rPr>
                <w:b/>
              </w:rPr>
              <w:t>9.4</w:t>
            </w:r>
          </w:p>
        </w:tc>
        <w:tc>
          <w:tcPr>
            <w:tcW w:w="920" w:type="dxa"/>
            <w:shd w:val="clear" w:color="auto" w:fill="auto"/>
            <w:noWrap/>
            <w:vAlign w:val="center"/>
            <w:hideMark/>
          </w:tcPr>
          <w:p w:rsidR="00B073CB" w:rsidRPr="00050374" w:rsidRDefault="00B073CB" w:rsidP="002E1347">
            <w:pPr>
              <w:pStyle w:val="TableText"/>
              <w:rPr>
                <w:b/>
              </w:rPr>
            </w:pPr>
            <w:r w:rsidRPr="00050374">
              <w:rPr>
                <w:b/>
              </w:rPr>
              <w:t>74.2</w:t>
            </w:r>
          </w:p>
        </w:tc>
      </w:tr>
      <w:tr w:rsidR="00B073CB" w:rsidRPr="00050374" w:rsidTr="00B523D8">
        <w:trPr>
          <w:trHeight w:val="525"/>
          <w:jc w:val="center"/>
        </w:trPr>
        <w:tc>
          <w:tcPr>
            <w:tcW w:w="1340" w:type="dxa"/>
            <w:shd w:val="clear" w:color="auto" w:fill="auto"/>
            <w:vAlign w:val="center"/>
            <w:hideMark/>
          </w:tcPr>
          <w:p w:rsidR="00B073CB" w:rsidRPr="00050374" w:rsidRDefault="00B073CB" w:rsidP="002E1347">
            <w:pPr>
              <w:pStyle w:val="TableText"/>
              <w:rPr>
                <w:b/>
              </w:rPr>
            </w:pPr>
            <w:r w:rsidRPr="00050374">
              <w:rPr>
                <w:b/>
              </w:rPr>
              <w:t xml:space="preserve">Average </w:t>
            </w:r>
            <w:r w:rsidR="000E10B0">
              <w:rPr>
                <w:b/>
              </w:rPr>
              <w:br/>
            </w:r>
            <w:r w:rsidRPr="00050374">
              <w:rPr>
                <w:b/>
              </w:rPr>
              <w:t>(no outlier)</w:t>
            </w:r>
          </w:p>
        </w:tc>
        <w:tc>
          <w:tcPr>
            <w:tcW w:w="920" w:type="dxa"/>
            <w:shd w:val="clear" w:color="auto" w:fill="auto"/>
            <w:noWrap/>
            <w:vAlign w:val="center"/>
            <w:hideMark/>
          </w:tcPr>
          <w:p w:rsidR="00B073CB" w:rsidRPr="00050374" w:rsidRDefault="00B073CB" w:rsidP="002E1347">
            <w:pPr>
              <w:pStyle w:val="TableText"/>
              <w:rPr>
                <w:b/>
              </w:rPr>
            </w:pPr>
            <w:r w:rsidRPr="00050374">
              <w:rPr>
                <w:b/>
              </w:rPr>
              <w:t>7.0</w:t>
            </w:r>
          </w:p>
        </w:tc>
        <w:tc>
          <w:tcPr>
            <w:tcW w:w="920" w:type="dxa"/>
            <w:shd w:val="clear" w:color="auto" w:fill="auto"/>
            <w:noWrap/>
            <w:vAlign w:val="center"/>
            <w:hideMark/>
          </w:tcPr>
          <w:p w:rsidR="00B073CB" w:rsidRPr="00050374" w:rsidRDefault="00B073CB" w:rsidP="002E1347">
            <w:pPr>
              <w:pStyle w:val="TableText"/>
              <w:rPr>
                <w:b/>
              </w:rPr>
            </w:pPr>
            <w:r w:rsidRPr="00050374">
              <w:rPr>
                <w:b/>
              </w:rPr>
              <w:t>3856.8</w:t>
            </w:r>
          </w:p>
        </w:tc>
        <w:tc>
          <w:tcPr>
            <w:tcW w:w="920" w:type="dxa"/>
            <w:shd w:val="clear" w:color="auto" w:fill="auto"/>
            <w:noWrap/>
            <w:vAlign w:val="center"/>
            <w:hideMark/>
          </w:tcPr>
          <w:p w:rsidR="00B073CB" w:rsidRPr="00050374" w:rsidRDefault="00B073CB" w:rsidP="002E1347">
            <w:pPr>
              <w:pStyle w:val="TableText"/>
              <w:rPr>
                <w:b/>
              </w:rPr>
            </w:pPr>
            <w:r w:rsidRPr="00050374">
              <w:rPr>
                <w:b/>
              </w:rPr>
              <w:t>5.5</w:t>
            </w:r>
          </w:p>
        </w:tc>
        <w:tc>
          <w:tcPr>
            <w:tcW w:w="920" w:type="dxa"/>
            <w:shd w:val="clear" w:color="auto" w:fill="auto"/>
            <w:noWrap/>
            <w:vAlign w:val="center"/>
            <w:hideMark/>
          </w:tcPr>
          <w:p w:rsidR="00B073CB" w:rsidRPr="00050374" w:rsidRDefault="00B073CB" w:rsidP="002E1347">
            <w:pPr>
              <w:pStyle w:val="TableText"/>
              <w:rPr>
                <w:b/>
              </w:rPr>
            </w:pPr>
            <w:r w:rsidRPr="00050374">
              <w:rPr>
                <w:b/>
              </w:rPr>
              <w:t>75.7</w:t>
            </w:r>
          </w:p>
        </w:tc>
        <w:tc>
          <w:tcPr>
            <w:tcW w:w="920" w:type="dxa"/>
            <w:shd w:val="clear" w:color="auto" w:fill="auto"/>
            <w:noWrap/>
            <w:vAlign w:val="center"/>
            <w:hideMark/>
          </w:tcPr>
          <w:p w:rsidR="00B073CB" w:rsidRPr="00050374" w:rsidRDefault="00B073CB" w:rsidP="002E1347">
            <w:pPr>
              <w:pStyle w:val="TableText"/>
              <w:rPr>
                <w:b/>
              </w:rPr>
            </w:pPr>
            <w:r w:rsidRPr="00050374">
              <w:rPr>
                <w:b/>
              </w:rPr>
              <w:t>7.9</w:t>
            </w:r>
          </w:p>
        </w:tc>
        <w:tc>
          <w:tcPr>
            <w:tcW w:w="920" w:type="dxa"/>
            <w:shd w:val="clear" w:color="auto" w:fill="auto"/>
            <w:noWrap/>
            <w:vAlign w:val="center"/>
            <w:hideMark/>
          </w:tcPr>
          <w:p w:rsidR="00B073CB" w:rsidRPr="00050374" w:rsidRDefault="00B073CB" w:rsidP="002E1347">
            <w:pPr>
              <w:pStyle w:val="TableText"/>
              <w:rPr>
                <w:b/>
              </w:rPr>
            </w:pPr>
            <w:r w:rsidRPr="00050374">
              <w:rPr>
                <w:b/>
              </w:rPr>
              <w:t>3821.4</w:t>
            </w:r>
          </w:p>
        </w:tc>
        <w:tc>
          <w:tcPr>
            <w:tcW w:w="920" w:type="dxa"/>
            <w:shd w:val="clear" w:color="auto" w:fill="auto"/>
            <w:noWrap/>
            <w:vAlign w:val="center"/>
            <w:hideMark/>
          </w:tcPr>
          <w:p w:rsidR="00B073CB" w:rsidRPr="00050374" w:rsidRDefault="00B073CB" w:rsidP="002E1347">
            <w:pPr>
              <w:pStyle w:val="TableText"/>
              <w:rPr>
                <w:b/>
              </w:rPr>
            </w:pPr>
            <w:r w:rsidRPr="00050374">
              <w:rPr>
                <w:b/>
              </w:rPr>
              <w:t>9.4</w:t>
            </w:r>
          </w:p>
        </w:tc>
        <w:tc>
          <w:tcPr>
            <w:tcW w:w="920" w:type="dxa"/>
            <w:shd w:val="clear" w:color="auto" w:fill="auto"/>
            <w:noWrap/>
            <w:vAlign w:val="center"/>
            <w:hideMark/>
          </w:tcPr>
          <w:p w:rsidR="00B073CB" w:rsidRPr="00050374" w:rsidRDefault="00B073CB" w:rsidP="002E1347">
            <w:pPr>
              <w:pStyle w:val="TableText"/>
              <w:rPr>
                <w:b/>
              </w:rPr>
            </w:pPr>
            <w:r w:rsidRPr="00050374">
              <w:rPr>
                <w:b/>
              </w:rPr>
              <w:t>74.2</w:t>
            </w:r>
          </w:p>
        </w:tc>
      </w:tr>
    </w:tbl>
    <w:p w:rsidR="00B073CB" w:rsidRDefault="00B073CB" w:rsidP="00B073CB">
      <w:pPr>
        <w:pStyle w:val="BodyParagraph"/>
      </w:pPr>
    </w:p>
    <w:p w:rsidR="00B073CB" w:rsidRDefault="00B073CB" w:rsidP="00B073CB">
      <w:pPr>
        <w:pStyle w:val="Heading3"/>
      </w:pPr>
      <w:bookmarkStart w:id="80" w:name="_Toc315172965"/>
      <w:bookmarkStart w:id="81" w:name="_Toc318393844"/>
      <w:bookmarkStart w:id="82" w:name="_Toc318472349"/>
      <w:bookmarkStart w:id="83" w:name="_Toc318789290"/>
      <w:bookmarkStart w:id="84" w:name="_Toc324232563"/>
      <w:bookmarkStart w:id="85" w:name="_Toc326150808"/>
      <w:r>
        <w:t>Identifying Customer Demand Reductions</w:t>
      </w:r>
      <w:bookmarkEnd w:id="80"/>
      <w:bookmarkEnd w:id="81"/>
      <w:bookmarkEnd w:id="82"/>
      <w:bookmarkEnd w:id="83"/>
      <w:bookmarkEnd w:id="84"/>
      <w:bookmarkEnd w:id="85"/>
    </w:p>
    <w:p w:rsidR="00B073CB" w:rsidRDefault="00B073CB" w:rsidP="00B073CB">
      <w:pPr>
        <w:pStyle w:val="BodyParagraph"/>
        <w:rPr>
          <w:lang w:val="en-CA"/>
        </w:rPr>
      </w:pPr>
      <w:r>
        <w:rPr>
          <w:lang w:val="en-CA"/>
        </w:rPr>
        <w:t xml:space="preserve">Since demand reductions were simulated on unperturbed customer loads, it was necessary to identify realistic estimates of individual customer demand reductions. </w:t>
      </w:r>
      <w:r w:rsidR="00B2167A">
        <w:rPr>
          <w:lang w:val="en-CA"/>
        </w:rPr>
        <w:t xml:space="preserve"> </w:t>
      </w:r>
      <w:r>
        <w:rPr>
          <w:lang w:val="en-CA"/>
        </w:rPr>
        <w:t>Commitments for both the CBP program and the aggregator contracts are made at the settlement portfolio level; aggregators do not produc</w:t>
      </w:r>
      <w:r w:rsidR="00B2167A">
        <w:rPr>
          <w:lang w:val="en-CA"/>
        </w:rPr>
        <w:t>e estimates of</w:t>
      </w:r>
      <w:r>
        <w:rPr>
          <w:lang w:val="en-CA"/>
        </w:rPr>
        <w:t xml:space="preserve"> expected load reductions for each customer.  As a result, we relied on average demand reductions for each individual customer produced from the M&amp;E evaluation. </w:t>
      </w:r>
      <w:r w:rsidR="00B2167A">
        <w:rPr>
          <w:lang w:val="en-CA"/>
        </w:rPr>
        <w:t xml:space="preserve"> </w:t>
      </w:r>
      <w:r>
        <w:rPr>
          <w:lang w:val="en-CA"/>
        </w:rPr>
        <w:t xml:space="preserve">On average, these values </w:t>
      </w:r>
      <w:r>
        <w:rPr>
          <w:lang w:val="en-CA"/>
        </w:rPr>
        <w:lastRenderedPageBreak/>
        <w:t xml:space="preserve">are a realistic approximation of individual customers’ reductions.  At the individual level, the estimates include some noise, especially when a customer experienced few events.  </w:t>
      </w:r>
    </w:p>
    <w:p w:rsidR="00B073CB" w:rsidRDefault="00B073CB" w:rsidP="00B073CB">
      <w:pPr>
        <w:pStyle w:val="BodyParagraph"/>
        <w:rPr>
          <w:lang w:val="en-CA"/>
        </w:rPr>
      </w:pPr>
      <w:r>
        <w:rPr>
          <w:lang w:val="en-CA"/>
        </w:rPr>
        <w:t>However, the most important aspect of this exercise is that the demand reductions used in the simulation are known.  Identifying customer demand reductions provides an</w:t>
      </w:r>
      <w:r w:rsidRPr="00DA1E8C">
        <w:rPr>
          <w:lang w:val="en-CA"/>
        </w:rPr>
        <w:t xml:space="preserve"> </w:t>
      </w:r>
      <w:r w:rsidR="00B2167A">
        <w:rPr>
          <w:lang w:val="en-CA"/>
        </w:rPr>
        <w:t>“</w:t>
      </w:r>
      <w:r w:rsidRPr="00DA1E8C">
        <w:rPr>
          <w:lang w:val="en-CA"/>
        </w:rPr>
        <w:t>answer key</w:t>
      </w:r>
      <w:r w:rsidR="00B2167A">
        <w:rPr>
          <w:lang w:val="en-CA"/>
        </w:rPr>
        <w:t>”</w:t>
      </w:r>
      <w:r>
        <w:rPr>
          <w:lang w:val="en-CA"/>
        </w:rPr>
        <w:t xml:space="preserve"> </w:t>
      </w:r>
      <w:r w:rsidR="00B2167A">
        <w:rPr>
          <w:lang w:val="en-CA"/>
        </w:rPr>
        <w:t>for the test</w:t>
      </w:r>
      <w:r>
        <w:rPr>
          <w:lang w:val="en-CA"/>
        </w:rPr>
        <w:t xml:space="preserve">, which then allows an assessment of </w:t>
      </w:r>
      <w:r w:rsidRPr="00DA1E8C">
        <w:rPr>
          <w:lang w:val="en-CA"/>
        </w:rPr>
        <w:t xml:space="preserve">which </w:t>
      </w:r>
      <w:r>
        <w:rPr>
          <w:lang w:val="en-CA"/>
        </w:rPr>
        <w:t xml:space="preserve">baseline </w:t>
      </w:r>
      <w:r w:rsidR="00B2167A">
        <w:rPr>
          <w:lang w:val="en-CA"/>
        </w:rPr>
        <w:t>methods are most accurate</w:t>
      </w:r>
      <w:r>
        <w:rPr>
          <w:lang w:val="en-CA"/>
        </w:rPr>
        <w:t>.</w:t>
      </w:r>
    </w:p>
    <w:p w:rsidR="00B073CB" w:rsidRDefault="00B073CB" w:rsidP="00B073CB">
      <w:pPr>
        <w:pStyle w:val="Heading3"/>
      </w:pPr>
      <w:bookmarkStart w:id="86" w:name="_Toc315172966"/>
      <w:bookmarkStart w:id="87" w:name="_Toc318393845"/>
      <w:bookmarkStart w:id="88" w:name="_Toc318472350"/>
      <w:bookmarkStart w:id="89" w:name="_Toc318789291"/>
      <w:bookmarkStart w:id="90" w:name="_Toc324232564"/>
      <w:bookmarkStart w:id="91" w:name="_Toc326150809"/>
      <w:r>
        <w:t>Application of Demand Reductions to Unperturbed Loads</w:t>
      </w:r>
      <w:bookmarkEnd w:id="86"/>
      <w:bookmarkEnd w:id="87"/>
      <w:bookmarkEnd w:id="88"/>
      <w:bookmarkEnd w:id="89"/>
      <w:bookmarkEnd w:id="90"/>
      <w:bookmarkEnd w:id="91"/>
    </w:p>
    <w:p w:rsidR="00B073CB" w:rsidRPr="00E93692" w:rsidRDefault="00B073CB" w:rsidP="00B073CB">
      <w:pPr>
        <w:pStyle w:val="BodyParagraph"/>
        <w:rPr>
          <w:lang w:val="en-CA"/>
        </w:rPr>
      </w:pPr>
      <w:r>
        <w:rPr>
          <w:lang w:val="en-CA"/>
        </w:rPr>
        <w:t>Next, for the proxy event hours, the demand reductions were subtracted from the unperturbed electric load data of the corresp</w:t>
      </w:r>
      <w:r w:rsidR="00B2167A">
        <w:rPr>
          <w:lang w:val="en-CA"/>
        </w:rPr>
        <w:t>onding customer.  Through</w:t>
      </w:r>
      <w:r>
        <w:rPr>
          <w:lang w:val="en-CA"/>
        </w:rPr>
        <w:t xml:space="preserve"> this process, the true loads with and without the simulated curtailment, as well as the demand reduction, </w:t>
      </w:r>
      <w:r w:rsidR="00B2167A">
        <w:rPr>
          <w:lang w:val="en-CA"/>
        </w:rPr>
        <w:t>a</w:t>
      </w:r>
      <w:r>
        <w:rPr>
          <w:lang w:val="en-CA"/>
        </w:rPr>
        <w:t>re known</w:t>
      </w:r>
      <w:r w:rsidRPr="0037704F">
        <w:rPr>
          <w:lang w:val="en-CA"/>
        </w:rPr>
        <w:t>.</w:t>
      </w:r>
    </w:p>
    <w:p w:rsidR="00B073CB" w:rsidRDefault="00B073CB" w:rsidP="00B073CB">
      <w:pPr>
        <w:pStyle w:val="Heading3"/>
      </w:pPr>
      <w:bookmarkStart w:id="92" w:name="_Toc315172972"/>
      <w:bookmarkStart w:id="93" w:name="_Toc318393846"/>
      <w:bookmarkStart w:id="94" w:name="_Toc318472351"/>
      <w:bookmarkStart w:id="95" w:name="_Toc318789292"/>
      <w:bookmarkStart w:id="96" w:name="_Toc324232565"/>
      <w:bookmarkStart w:id="97" w:name="_Toc326150810"/>
      <w:r>
        <w:t>Metrics for Assessing Accuracy</w:t>
      </w:r>
      <w:bookmarkEnd w:id="92"/>
      <w:bookmarkEnd w:id="93"/>
      <w:bookmarkEnd w:id="94"/>
      <w:bookmarkEnd w:id="95"/>
      <w:bookmarkEnd w:id="96"/>
      <w:bookmarkEnd w:id="97"/>
    </w:p>
    <w:p w:rsidR="00B073CB" w:rsidRPr="00050374" w:rsidRDefault="00B073CB" w:rsidP="00B073CB">
      <w:pPr>
        <w:pStyle w:val="BodyParagraph"/>
      </w:pPr>
      <w:r>
        <w:rPr>
          <w:lang w:val="en-CA"/>
        </w:rPr>
        <w:t>Accuracy refers to how close a measurement is to the actual value.  It can be analyzed at the program, settlement portfolio and individual customer level.</w:t>
      </w:r>
      <w:r w:rsidRPr="00050374">
        <w:t xml:space="preserve"> </w:t>
      </w:r>
      <w:r>
        <w:t xml:space="preserve"> Typically, accuracy results at one level are similar to those </w:t>
      </w:r>
      <w:r w:rsidR="00B2167A">
        <w:t>at an</w:t>
      </w:r>
      <w:r>
        <w:t xml:space="preserve">other level; a baseline that performs well for individual customers usually also performs well for settlement portfolios. </w:t>
      </w:r>
      <w:r w:rsidR="00B2167A">
        <w:t xml:space="preserve"> </w:t>
      </w:r>
      <w:r>
        <w:t xml:space="preserve">We will focus on the accuracy of the program wide results, but also include information on how the baseline performs across settlement portfolios.  </w:t>
      </w:r>
    </w:p>
    <w:p w:rsidR="00B523D8" w:rsidRDefault="00B073CB" w:rsidP="00B073CB">
      <w:pPr>
        <w:pStyle w:val="BodyParagraph"/>
        <w:rPr>
          <w:lang w:val="en-CA"/>
        </w:rPr>
      </w:pPr>
      <w:r>
        <w:rPr>
          <w:lang w:val="en-CA"/>
        </w:rPr>
        <w:t>Tab</w:t>
      </w:r>
      <w:r w:rsidR="00B2167A">
        <w:rPr>
          <w:lang w:val="en-CA"/>
        </w:rPr>
        <w:t>le 3-4</w:t>
      </w:r>
      <w:r>
        <w:rPr>
          <w:lang w:val="en-CA"/>
        </w:rPr>
        <w:t xml:space="preserve"> summarizes the metrics </w:t>
      </w:r>
      <w:r w:rsidR="0004722D">
        <w:rPr>
          <w:lang w:val="en-CA"/>
        </w:rPr>
        <w:t xml:space="preserve">used to test </w:t>
      </w:r>
      <w:r>
        <w:rPr>
          <w:lang w:val="en-CA"/>
        </w:rPr>
        <w:t xml:space="preserve">bias and goodness-of-fit </w:t>
      </w:r>
      <w:r w:rsidR="0004722D">
        <w:rPr>
          <w:lang w:val="en-CA"/>
        </w:rPr>
        <w:t xml:space="preserve">in the </w:t>
      </w:r>
      <w:r>
        <w:rPr>
          <w:lang w:val="en-CA"/>
        </w:rPr>
        <w:t>assess</w:t>
      </w:r>
      <w:r w:rsidR="0004722D">
        <w:rPr>
          <w:lang w:val="en-CA"/>
        </w:rPr>
        <w:t>ment for each baseline method</w:t>
      </w:r>
      <w:r>
        <w:rPr>
          <w:lang w:val="en-CA"/>
        </w:rPr>
        <w:t xml:space="preserve">.  It includes a brief description </w:t>
      </w:r>
      <w:r w:rsidR="0004722D">
        <w:rPr>
          <w:lang w:val="en-CA"/>
        </w:rPr>
        <w:t xml:space="preserve">of each summary statistic </w:t>
      </w:r>
      <w:r>
        <w:rPr>
          <w:lang w:val="en-CA"/>
        </w:rPr>
        <w:t>and the corresponding mathematical equations</w:t>
      </w:r>
      <w:r w:rsidR="0004722D">
        <w:rPr>
          <w:lang w:val="en-CA"/>
        </w:rPr>
        <w:t xml:space="preserve"> used to calculate the test values</w:t>
      </w:r>
      <w:r>
        <w:rPr>
          <w:lang w:val="en-CA"/>
        </w:rPr>
        <w:t xml:space="preserve">.  </w:t>
      </w:r>
    </w:p>
    <w:p w:rsidR="00B073CB" w:rsidRPr="00050374" w:rsidRDefault="00B073CB" w:rsidP="00B073CB">
      <w:pPr>
        <w:pStyle w:val="TableFigureCaption"/>
        <w:keepNext w:val="0"/>
      </w:pPr>
      <w:r>
        <w:t xml:space="preserve">Table </w:t>
      </w:r>
      <w:r w:rsidR="00B2167A">
        <w:t>3</w:t>
      </w:r>
      <w:r>
        <w:t>-4:</w:t>
      </w:r>
      <w:r w:rsidRPr="00050374">
        <w:t xml:space="preserve"> </w:t>
      </w:r>
      <w:r>
        <w:t xml:space="preserve">Metrics Used to Assess </w:t>
      </w:r>
      <w:r w:rsidR="0004722D">
        <w:t xml:space="preserve">Baseline </w:t>
      </w:r>
      <w:r>
        <w:t>Accuracy</w:t>
      </w:r>
    </w:p>
    <w:tbl>
      <w:tblPr>
        <w:tblW w:w="9480" w:type="dxa"/>
        <w:tblInd w:w="96" w:type="dxa"/>
        <w:tblLook w:val="04A0"/>
      </w:tblPr>
      <w:tblGrid>
        <w:gridCol w:w="1090"/>
        <w:gridCol w:w="1317"/>
        <w:gridCol w:w="4197"/>
        <w:gridCol w:w="2870"/>
        <w:gridCol w:w="6"/>
      </w:tblGrid>
      <w:tr w:rsidR="00E771A0" w:rsidRPr="008737D2" w:rsidTr="00E771A0">
        <w:trPr>
          <w:gridAfter w:val="1"/>
          <w:wAfter w:w="6" w:type="dxa"/>
          <w:trHeight w:val="627"/>
        </w:trPr>
        <w:tc>
          <w:tcPr>
            <w:tcW w:w="1027" w:type="dxa"/>
            <w:tcBorders>
              <w:top w:val="single" w:sz="4" w:space="0" w:color="auto"/>
              <w:left w:val="single" w:sz="4" w:space="0" w:color="auto"/>
              <w:bottom w:val="single" w:sz="4" w:space="0" w:color="auto"/>
              <w:right w:val="single" w:sz="4" w:space="0" w:color="FFFFFF"/>
            </w:tcBorders>
            <w:shd w:val="clear" w:color="000000" w:fill="376091"/>
            <w:noWrap/>
            <w:vAlign w:val="center"/>
            <w:hideMark/>
          </w:tcPr>
          <w:p w:rsidR="00B073CB" w:rsidRDefault="00B073CB" w:rsidP="00CC2233">
            <w:pPr>
              <w:pStyle w:val="TableHeader"/>
            </w:pPr>
            <w:r w:rsidRPr="008737D2">
              <w:t>Type of Metric</w:t>
            </w:r>
          </w:p>
        </w:tc>
        <w:tc>
          <w:tcPr>
            <w:tcW w:w="1326" w:type="dxa"/>
            <w:tcBorders>
              <w:top w:val="single" w:sz="4" w:space="0" w:color="auto"/>
              <w:left w:val="nil"/>
              <w:bottom w:val="single" w:sz="4" w:space="0" w:color="auto"/>
              <w:right w:val="single" w:sz="4" w:space="0" w:color="FFFFFF"/>
            </w:tcBorders>
            <w:shd w:val="clear" w:color="000000" w:fill="376091"/>
            <w:noWrap/>
            <w:vAlign w:val="center"/>
            <w:hideMark/>
          </w:tcPr>
          <w:p w:rsidR="00B073CB" w:rsidRDefault="00B073CB" w:rsidP="00CC2233">
            <w:pPr>
              <w:pStyle w:val="TableHeader"/>
            </w:pPr>
            <w:r w:rsidRPr="008737D2">
              <w:t>Metric</w:t>
            </w:r>
          </w:p>
        </w:tc>
        <w:tc>
          <w:tcPr>
            <w:tcW w:w="4229" w:type="dxa"/>
            <w:tcBorders>
              <w:top w:val="single" w:sz="4" w:space="0" w:color="auto"/>
              <w:left w:val="nil"/>
              <w:bottom w:val="single" w:sz="4" w:space="0" w:color="auto"/>
              <w:right w:val="single" w:sz="4" w:space="0" w:color="FFFFFF"/>
            </w:tcBorders>
            <w:shd w:val="clear" w:color="000000" w:fill="376091"/>
            <w:noWrap/>
            <w:vAlign w:val="center"/>
            <w:hideMark/>
          </w:tcPr>
          <w:p w:rsidR="00B073CB" w:rsidRDefault="00B073CB" w:rsidP="00CC2233">
            <w:pPr>
              <w:pStyle w:val="TableHeader"/>
            </w:pPr>
            <w:r w:rsidRPr="008737D2">
              <w:t>Description</w:t>
            </w:r>
          </w:p>
        </w:tc>
        <w:tc>
          <w:tcPr>
            <w:tcW w:w="2892" w:type="dxa"/>
            <w:tcBorders>
              <w:top w:val="single" w:sz="4" w:space="0" w:color="auto"/>
              <w:left w:val="nil"/>
              <w:bottom w:val="single" w:sz="4" w:space="0" w:color="auto"/>
              <w:right w:val="single" w:sz="4" w:space="0" w:color="auto"/>
            </w:tcBorders>
            <w:shd w:val="clear" w:color="000000" w:fill="376091"/>
            <w:noWrap/>
            <w:vAlign w:val="center"/>
            <w:hideMark/>
          </w:tcPr>
          <w:p w:rsidR="00B073CB" w:rsidRDefault="00B073CB" w:rsidP="00CC2233">
            <w:pPr>
              <w:pStyle w:val="TableHeader"/>
            </w:pPr>
            <w:r w:rsidRPr="008737D2">
              <w:t>Mathematical Expression</w:t>
            </w:r>
          </w:p>
        </w:tc>
      </w:tr>
      <w:tr w:rsidR="0079600B" w:rsidRPr="008737D2" w:rsidTr="00E771A0">
        <w:trPr>
          <w:trHeight w:val="627"/>
        </w:trPr>
        <w:tc>
          <w:tcPr>
            <w:tcW w:w="1027" w:type="dxa"/>
            <w:tcBorders>
              <w:top w:val="nil"/>
              <w:left w:val="single" w:sz="4" w:space="0" w:color="auto"/>
              <w:bottom w:val="single" w:sz="4" w:space="0" w:color="000000"/>
              <w:right w:val="single" w:sz="4" w:space="0" w:color="auto"/>
            </w:tcBorders>
            <w:vAlign w:val="center"/>
            <w:hideMark/>
          </w:tcPr>
          <w:p w:rsidR="00B073CB" w:rsidRDefault="00B073CB" w:rsidP="00CC2233">
            <w:pPr>
              <w:pStyle w:val="TableText"/>
            </w:pPr>
            <w:r>
              <w:t>Bias</w:t>
            </w:r>
          </w:p>
        </w:tc>
        <w:tc>
          <w:tcPr>
            <w:tcW w:w="1326" w:type="dxa"/>
            <w:tcBorders>
              <w:top w:val="nil"/>
              <w:left w:val="nil"/>
              <w:bottom w:val="single" w:sz="4" w:space="0" w:color="auto"/>
              <w:right w:val="single" w:sz="4" w:space="0" w:color="auto"/>
            </w:tcBorders>
            <w:shd w:val="clear" w:color="auto" w:fill="auto"/>
            <w:noWrap/>
            <w:vAlign w:val="center"/>
            <w:hideMark/>
          </w:tcPr>
          <w:p w:rsidR="00B073CB" w:rsidRDefault="00B073CB" w:rsidP="00CC2233">
            <w:pPr>
              <w:pStyle w:val="TableText"/>
            </w:pPr>
            <w:r w:rsidRPr="008737D2">
              <w:t>Mean Percentage Error (MPE)</w:t>
            </w:r>
          </w:p>
        </w:tc>
        <w:tc>
          <w:tcPr>
            <w:tcW w:w="4229" w:type="dxa"/>
            <w:tcBorders>
              <w:top w:val="nil"/>
              <w:left w:val="nil"/>
              <w:bottom w:val="single" w:sz="4" w:space="0" w:color="auto"/>
              <w:right w:val="single" w:sz="4" w:space="0" w:color="auto"/>
            </w:tcBorders>
            <w:shd w:val="clear" w:color="auto" w:fill="auto"/>
            <w:noWrap/>
            <w:vAlign w:val="center"/>
            <w:hideMark/>
          </w:tcPr>
          <w:p w:rsidR="008B5314" w:rsidRDefault="0004722D">
            <w:pPr>
              <w:pStyle w:val="TableText"/>
              <w:jc w:val="left"/>
            </w:pPr>
            <w:r>
              <w:t>M</w:t>
            </w:r>
            <w:r w:rsidR="00B073CB" w:rsidRPr="008737D2">
              <w:t>ean percentage error (MPE) indicates the percentage by which measurement, on average, tends to over or underestimate the true demand</w:t>
            </w:r>
            <w:r w:rsidR="00B073CB">
              <w:t> </w:t>
            </w:r>
            <w:r w:rsidR="00B073CB" w:rsidRPr="008737D2">
              <w:t xml:space="preserve">reduction. </w:t>
            </w:r>
          </w:p>
        </w:tc>
        <w:tc>
          <w:tcPr>
            <w:tcW w:w="2898" w:type="dxa"/>
            <w:gridSpan w:val="2"/>
            <w:tcBorders>
              <w:top w:val="nil"/>
              <w:left w:val="nil"/>
              <w:bottom w:val="single" w:sz="4" w:space="0" w:color="auto"/>
              <w:right w:val="single" w:sz="4" w:space="0" w:color="auto"/>
            </w:tcBorders>
            <w:shd w:val="clear" w:color="auto" w:fill="auto"/>
            <w:noWrap/>
            <w:hideMark/>
          </w:tcPr>
          <w:p w:rsidR="00D42F67" w:rsidRDefault="00B073CB">
            <w:pPr>
              <w:pStyle w:val="TableText"/>
            </w:pPr>
            <w:r>
              <w:rPr>
                <w:rFonts w:ascii="Cambria Math" w:hAnsi="Cambria Math"/>
              </w:rPr>
              <w:br/>
            </w:r>
            <m:oMathPara>
              <m:oMath>
                <m:r>
                  <w:rPr>
                    <w:rFonts w:ascii="Cambria Math" w:hAnsi="Cambria Math"/>
                  </w:rPr>
                  <m:t>MPE=</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i</m:t>
                                </m:r>
                              </m:sub>
                            </m:sSub>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num>
                      <m:den>
                        <m:acc>
                          <m:accPr>
                            <m:chr m:val="̅"/>
                            <m:ctrlPr>
                              <w:rPr>
                                <w:rFonts w:ascii="Cambria Math" w:hAnsi="Cambria Math"/>
                                <w:i/>
                              </w:rPr>
                            </m:ctrlPr>
                          </m:accPr>
                          <m:e>
                            <m:r>
                              <w:rPr>
                                <w:rFonts w:ascii="Cambria Math" w:hAnsi="Cambria Math"/>
                              </w:rPr>
                              <m:t>y</m:t>
                            </m:r>
                          </m:e>
                        </m:acc>
                      </m:den>
                    </m:f>
                  </m:e>
                </m:nary>
                <m:r>
                  <m:rPr>
                    <m:sty m:val="p"/>
                  </m:rPr>
                  <w:rPr>
                    <w:rFonts w:ascii="Cambria Math" w:hAnsi="Cambria Math"/>
                  </w:rPr>
                  <w:br/>
                </m:r>
              </m:oMath>
            </m:oMathPara>
          </w:p>
        </w:tc>
      </w:tr>
      <w:tr w:rsidR="0079600B" w:rsidRPr="008737D2" w:rsidTr="00E771A0">
        <w:trPr>
          <w:gridAfter w:val="1"/>
          <w:wAfter w:w="6" w:type="dxa"/>
          <w:trHeight w:val="627"/>
        </w:trPr>
        <w:tc>
          <w:tcPr>
            <w:tcW w:w="1027" w:type="dxa"/>
            <w:vMerge w:val="restart"/>
            <w:tcBorders>
              <w:top w:val="nil"/>
              <w:left w:val="single" w:sz="4" w:space="0" w:color="auto"/>
              <w:bottom w:val="single" w:sz="4" w:space="0" w:color="000000"/>
              <w:right w:val="single" w:sz="4" w:space="0" w:color="auto"/>
            </w:tcBorders>
            <w:vAlign w:val="center"/>
            <w:hideMark/>
          </w:tcPr>
          <w:p w:rsidR="00B073CB" w:rsidRDefault="00B073CB" w:rsidP="00CC2233">
            <w:pPr>
              <w:pStyle w:val="TableText"/>
            </w:pPr>
            <w:r>
              <w:t>Goodness-of-fit</w:t>
            </w:r>
          </w:p>
        </w:tc>
        <w:tc>
          <w:tcPr>
            <w:tcW w:w="1326" w:type="dxa"/>
            <w:tcBorders>
              <w:top w:val="nil"/>
              <w:left w:val="nil"/>
              <w:bottom w:val="single" w:sz="4" w:space="0" w:color="auto"/>
              <w:right w:val="single" w:sz="4" w:space="0" w:color="auto"/>
            </w:tcBorders>
            <w:shd w:val="clear" w:color="auto" w:fill="auto"/>
            <w:noWrap/>
            <w:vAlign w:val="center"/>
            <w:hideMark/>
          </w:tcPr>
          <w:p w:rsidR="00B073CB" w:rsidRDefault="00B073CB" w:rsidP="00CC2233">
            <w:pPr>
              <w:pStyle w:val="TableText"/>
            </w:pPr>
            <w:r w:rsidRPr="008737D2">
              <w:t>Mean Absolute Percentage Error (MAPE)</w:t>
            </w:r>
          </w:p>
        </w:tc>
        <w:tc>
          <w:tcPr>
            <w:tcW w:w="4229" w:type="dxa"/>
            <w:tcBorders>
              <w:top w:val="nil"/>
              <w:left w:val="nil"/>
              <w:bottom w:val="single" w:sz="4" w:space="0" w:color="auto"/>
              <w:right w:val="single" w:sz="4" w:space="0" w:color="auto"/>
            </w:tcBorders>
            <w:shd w:val="clear" w:color="auto" w:fill="auto"/>
            <w:noWrap/>
            <w:vAlign w:val="center"/>
            <w:hideMark/>
          </w:tcPr>
          <w:p w:rsidR="008B5314" w:rsidRDefault="0004722D">
            <w:pPr>
              <w:pStyle w:val="TableText"/>
              <w:jc w:val="left"/>
            </w:pPr>
            <w:r>
              <w:t>M</w:t>
            </w:r>
            <w:r w:rsidR="00B073CB" w:rsidRPr="008737D2">
              <w:t>ean absolute percentage error (MAPE) is a measure of the relative magnitude of errors across event days, regardless of positive or negative direction.  It is normalized</w:t>
            </w:r>
            <w:r w:rsidR="00B073CB">
              <w:t>,</w:t>
            </w:r>
            <w:r w:rsidR="00B073CB" w:rsidRPr="008737D2">
              <w:t xml:space="preserve"> allowing </w:t>
            </w:r>
            <w:r>
              <w:t xml:space="preserve">for </w:t>
            </w:r>
            <w:r w:rsidR="00B073CB" w:rsidRPr="008737D2">
              <w:t>comparison of results across different data</w:t>
            </w:r>
            <w:r w:rsidR="00B523D8">
              <w:t> </w:t>
            </w:r>
            <w:r w:rsidR="00B073CB" w:rsidRPr="008737D2">
              <w:t xml:space="preserve">sources. </w:t>
            </w:r>
          </w:p>
        </w:tc>
        <w:tc>
          <w:tcPr>
            <w:tcW w:w="2892" w:type="dxa"/>
            <w:tcBorders>
              <w:top w:val="nil"/>
              <w:left w:val="nil"/>
              <w:bottom w:val="single" w:sz="4" w:space="0" w:color="auto"/>
              <w:right w:val="single" w:sz="4" w:space="0" w:color="auto"/>
            </w:tcBorders>
            <w:shd w:val="clear" w:color="auto" w:fill="auto"/>
            <w:noWrap/>
            <w:hideMark/>
          </w:tcPr>
          <w:p w:rsidR="00B073CB" w:rsidRDefault="00B073CB" w:rsidP="00CC2233">
            <w:pPr>
              <w:pStyle w:val="TableText"/>
            </w:pPr>
            <w:r w:rsidRPr="008737D2">
              <w:t> </w:t>
            </w:r>
            <w:r>
              <w:rPr>
                <w:rFonts w:ascii="Cambria Math" w:hAnsi="Cambria Math"/>
              </w:rPr>
              <w:br/>
            </w:r>
            <m:oMathPara>
              <m:oMath>
                <m:r>
                  <w:rPr>
                    <w:rFonts w:ascii="Cambria Math" w:hAnsi="Cambria Math"/>
                  </w:rPr>
                  <m:t>MAPE=</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num>
                          <m:den>
                            <m:sSub>
                              <m:sSubPr>
                                <m:ctrlPr>
                                  <w:rPr>
                                    <w:rFonts w:ascii="Cambria Math" w:hAnsi="Cambria Math"/>
                                    <w:i/>
                                  </w:rPr>
                                </m:ctrlPr>
                              </m:sSubPr>
                              <m:e>
                                <m:r>
                                  <w:rPr>
                                    <w:rFonts w:ascii="Cambria Math" w:hAnsi="Cambria Math"/>
                                  </w:rPr>
                                  <m:t>y</m:t>
                                </m:r>
                              </m:e>
                              <m:sub>
                                <m:r>
                                  <w:rPr>
                                    <w:rFonts w:ascii="Cambria Math" w:hAnsi="Cambria Math"/>
                                  </w:rPr>
                                  <m:t>i</m:t>
                                </m:r>
                              </m:sub>
                            </m:sSub>
                          </m:den>
                        </m:f>
                      </m:e>
                    </m:d>
                  </m:e>
                </m:nary>
              </m:oMath>
            </m:oMathPara>
          </w:p>
        </w:tc>
      </w:tr>
      <w:tr w:rsidR="0079600B" w:rsidRPr="008737D2" w:rsidTr="00E771A0">
        <w:trPr>
          <w:gridAfter w:val="1"/>
          <w:wAfter w:w="6" w:type="dxa"/>
          <w:trHeight w:val="627"/>
        </w:trPr>
        <w:tc>
          <w:tcPr>
            <w:tcW w:w="1027" w:type="dxa"/>
            <w:vMerge/>
            <w:tcBorders>
              <w:top w:val="nil"/>
              <w:left w:val="single" w:sz="4" w:space="0" w:color="auto"/>
              <w:bottom w:val="single" w:sz="4" w:space="0" w:color="000000"/>
              <w:right w:val="single" w:sz="4" w:space="0" w:color="auto"/>
            </w:tcBorders>
            <w:vAlign w:val="center"/>
            <w:hideMark/>
          </w:tcPr>
          <w:p w:rsidR="00B073CB" w:rsidRDefault="00B073CB" w:rsidP="00CC2233">
            <w:pPr>
              <w:pStyle w:val="TableText"/>
            </w:pPr>
          </w:p>
        </w:tc>
        <w:tc>
          <w:tcPr>
            <w:tcW w:w="1326" w:type="dxa"/>
            <w:tcBorders>
              <w:top w:val="nil"/>
              <w:left w:val="nil"/>
              <w:bottom w:val="single" w:sz="4" w:space="0" w:color="auto"/>
              <w:right w:val="single" w:sz="4" w:space="0" w:color="auto"/>
            </w:tcBorders>
            <w:shd w:val="clear" w:color="auto" w:fill="auto"/>
            <w:noWrap/>
            <w:vAlign w:val="center"/>
            <w:hideMark/>
          </w:tcPr>
          <w:p w:rsidR="00B073CB" w:rsidRDefault="00B073CB" w:rsidP="00CC2233">
            <w:pPr>
              <w:pStyle w:val="TableText"/>
            </w:pPr>
            <w:r w:rsidRPr="008737D2">
              <w:t>Root Mean Squared Error (RMSE)</w:t>
            </w:r>
          </w:p>
        </w:tc>
        <w:tc>
          <w:tcPr>
            <w:tcW w:w="4229" w:type="dxa"/>
            <w:tcBorders>
              <w:top w:val="nil"/>
              <w:left w:val="nil"/>
              <w:bottom w:val="single" w:sz="4" w:space="0" w:color="auto"/>
              <w:right w:val="single" w:sz="4" w:space="0" w:color="auto"/>
            </w:tcBorders>
            <w:shd w:val="clear" w:color="auto" w:fill="auto"/>
            <w:noWrap/>
            <w:vAlign w:val="center"/>
            <w:hideMark/>
          </w:tcPr>
          <w:p w:rsidR="008B5314" w:rsidRDefault="0004722D">
            <w:pPr>
              <w:pStyle w:val="TableText"/>
              <w:jc w:val="left"/>
            </w:pPr>
            <w:r>
              <w:t>R</w:t>
            </w:r>
            <w:r w:rsidR="00B073CB" w:rsidRPr="008737D2">
              <w:t xml:space="preserve">oot mean squared error (RMSE) is sensitive to larger errors. </w:t>
            </w:r>
            <w:r w:rsidR="00B073CB">
              <w:t xml:space="preserve"> </w:t>
            </w:r>
            <w:r w:rsidR="00B073CB" w:rsidRPr="008737D2">
              <w:t xml:space="preserve">The squaring process gives disproportionate weight to very large errors, which are then recalibrated by taking the square root.  This metric is not normalized and can only be compared between models whose errors are measured in the same units. </w:t>
            </w:r>
          </w:p>
        </w:tc>
        <w:tc>
          <w:tcPr>
            <w:tcW w:w="2892" w:type="dxa"/>
            <w:tcBorders>
              <w:top w:val="nil"/>
              <w:left w:val="nil"/>
              <w:bottom w:val="single" w:sz="4" w:space="0" w:color="auto"/>
              <w:right w:val="single" w:sz="4" w:space="0" w:color="auto"/>
            </w:tcBorders>
            <w:shd w:val="clear" w:color="auto" w:fill="auto"/>
            <w:noWrap/>
            <w:hideMark/>
          </w:tcPr>
          <w:p w:rsidR="00B073CB" w:rsidRDefault="00B073CB" w:rsidP="00CC2233">
            <w:pPr>
              <w:pStyle w:val="TableText"/>
            </w:pPr>
            <w:r w:rsidRPr="008737D2">
              <w:t> </w:t>
            </w:r>
            <w:r>
              <w:rPr>
                <w:rFonts w:ascii="Cambria Math" w:hAnsi="Cambria Math"/>
              </w:rPr>
              <w:br/>
            </w:r>
            <m:oMathPara>
              <m:oMath>
                <m:r>
                  <w:rPr>
                    <w:rFonts w:ascii="Cambria Math" w:hAnsi="Cambria Math"/>
                  </w:rPr>
                  <m:t>RMSE=</m:t>
                </m:r>
                <m:rad>
                  <m:radPr>
                    <m:degHide m:val="on"/>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e>
                          <m:sup>
                            <m:r>
                              <w:rPr>
                                <w:rFonts w:ascii="Cambria Math" w:hAnsi="Cambria Math"/>
                              </w:rPr>
                              <m:t>2</m:t>
                            </m:r>
                          </m:sup>
                        </m:sSup>
                      </m:e>
                    </m:nary>
                  </m:e>
                </m:rad>
              </m:oMath>
            </m:oMathPara>
          </w:p>
        </w:tc>
      </w:tr>
      <w:tr w:rsidR="0079600B" w:rsidRPr="008737D2" w:rsidTr="00E771A0">
        <w:trPr>
          <w:gridAfter w:val="1"/>
          <w:wAfter w:w="6" w:type="dxa"/>
          <w:trHeight w:val="627"/>
        </w:trPr>
        <w:tc>
          <w:tcPr>
            <w:tcW w:w="1027" w:type="dxa"/>
            <w:vMerge/>
            <w:tcBorders>
              <w:top w:val="nil"/>
              <w:left w:val="single" w:sz="4" w:space="0" w:color="auto"/>
              <w:bottom w:val="single" w:sz="4" w:space="0" w:color="000000"/>
              <w:right w:val="single" w:sz="4" w:space="0" w:color="auto"/>
            </w:tcBorders>
            <w:vAlign w:val="center"/>
            <w:hideMark/>
          </w:tcPr>
          <w:p w:rsidR="00B073CB" w:rsidRDefault="00B073CB" w:rsidP="00CC2233">
            <w:pPr>
              <w:pStyle w:val="TableText"/>
            </w:pPr>
          </w:p>
        </w:tc>
        <w:tc>
          <w:tcPr>
            <w:tcW w:w="1326" w:type="dxa"/>
            <w:tcBorders>
              <w:top w:val="nil"/>
              <w:left w:val="nil"/>
              <w:bottom w:val="single" w:sz="4" w:space="0" w:color="auto"/>
              <w:right w:val="single" w:sz="4" w:space="0" w:color="auto"/>
            </w:tcBorders>
            <w:shd w:val="clear" w:color="auto" w:fill="auto"/>
            <w:noWrap/>
            <w:vAlign w:val="center"/>
            <w:hideMark/>
          </w:tcPr>
          <w:p w:rsidR="00B073CB" w:rsidRDefault="00B073CB" w:rsidP="00CC2233">
            <w:pPr>
              <w:pStyle w:val="TableText"/>
            </w:pPr>
            <w:r w:rsidRPr="008737D2">
              <w:t>CV(RMSE)</w:t>
            </w:r>
          </w:p>
        </w:tc>
        <w:tc>
          <w:tcPr>
            <w:tcW w:w="4229" w:type="dxa"/>
            <w:tcBorders>
              <w:top w:val="nil"/>
              <w:left w:val="nil"/>
              <w:bottom w:val="single" w:sz="4" w:space="0" w:color="auto"/>
              <w:right w:val="single" w:sz="4" w:space="0" w:color="auto"/>
            </w:tcBorders>
            <w:shd w:val="clear" w:color="auto" w:fill="auto"/>
            <w:noWrap/>
            <w:vAlign w:val="center"/>
            <w:hideMark/>
          </w:tcPr>
          <w:p w:rsidR="008B5314" w:rsidRDefault="00B073CB">
            <w:pPr>
              <w:pStyle w:val="TableText"/>
              <w:jc w:val="left"/>
            </w:pPr>
            <w:r w:rsidRPr="008737D2">
              <w:t xml:space="preserve">This metric normalizes the RMSE by dividing it by the average of the actual demand reduction.   </w:t>
            </w:r>
          </w:p>
        </w:tc>
        <w:tc>
          <w:tcPr>
            <w:tcW w:w="2892" w:type="dxa"/>
            <w:tcBorders>
              <w:top w:val="nil"/>
              <w:left w:val="nil"/>
              <w:bottom w:val="single" w:sz="4" w:space="0" w:color="auto"/>
              <w:right w:val="single" w:sz="4" w:space="0" w:color="auto"/>
            </w:tcBorders>
            <w:shd w:val="clear" w:color="auto" w:fill="auto"/>
            <w:noWrap/>
            <w:hideMark/>
          </w:tcPr>
          <w:p w:rsidR="00B073CB" w:rsidRDefault="00B073CB" w:rsidP="00CC2233">
            <w:pPr>
              <w:pStyle w:val="TableText"/>
            </w:pPr>
            <w:r w:rsidRPr="008737D2">
              <w:t> </w:t>
            </w:r>
            <w:r>
              <w:rPr>
                <w:rFonts w:ascii="Cambria Math" w:hAnsi="Cambria Math"/>
              </w:rPr>
              <w:br/>
            </w:r>
            <m:oMathPara>
              <m:oMath>
                <m:r>
                  <w:rPr>
                    <w:rFonts w:ascii="Cambria Math" w:hAnsi="Cambria Math"/>
                  </w:rPr>
                  <m:t>CV(RMSE)=</m:t>
                </m:r>
                <m:f>
                  <m:fPr>
                    <m:ctrlPr>
                      <w:rPr>
                        <w:rFonts w:ascii="Cambria Math" w:hAnsi="Cambria Math"/>
                        <w:i/>
                      </w:rPr>
                    </m:ctrlPr>
                  </m:fPr>
                  <m:num>
                    <m:r>
                      <w:rPr>
                        <w:rFonts w:ascii="Cambria Math" w:hAnsi="Cambria Math"/>
                      </w:rPr>
                      <m:t>RMSE</m:t>
                    </m:r>
                  </m:num>
                  <m:den>
                    <m:acc>
                      <m:accPr>
                        <m:chr m:val="̅"/>
                        <m:ctrlPr>
                          <w:rPr>
                            <w:rFonts w:ascii="Cambria Math" w:hAnsi="Cambria Math"/>
                            <w:i/>
                          </w:rPr>
                        </m:ctrlPr>
                      </m:accPr>
                      <m:e>
                        <m:r>
                          <w:rPr>
                            <w:rFonts w:ascii="Cambria Math" w:hAnsi="Cambria Math"/>
                          </w:rPr>
                          <m:t>y</m:t>
                        </m:r>
                      </m:e>
                    </m:acc>
                  </m:den>
                </m:f>
              </m:oMath>
            </m:oMathPara>
          </w:p>
        </w:tc>
      </w:tr>
    </w:tbl>
    <w:p w:rsidR="00B073CB" w:rsidRDefault="00B073CB" w:rsidP="00B523D8">
      <w:pPr>
        <w:pStyle w:val="BodyParaAfterTableFigure"/>
      </w:pPr>
      <w:r w:rsidRPr="008271A6">
        <w:rPr>
          <w:rStyle w:val="BodyParagraphChar"/>
        </w:rPr>
        <w:lastRenderedPageBreak/>
        <w:t>Throughout the baseline accuracy sections, we will use two types of accuracy measurements.</w:t>
      </w:r>
      <w:r w:rsidR="0004722D">
        <w:rPr>
          <w:rStyle w:val="BodyParagraphChar"/>
        </w:rPr>
        <w:t xml:space="preserve"> </w:t>
      </w:r>
      <w:r w:rsidRPr="008271A6">
        <w:rPr>
          <w:rStyle w:val="BodyParagraphChar"/>
        </w:rPr>
        <w:t xml:space="preserve"> The first is bias; the second is goodness of fit. </w:t>
      </w:r>
      <w:r w:rsidR="0004722D">
        <w:rPr>
          <w:rStyle w:val="BodyParagraphChar"/>
        </w:rPr>
        <w:t xml:space="preserve"> </w:t>
      </w:r>
      <w:r w:rsidRPr="008271A6">
        <w:rPr>
          <w:rStyle w:val="BodyParagraphChar"/>
        </w:rPr>
        <w:t xml:space="preserve">Bias denotes the error in baselines and impacts, on average. </w:t>
      </w:r>
      <w:r w:rsidR="0004722D">
        <w:rPr>
          <w:rStyle w:val="BodyParagraphChar"/>
        </w:rPr>
        <w:t xml:space="preserve"> </w:t>
      </w:r>
      <w:r w:rsidRPr="008271A6">
        <w:rPr>
          <w:rStyle w:val="BodyParagraphChar"/>
        </w:rPr>
        <w:t xml:space="preserve">Thus, if three impacts show an error of -4%, +1%, and +6% when compared to the expected value, the bias is defined </w:t>
      </w:r>
      <w:r w:rsidRPr="00B523D8">
        <w:rPr>
          <w:rStyle w:val="BodyParagraphChar"/>
        </w:rPr>
        <w:t>as</w:t>
      </w:r>
      <w:r w:rsidRPr="008271A6">
        <w:rPr>
          <w:rStyle w:val="BodyParagraphChar"/>
        </w:rPr>
        <w:t xml:space="preserve"> the average of these three values, or +1%.</w:t>
      </w:r>
      <w:r w:rsidR="0004722D">
        <w:rPr>
          <w:rStyle w:val="BodyParagraphChar"/>
        </w:rPr>
        <w:t xml:space="preserve"> We use three types of goodness</w:t>
      </w:r>
      <w:r w:rsidRPr="008271A6">
        <w:rPr>
          <w:rStyle w:val="BodyParagraphChar"/>
        </w:rPr>
        <w:t xml:space="preserve">-of-fit measures in this report, the simplest of which (mean absolute percent error) takes the average of the absolute value, or 3.6%. </w:t>
      </w:r>
      <w:r w:rsidR="00032DE7">
        <w:rPr>
          <w:rStyle w:val="BodyParagraphChar"/>
        </w:rPr>
        <w:t xml:space="preserve"> </w:t>
      </w:r>
      <w:r w:rsidRPr="008271A6">
        <w:rPr>
          <w:rStyle w:val="BodyParagraphChar"/>
        </w:rPr>
        <w:t>These two types of accuracy metrics recognize that it is just as important to be accurate for the average customer or the average event as it is to minimize the general amount of error present for individual customers</w:t>
      </w:r>
      <w:r>
        <w:t xml:space="preserve"> or individual events.</w:t>
      </w:r>
    </w:p>
    <w:p w:rsidR="00B073CB" w:rsidRDefault="00B073CB" w:rsidP="00B073CB">
      <w:pPr>
        <w:pStyle w:val="Heading2"/>
      </w:pPr>
      <w:bookmarkStart w:id="98" w:name="_Toc318472352"/>
      <w:bookmarkStart w:id="99" w:name="_Toc318789293"/>
      <w:bookmarkStart w:id="100" w:name="_Toc324232566"/>
      <w:bookmarkStart w:id="101" w:name="_Toc326150811"/>
      <w:r>
        <w:t>PG&amp;E Settlement Baseline Accuracy Analysis</w:t>
      </w:r>
      <w:bookmarkEnd w:id="98"/>
      <w:bookmarkEnd w:id="99"/>
      <w:bookmarkEnd w:id="100"/>
      <w:bookmarkEnd w:id="101"/>
    </w:p>
    <w:p w:rsidR="00B073CB" w:rsidRDefault="00B073CB" w:rsidP="00B073CB">
      <w:pPr>
        <w:pStyle w:val="BodyParagraph"/>
      </w:pPr>
      <w:r>
        <w:t xml:space="preserve">Figure </w:t>
      </w:r>
      <w:r w:rsidR="00032DE7">
        <w:t>3</w:t>
      </w:r>
      <w:r>
        <w:t xml:space="preserve">-1 shows the extent to which each baseline </w:t>
      </w:r>
      <w:r w:rsidR="00032DE7">
        <w:t xml:space="preserve">method </w:t>
      </w:r>
      <w:r>
        <w:t>underestimates demand reductions for PG&amp;E’s A</w:t>
      </w:r>
      <w:r w:rsidR="00032DE7">
        <w:t xml:space="preserve">MP program for both the by </w:t>
      </w:r>
      <w:r w:rsidR="00E535D9">
        <w:t>day-of</w:t>
      </w:r>
      <w:r w:rsidR="00032DE7">
        <w:t xml:space="preserve"> and </w:t>
      </w:r>
      <w:r w:rsidR="00E535D9">
        <w:t>day-ahead</w:t>
      </w:r>
      <w:r>
        <w:t xml:space="preserve"> </w:t>
      </w:r>
      <w:r w:rsidR="00032DE7">
        <w:t>resources</w:t>
      </w:r>
      <w:r>
        <w:t xml:space="preserve">. </w:t>
      </w:r>
      <w:r w:rsidR="00032DE7">
        <w:t xml:space="preserve"> </w:t>
      </w:r>
      <w:r>
        <w:t xml:space="preserve">Table </w:t>
      </w:r>
      <w:r w:rsidR="00032DE7">
        <w:t>3-5</w:t>
      </w:r>
      <w:r>
        <w:t xml:space="preserve"> sh</w:t>
      </w:r>
      <w:r w:rsidR="00032DE7">
        <w:t>ows the same information in tabular</w:t>
      </w:r>
      <w:r>
        <w:t xml:space="preserve"> form.  A concrete example is helpful for understanding how to interpret the figure.  For example, the individual, universally adjusted </w:t>
      </w:r>
      <w:r w:rsidR="00032DE7">
        <w:t xml:space="preserve">unlimited </w:t>
      </w:r>
      <w:r>
        <w:t>baseline for DA has an error of -4.7%, meaning that if an aggregator provides 1 MW of load reduction, they only get credit for 0.953 MW of that load</w:t>
      </w:r>
      <w:r w:rsidR="00B523D8">
        <w:t> </w:t>
      </w:r>
      <w:r>
        <w:t xml:space="preserve">reduction. </w:t>
      </w:r>
    </w:p>
    <w:p w:rsidR="00B073CB" w:rsidRPr="00DD3F20" w:rsidRDefault="00032DE7" w:rsidP="00B073CB">
      <w:pPr>
        <w:pStyle w:val="TableFigureCaption"/>
      </w:pPr>
      <w:r>
        <w:t xml:space="preserve">Figure 3-1: </w:t>
      </w:r>
      <w:r w:rsidR="00B073CB">
        <w:t>Bias by Baseline Type</w:t>
      </w:r>
      <w:r>
        <w:t xml:space="preserve"> for PG&amp;E’s AMP Program</w:t>
      </w:r>
      <w:r w:rsidR="001E23BF">
        <w:rPr>
          <w:rStyle w:val="FootnoteReference"/>
        </w:rPr>
        <w:footnoteReference w:id="14"/>
      </w:r>
    </w:p>
    <w:p w:rsidR="002E1347" w:rsidRDefault="008B5314" w:rsidP="002E1347">
      <w:pPr>
        <w:pStyle w:val="BodyParagraph"/>
      </w:pPr>
      <w:r>
        <w:rPr>
          <w:noProof/>
        </w:rPr>
        <w:drawing>
          <wp:inline distT="0" distB="0" distL="0" distR="0">
            <wp:extent cx="5943600" cy="2933700"/>
            <wp:effectExtent l="19050" t="0" r="1905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073CB" w:rsidRPr="00FA7A04" w:rsidRDefault="008B5314" w:rsidP="00B523D8">
      <w:pPr>
        <w:pStyle w:val="BodyParaAfterTableFigure"/>
      </w:pPr>
      <w:r>
        <w:rPr>
          <w:noProof/>
        </w:rPr>
        <w:lastRenderedPageBreak/>
        <w:drawing>
          <wp:inline distT="0" distB="0" distL="0" distR="0">
            <wp:extent cx="5943600" cy="2933700"/>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B073CB">
        <w:t xml:space="preserve">Each set of baseline rules underestimates the true impact, but the degree of bias varies. </w:t>
      </w:r>
      <w:r w:rsidR="001E23BF">
        <w:t xml:space="preserve"> </w:t>
      </w:r>
      <w:r w:rsidR="00B073CB">
        <w:t xml:space="preserve">As the adjustment cap is loosened, the tendency to underestimate reductions decreases; moreover, as adjustments are applied at the settlement portfolio level and become </w:t>
      </w:r>
      <w:r w:rsidR="00CE3792">
        <w:t>universal</w:t>
      </w:r>
      <w:r w:rsidR="00B073CB">
        <w:t xml:space="preserve">, error decreases further.  This is in keeping with the expected pattern. </w:t>
      </w:r>
      <w:r w:rsidR="001E23BF">
        <w:t xml:space="preserve"> </w:t>
      </w:r>
      <w:r w:rsidR="00B073CB">
        <w:t xml:space="preserve">Loosening the adjustment cap allows for those baselines needing a more extreme in-day adjustment to be corrected, thus decreasing the error. </w:t>
      </w:r>
      <w:r w:rsidR="001E23BF">
        <w:t xml:space="preserve"> </w:t>
      </w:r>
      <w:r w:rsidR="00B073CB">
        <w:t>Furthermore, making the adjustment universal decreases errors because it forces all accounts to apply in-day adjustments, which usually have the effect of decreasing error.</w:t>
      </w:r>
      <w:r w:rsidR="00B073CB">
        <w:rPr>
          <w:rStyle w:val="FootnoteReference"/>
        </w:rPr>
        <w:footnoteReference w:id="15"/>
      </w:r>
      <w:r w:rsidR="00B073CB">
        <w:t xml:space="preserve">  Finally, applying adjustments at the settlement portfolio level can also decreases errors because aggregation smoothes out the errors observed at the individual customer level. </w:t>
      </w:r>
      <w:r w:rsidR="00A709E1">
        <w:t xml:space="preserve"> </w:t>
      </w:r>
      <w:r w:rsidR="00B073CB">
        <w:t>Calculating baselines for aggregated loads usually</w:t>
      </w:r>
      <w:r w:rsidR="00A709E1">
        <w:t xml:space="preserve"> helps when underlying </w:t>
      </w:r>
      <w:r w:rsidR="00B073CB">
        <w:t xml:space="preserve">loads are volatile. </w:t>
      </w:r>
      <w:r w:rsidR="00A709E1">
        <w:t xml:space="preserve"> </w:t>
      </w:r>
      <w:r w:rsidR="00B073CB">
        <w:t xml:space="preserve">However, when customer loads are stable and predictable, individual baselines can produce more accurate results. </w:t>
      </w:r>
    </w:p>
    <w:p w:rsidR="00B073CB" w:rsidRDefault="00EB384F" w:rsidP="00B073CB">
      <w:pPr>
        <w:pStyle w:val="BodyParagraph"/>
      </w:pPr>
      <w:r>
        <w:t>Figure 3</w:t>
      </w:r>
      <w:r w:rsidR="00B073CB">
        <w:t xml:space="preserve">-2 shows the extent to which each baseline </w:t>
      </w:r>
      <w:r w:rsidR="00A709E1">
        <w:t xml:space="preserve">method </w:t>
      </w:r>
      <w:r w:rsidR="00B073CB">
        <w:t>under</w:t>
      </w:r>
      <w:r w:rsidR="00A709E1">
        <w:t xml:space="preserve"> or over</w:t>
      </w:r>
      <w:r w:rsidR="00B073CB">
        <w:t>estimates demand reductions for PG&amp;E’s C</w:t>
      </w:r>
      <w:r w:rsidR="00A709E1">
        <w:t xml:space="preserve">BP Program for both the </w:t>
      </w:r>
      <w:r w:rsidR="00E535D9">
        <w:t>day-of</w:t>
      </w:r>
      <w:r w:rsidR="00A709E1">
        <w:t xml:space="preserve"> and </w:t>
      </w:r>
      <w:r w:rsidR="00E535D9">
        <w:t>day-ahead</w:t>
      </w:r>
      <w:r w:rsidR="00B073CB">
        <w:t xml:space="preserve"> </w:t>
      </w:r>
      <w:r w:rsidR="00A709E1">
        <w:t>resources</w:t>
      </w:r>
      <w:r w:rsidR="00B073CB">
        <w:t xml:space="preserve">. </w:t>
      </w:r>
      <w:r w:rsidR="00A709E1">
        <w:t xml:space="preserve"> Table 3-5</w:t>
      </w:r>
      <w:r w:rsidR="00B073CB">
        <w:t xml:space="preserve"> sho</w:t>
      </w:r>
      <w:r w:rsidR="00A709E1">
        <w:t>ws the same information in tabular</w:t>
      </w:r>
      <w:r w:rsidR="00B073CB">
        <w:t xml:space="preserve"> form.  </w:t>
      </w:r>
      <w:r w:rsidR="00A709E1">
        <w:t xml:space="preserve">Impacts are </w:t>
      </w:r>
      <w:r w:rsidR="00B073CB">
        <w:t>underestimate</w:t>
      </w:r>
      <w:r w:rsidR="00A709E1">
        <w:t>d</w:t>
      </w:r>
      <w:r w:rsidR="00B073CB">
        <w:t xml:space="preserve"> for almost all baseline</w:t>
      </w:r>
      <w:r w:rsidR="00A709E1">
        <w:t xml:space="preserve"> option</w:t>
      </w:r>
      <w:r w:rsidR="00B073CB">
        <w:t xml:space="preserve">s except </w:t>
      </w:r>
      <w:r w:rsidR="00A709E1">
        <w:t xml:space="preserve">for </w:t>
      </w:r>
      <w:r w:rsidR="00B073CB">
        <w:t>the aggre</w:t>
      </w:r>
      <w:r w:rsidR="00A709E1">
        <w:t xml:space="preserve">gator choice, unlimited adjustment baselines for the </w:t>
      </w:r>
      <w:r w:rsidR="00E535D9">
        <w:t>day-ahead</w:t>
      </w:r>
      <w:r w:rsidR="00A709E1">
        <w:t xml:space="preserve"> resource and the universal, unlimited adjustment option for </w:t>
      </w:r>
      <w:r w:rsidR="00E535D9">
        <w:t>day-of</w:t>
      </w:r>
      <w:r w:rsidR="00A709E1">
        <w:t xml:space="preserve"> resources</w:t>
      </w:r>
      <w:r w:rsidR="00B073CB">
        <w:t xml:space="preserve">. </w:t>
      </w:r>
    </w:p>
    <w:p w:rsidR="00B523D8" w:rsidRDefault="00B073CB" w:rsidP="00B073CB">
      <w:pPr>
        <w:pStyle w:val="TableFigureCaption"/>
      </w:pPr>
      <w:r>
        <w:lastRenderedPageBreak/>
        <w:t>Figur</w:t>
      </w:r>
      <w:r w:rsidRPr="00B523D8">
        <w:t>e</w:t>
      </w:r>
      <w:r w:rsidR="00EB384F">
        <w:t xml:space="preserve"> 3</w:t>
      </w:r>
      <w:r>
        <w:t>-2: CBP Bias by Baseline Type</w:t>
      </w:r>
    </w:p>
    <w:p w:rsidR="002E1347" w:rsidRPr="002E0547" w:rsidRDefault="008B5314" w:rsidP="002E1347">
      <w:pPr>
        <w:pStyle w:val="TableFigureCaption"/>
      </w:pPr>
      <w:r>
        <w:rPr>
          <w:noProof/>
        </w:rPr>
        <w:drawing>
          <wp:inline distT="0" distB="0" distL="0" distR="0">
            <wp:extent cx="5943600" cy="2938780"/>
            <wp:effectExtent l="19050" t="0" r="19050" b="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B5314" w:rsidRDefault="008B5314">
      <w:pPr>
        <w:pStyle w:val="BodyParaAfterTableFigure"/>
      </w:pPr>
      <w:r>
        <w:rPr>
          <w:rFonts w:ascii="Arial" w:hAnsi="Arial"/>
          <w:noProof/>
          <w:sz w:val="22"/>
        </w:rPr>
        <w:drawing>
          <wp:inline distT="0" distB="0" distL="0" distR="0">
            <wp:extent cx="5943600" cy="2938780"/>
            <wp:effectExtent l="19050" t="0" r="1905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B073CB">
        <w:t xml:space="preserve">Note that for DA customers, the bias </w:t>
      </w:r>
      <w:r w:rsidR="00B073CB" w:rsidRPr="00092AE5">
        <w:rPr>
          <w:i/>
        </w:rPr>
        <w:t>do</w:t>
      </w:r>
      <w:r w:rsidR="00B073CB">
        <w:rPr>
          <w:i/>
        </w:rPr>
        <w:t>es</w:t>
      </w:r>
      <w:r w:rsidR="00B073CB" w:rsidRPr="00092AE5">
        <w:rPr>
          <w:i/>
        </w:rPr>
        <w:t xml:space="preserve"> not</w:t>
      </w:r>
      <w:r w:rsidR="00B073CB">
        <w:t xml:space="preserve"> generally decrease as the adjustment becomes mandatory, is applied at the set</w:t>
      </w:r>
      <w:r w:rsidR="00A709E1">
        <w:t xml:space="preserve">tlement portfolio level, and </w:t>
      </w:r>
      <w:r w:rsidR="00B073CB">
        <w:t xml:space="preserve">the adjustment cap is loosened. </w:t>
      </w:r>
      <w:r w:rsidR="00A709E1">
        <w:t xml:space="preserve"> </w:t>
      </w:r>
      <w:r w:rsidR="00B073CB">
        <w:t xml:space="preserve">Bias does not decrease when the adjustment is mandatory because the vast majority of DA customers already choose the </w:t>
      </w:r>
      <w:r w:rsidR="00E535D9">
        <w:t>same-day</w:t>
      </w:r>
      <w:r w:rsidR="00B073CB">
        <w:t xml:space="preserve"> adjustment; thus, making the adjustment mandatory does not reduce the errors further.  In addition, applying the adjustment at the settlement portfolio level has very little impact on the errors because a few customers provide the bulk of the impacts, thus limiting the efficacy of adjusting baselines at the settlement portfolio level. </w:t>
      </w:r>
      <w:r w:rsidR="00A709E1">
        <w:t xml:space="preserve"> </w:t>
      </w:r>
      <w:r w:rsidR="00B073CB">
        <w:t>The largest CBP DA customers are about 120 times the size of the median CBP DA customer, meaning that the impacts are highly concentrated among a handful of customers.</w:t>
      </w:r>
      <w:r w:rsidR="002E1347">
        <w:br w:type="page"/>
      </w:r>
    </w:p>
    <w:p w:rsidR="00B073CB" w:rsidRPr="00DD3F20" w:rsidRDefault="00EB384F" w:rsidP="00B073CB">
      <w:pPr>
        <w:pStyle w:val="TableFigureCaption"/>
      </w:pPr>
      <w:r>
        <w:lastRenderedPageBreak/>
        <w:t>Table 3</w:t>
      </w:r>
      <w:r w:rsidR="00A709E1">
        <w:t>-5: Bi</w:t>
      </w:r>
      <w:r w:rsidR="00B073CB">
        <w:t>as by Baseline Type</w:t>
      </w:r>
      <w:r w:rsidR="00A709E1">
        <w:t xml:space="preserve"> for PG&amp;E’s AMP and CBP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1097"/>
        <w:gridCol w:w="1097"/>
        <w:gridCol w:w="822"/>
        <w:gridCol w:w="724"/>
        <w:gridCol w:w="822"/>
        <w:gridCol w:w="724"/>
        <w:gridCol w:w="822"/>
        <w:gridCol w:w="724"/>
        <w:gridCol w:w="822"/>
        <w:gridCol w:w="724"/>
      </w:tblGrid>
      <w:tr w:rsidR="00D17D84" w:rsidRPr="00D17D84" w:rsidTr="002E1347">
        <w:trPr>
          <w:trHeight w:val="300"/>
        </w:trPr>
        <w:tc>
          <w:tcPr>
            <w:tcW w:w="0" w:type="auto"/>
            <w:vMerge w:val="restart"/>
            <w:tcBorders>
              <w:right w:val="single" w:sz="4" w:space="0" w:color="FFFFFF" w:themeColor="background1"/>
            </w:tcBorders>
            <w:shd w:val="clear" w:color="000000" w:fill="376091"/>
            <w:vAlign w:val="center"/>
            <w:hideMark/>
          </w:tcPr>
          <w:p w:rsidR="00D17D84" w:rsidRPr="00D17D84" w:rsidRDefault="00464E41" w:rsidP="00D17D84">
            <w:pPr>
              <w:tabs>
                <w:tab w:val="center" w:pos="4320"/>
                <w:tab w:val="right" w:pos="8640"/>
              </w:tabs>
              <w:spacing w:after="0" w:line="240" w:lineRule="auto"/>
              <w:jc w:val="center"/>
              <w:rPr>
                <w:rFonts w:ascii="Arial" w:eastAsia="Times New Roman" w:hAnsi="Arial" w:cs="Arial"/>
                <w:b/>
                <w:bCs/>
                <w:color w:val="FFFFFF"/>
                <w:sz w:val="16"/>
                <w:szCs w:val="18"/>
              </w:rPr>
            </w:pPr>
            <w:bookmarkStart w:id="102" w:name="_Toc285282262"/>
            <w:bookmarkStart w:id="103" w:name="_Toc285283976"/>
            <w:bookmarkStart w:id="104" w:name="_Toc285282263"/>
            <w:bookmarkStart w:id="105" w:name="_Toc285283977"/>
            <w:bookmarkStart w:id="106" w:name="_Toc314582349"/>
            <w:bookmarkEnd w:id="102"/>
            <w:bookmarkEnd w:id="103"/>
            <w:bookmarkEnd w:id="104"/>
            <w:bookmarkEnd w:id="105"/>
            <w:r w:rsidRPr="00464E41">
              <w:rPr>
                <w:rFonts w:ascii="Arial" w:eastAsia="Times New Roman" w:hAnsi="Arial" w:cs="Arial"/>
                <w:b/>
                <w:bCs/>
                <w:color w:val="FFFFFF"/>
                <w:sz w:val="16"/>
                <w:szCs w:val="18"/>
              </w:rPr>
              <w:t>Application of Baselines</w:t>
            </w:r>
          </w:p>
        </w:tc>
        <w:tc>
          <w:tcPr>
            <w:tcW w:w="0" w:type="auto"/>
            <w:vMerge w:val="restart"/>
            <w:tcBorders>
              <w:left w:val="single" w:sz="4" w:space="0" w:color="FFFFFF" w:themeColor="background1"/>
              <w:right w:val="single" w:sz="4" w:space="0" w:color="FFFFFF" w:themeColor="background1"/>
            </w:tcBorders>
            <w:shd w:val="clear" w:color="000000" w:fill="376091"/>
            <w:vAlign w:val="center"/>
            <w:hideMark/>
          </w:tcPr>
          <w:p w:rsidR="00D17D84" w:rsidRPr="00D17D84" w:rsidRDefault="00464E41" w:rsidP="00D17D84">
            <w:pPr>
              <w:tabs>
                <w:tab w:val="center" w:pos="4320"/>
                <w:tab w:val="right" w:pos="8640"/>
              </w:tabs>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Adjustment Option</w:t>
            </w:r>
          </w:p>
        </w:tc>
        <w:tc>
          <w:tcPr>
            <w:tcW w:w="0" w:type="auto"/>
            <w:vMerge w:val="restart"/>
            <w:tcBorders>
              <w:left w:val="single" w:sz="4" w:space="0" w:color="FFFFFF" w:themeColor="background1"/>
              <w:right w:val="single" w:sz="4" w:space="0" w:color="FFFFFF" w:themeColor="background1"/>
            </w:tcBorders>
            <w:shd w:val="clear" w:color="000000" w:fill="376091"/>
            <w:vAlign w:val="center"/>
            <w:hideMark/>
          </w:tcPr>
          <w:p w:rsidR="00D17D84" w:rsidRPr="00D17D84" w:rsidRDefault="00464E41" w:rsidP="00D17D84">
            <w:pPr>
              <w:tabs>
                <w:tab w:val="center" w:pos="4320"/>
                <w:tab w:val="right" w:pos="8640"/>
              </w:tabs>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Adjustment Cap</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shd w:val="clear" w:color="000000" w:fill="376091"/>
            <w:noWrap/>
            <w:vAlign w:val="center"/>
            <w:hideMark/>
          </w:tcPr>
          <w:p w:rsidR="00D17D84" w:rsidRPr="00D17D84" w:rsidRDefault="00464E41" w:rsidP="00D17D84">
            <w:pPr>
              <w:tabs>
                <w:tab w:val="center" w:pos="4320"/>
                <w:tab w:val="right" w:pos="8640"/>
              </w:tabs>
              <w:spacing w:after="0" w:line="240" w:lineRule="auto"/>
              <w:jc w:val="center"/>
              <w:rPr>
                <w:rFonts w:ascii="Arial" w:eastAsia="Times New Roman" w:hAnsi="Arial" w:cs="Arial"/>
                <w:b/>
                <w:bCs/>
                <w:color w:val="FFFFFF"/>
                <w:sz w:val="16"/>
                <w:szCs w:val="20"/>
              </w:rPr>
            </w:pPr>
            <w:r w:rsidRPr="00464E41">
              <w:rPr>
                <w:rFonts w:ascii="Arial" w:eastAsia="Times New Roman" w:hAnsi="Arial" w:cs="Arial"/>
                <w:b/>
                <w:bCs/>
                <w:color w:val="FFFFFF"/>
                <w:sz w:val="16"/>
                <w:szCs w:val="20"/>
              </w:rPr>
              <w:t>Aggregator Contracts</w:t>
            </w:r>
          </w:p>
        </w:tc>
        <w:tc>
          <w:tcPr>
            <w:tcW w:w="0" w:type="auto"/>
            <w:gridSpan w:val="4"/>
            <w:tcBorders>
              <w:left w:val="single" w:sz="4" w:space="0" w:color="FFFFFF" w:themeColor="background1"/>
              <w:bottom w:val="single" w:sz="4" w:space="0" w:color="FFFFFF" w:themeColor="background1"/>
            </w:tcBorders>
            <w:shd w:val="clear" w:color="000000" w:fill="376091"/>
            <w:noWrap/>
            <w:vAlign w:val="center"/>
            <w:hideMark/>
          </w:tcPr>
          <w:p w:rsidR="00D17D84" w:rsidRPr="00D17D84" w:rsidRDefault="00464E41" w:rsidP="00D17D84">
            <w:pPr>
              <w:tabs>
                <w:tab w:val="center" w:pos="4320"/>
                <w:tab w:val="right" w:pos="8640"/>
              </w:tabs>
              <w:spacing w:after="0" w:line="240" w:lineRule="auto"/>
              <w:jc w:val="center"/>
              <w:rPr>
                <w:rFonts w:ascii="Arial" w:eastAsia="Times New Roman" w:hAnsi="Arial" w:cs="Arial"/>
                <w:b/>
                <w:bCs/>
                <w:color w:val="FFFFFF"/>
                <w:sz w:val="16"/>
                <w:szCs w:val="20"/>
              </w:rPr>
            </w:pPr>
            <w:r w:rsidRPr="00464E41">
              <w:rPr>
                <w:rFonts w:ascii="Arial" w:eastAsia="Times New Roman" w:hAnsi="Arial" w:cs="Arial"/>
                <w:b/>
                <w:bCs/>
                <w:color w:val="FFFFFF"/>
                <w:sz w:val="16"/>
                <w:szCs w:val="20"/>
              </w:rPr>
              <w:t>Capacity Bidding Program</w:t>
            </w:r>
          </w:p>
        </w:tc>
      </w:tr>
      <w:tr w:rsidR="00D17D84" w:rsidRPr="00D17D84" w:rsidTr="002E1347">
        <w:trPr>
          <w:trHeight w:val="300"/>
        </w:trPr>
        <w:tc>
          <w:tcPr>
            <w:tcW w:w="0" w:type="auto"/>
            <w:vMerge/>
            <w:tcBorders>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76091"/>
            <w:noWrap/>
            <w:vAlign w:val="center"/>
            <w:hideMark/>
          </w:tcPr>
          <w:p w:rsidR="008B5314" w:rsidRDefault="00464E41">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Day-Of</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76091"/>
            <w:noWrap/>
            <w:vAlign w:val="center"/>
            <w:hideMark/>
          </w:tcPr>
          <w:p w:rsidR="008B5314" w:rsidRDefault="00464E41">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Day-Ahead</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376091"/>
            <w:noWrap/>
            <w:vAlign w:val="center"/>
            <w:hideMark/>
          </w:tcPr>
          <w:p w:rsidR="008B5314" w:rsidRDefault="00464E41">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Day-Of</w:t>
            </w:r>
          </w:p>
        </w:tc>
        <w:tc>
          <w:tcPr>
            <w:tcW w:w="0" w:type="auto"/>
            <w:gridSpan w:val="2"/>
            <w:tcBorders>
              <w:top w:val="single" w:sz="4" w:space="0" w:color="FFFFFF" w:themeColor="background1"/>
              <w:left w:val="single" w:sz="4" w:space="0" w:color="FFFFFF" w:themeColor="background1"/>
              <w:bottom w:val="single" w:sz="4" w:space="0" w:color="FFFFFF" w:themeColor="background1"/>
            </w:tcBorders>
            <w:shd w:val="clear" w:color="000000" w:fill="376091"/>
            <w:noWrap/>
            <w:vAlign w:val="center"/>
            <w:hideMark/>
          </w:tcPr>
          <w:p w:rsidR="00D17D84" w:rsidRPr="00D17D84" w:rsidRDefault="00464E41" w:rsidP="00D17D84">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Day-Ahead</w:t>
            </w:r>
          </w:p>
        </w:tc>
      </w:tr>
      <w:tr w:rsidR="00493D11" w:rsidRPr="00D17D84" w:rsidTr="002E1347">
        <w:trPr>
          <w:trHeight w:val="300"/>
        </w:trPr>
        <w:tc>
          <w:tcPr>
            <w:tcW w:w="0" w:type="auto"/>
            <w:vMerge/>
            <w:tcBorders>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8B5314" w:rsidRDefault="00464E41">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Est. Impacts</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8B5314" w:rsidRDefault="00464E41">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Error (MPE)</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8B5314" w:rsidRDefault="00464E41">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Est. Impacts</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8B5314" w:rsidRDefault="00464E41">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Error (MPE)</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8B5314" w:rsidRDefault="00464E41">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Est. Impacts</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D17D84" w:rsidRPr="00D17D84" w:rsidRDefault="00464E41" w:rsidP="00D17D84">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Error (MPE)</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D17D84" w:rsidRPr="00D17D84" w:rsidRDefault="00464E41" w:rsidP="00D17D84">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Est. Impacts</w:t>
            </w:r>
          </w:p>
        </w:tc>
        <w:tc>
          <w:tcPr>
            <w:tcW w:w="0" w:type="auto"/>
            <w:vMerge w:val="restart"/>
            <w:tcBorders>
              <w:top w:val="single" w:sz="4" w:space="0" w:color="FFFFFF" w:themeColor="background1"/>
              <w:left w:val="single" w:sz="4" w:space="0" w:color="FFFFFF" w:themeColor="background1"/>
            </w:tcBorders>
            <w:shd w:val="clear" w:color="000000" w:fill="376091"/>
            <w:vAlign w:val="center"/>
            <w:hideMark/>
          </w:tcPr>
          <w:p w:rsidR="00D17D84" w:rsidRPr="00D17D84" w:rsidRDefault="00464E41" w:rsidP="00D17D84">
            <w:pPr>
              <w:spacing w:after="0" w:line="240" w:lineRule="auto"/>
              <w:jc w:val="center"/>
              <w:rPr>
                <w:rFonts w:ascii="Arial" w:eastAsia="Times New Roman" w:hAnsi="Arial" w:cs="Arial"/>
                <w:b/>
                <w:bCs/>
                <w:color w:val="FFFFFF"/>
                <w:sz w:val="16"/>
                <w:szCs w:val="18"/>
              </w:rPr>
            </w:pPr>
            <w:r w:rsidRPr="00464E41">
              <w:rPr>
                <w:rFonts w:ascii="Arial" w:eastAsia="Times New Roman" w:hAnsi="Arial" w:cs="Arial"/>
                <w:b/>
                <w:bCs/>
                <w:color w:val="FFFFFF"/>
                <w:sz w:val="16"/>
                <w:szCs w:val="18"/>
              </w:rPr>
              <w:t>Error (MPE)</w:t>
            </w:r>
          </w:p>
        </w:tc>
      </w:tr>
      <w:tr w:rsidR="00D17D84" w:rsidRPr="00D17D84" w:rsidTr="002E1347">
        <w:trPr>
          <w:trHeight w:val="300"/>
        </w:trPr>
        <w:tc>
          <w:tcPr>
            <w:tcW w:w="0" w:type="auto"/>
            <w:vMerge/>
            <w:tcBorders>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r>
      <w:tr w:rsidR="00D17D84" w:rsidRPr="00D17D84" w:rsidTr="002E1347">
        <w:trPr>
          <w:trHeight w:val="300"/>
        </w:trPr>
        <w:tc>
          <w:tcPr>
            <w:tcW w:w="0" w:type="auto"/>
            <w:vMerge/>
            <w:tcBorders>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righ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c>
          <w:tcPr>
            <w:tcW w:w="0" w:type="auto"/>
            <w:vMerge/>
            <w:tcBorders>
              <w:left w:val="single" w:sz="4" w:space="0" w:color="FFFFFF" w:themeColor="background1"/>
            </w:tcBorders>
            <w:vAlign w:val="center"/>
            <w:hideMark/>
          </w:tcPr>
          <w:p w:rsidR="008B5314" w:rsidRDefault="008B5314">
            <w:pPr>
              <w:spacing w:after="0" w:line="240" w:lineRule="auto"/>
              <w:jc w:val="center"/>
              <w:rPr>
                <w:rFonts w:ascii="Arial" w:eastAsia="Times New Roman" w:hAnsi="Arial" w:cs="Arial"/>
                <w:b/>
                <w:bCs/>
                <w:color w:val="FFFFFF"/>
                <w:sz w:val="16"/>
                <w:szCs w:val="18"/>
              </w:rPr>
            </w:pPr>
          </w:p>
        </w:tc>
      </w:tr>
      <w:tr w:rsidR="00D17D84" w:rsidRPr="00D17D84" w:rsidTr="002E1347">
        <w:trPr>
          <w:trHeight w:val="300"/>
        </w:trPr>
        <w:tc>
          <w:tcPr>
            <w:tcW w:w="0" w:type="auto"/>
            <w:gridSpan w:val="3"/>
            <w:shd w:val="clear" w:color="000000" w:fill="FFFFFF"/>
            <w:vAlign w:val="center"/>
            <w:hideMark/>
          </w:tcPr>
          <w:p w:rsidR="008B5314" w:rsidRDefault="00D17D84">
            <w:pPr>
              <w:spacing w:after="0" w:line="240" w:lineRule="auto"/>
              <w:jc w:val="center"/>
              <w:rPr>
                <w:rFonts w:ascii="Arial" w:eastAsia="Times New Roman" w:hAnsi="Arial" w:cs="Arial"/>
                <w:sz w:val="16"/>
                <w:szCs w:val="18"/>
              </w:rPr>
            </w:pPr>
            <w:r>
              <w:rPr>
                <w:rFonts w:ascii="Arial" w:eastAsia="Times New Roman" w:hAnsi="Arial" w:cs="Arial"/>
                <w:sz w:val="16"/>
                <w:szCs w:val="18"/>
              </w:rPr>
              <w:t>Simulated</w:t>
            </w:r>
            <w:r w:rsidR="00464E41" w:rsidRPr="00464E41">
              <w:rPr>
                <w:rFonts w:ascii="Arial" w:eastAsia="Times New Roman" w:hAnsi="Arial" w:cs="Arial"/>
                <w:sz w:val="16"/>
                <w:szCs w:val="18"/>
              </w:rPr>
              <w:t xml:space="preserve"> Impact</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102.8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44.3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8.1</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w:t>
            </w:r>
          </w:p>
        </w:tc>
      </w:tr>
      <w:tr w:rsidR="00D17D84" w:rsidRPr="00D17D84" w:rsidTr="002E1347">
        <w:trPr>
          <w:trHeight w:val="300"/>
        </w:trPr>
        <w:tc>
          <w:tcPr>
            <w:tcW w:w="0" w:type="auto"/>
            <w:vMerge w:val="restart"/>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Individual</w:t>
            </w:r>
          </w:p>
        </w:tc>
        <w:tc>
          <w:tcPr>
            <w:tcW w:w="0" w:type="auto"/>
            <w:vMerge w:val="restart"/>
            <w:shd w:val="clear" w:color="auto" w:fill="auto"/>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Aggregator Choice</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Unadj.</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81.6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33.7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-23.9%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6.5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-33.6%</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97.6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-5.1%</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-22.3%</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-10.1%</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-22.1%</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-10.7%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-22.5%</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-11.0%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-23.4%</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-21.8%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7.1</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-11.5%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-24.9%</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2x</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99.5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35.2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-10.0%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8.0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-18.2%</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Unlim.</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35.4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10.4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5.9%</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restart"/>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Universal</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Unadj.</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81.6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33.7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-23.9%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6.5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-33.6%</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97.5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38.3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-13.6%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-22.8%</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39.1</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-11.8%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-10.2%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-22.8%</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39.3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-11.2%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-10.8%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-23.3%</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98.1</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39.5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-10.7%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-11.1%</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-24.3%</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97.7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39.9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7.1</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-11.5%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-26.1%</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2x</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99.3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41.7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-10.0%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-19.3%</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Unlim.</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42.2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10.2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4.2%</w:t>
            </w:r>
          </w:p>
        </w:tc>
      </w:tr>
      <w:tr w:rsidR="00D17D84" w:rsidRPr="00D17D84" w:rsidTr="002E1347">
        <w:trPr>
          <w:trHeight w:val="300"/>
        </w:trPr>
        <w:tc>
          <w:tcPr>
            <w:tcW w:w="0" w:type="auto"/>
            <w:vMerge w:val="restart"/>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Aggregate</w:t>
            </w:r>
          </w:p>
        </w:tc>
        <w:tc>
          <w:tcPr>
            <w:tcW w:w="0" w:type="auto"/>
            <w:vMerge w:val="restart"/>
            <w:shd w:val="clear" w:color="auto" w:fill="auto"/>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Aggregator Choice</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Unadj.</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81.5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33.7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-23.9%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6.5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-33.6%</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-19.8%</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-20.5%</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-20.9%</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-21.8%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-21.2%</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-21.4%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-21.4%</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2x</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35.3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-21.4%</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Unlim.</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35.3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-8.6%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-21.4%</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restart"/>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Universal</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Unadj.</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81.5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33.7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-23.9%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-34.3%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6.5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-33.6%</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40.7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-8.1%</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-10.0%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-20.1%</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40.9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-21.2%</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35%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41.0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-21.6%</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41.1</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-7.2%</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-22.1%</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50%</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41.3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-6.8%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-22.4%</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2x</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41.7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7.3</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7.6</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-22.2%</w:t>
            </w:r>
          </w:p>
        </w:tc>
      </w:tr>
      <w:tr w:rsidR="00D17D84" w:rsidRPr="00D17D84" w:rsidTr="002E1347">
        <w:trPr>
          <w:trHeight w:val="300"/>
        </w:trPr>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vMerge/>
            <w:vAlign w:val="center"/>
            <w:hideMark/>
          </w:tcPr>
          <w:p w:rsidR="008B5314" w:rsidRDefault="008B5314">
            <w:pPr>
              <w:spacing w:after="0" w:line="240" w:lineRule="auto"/>
              <w:jc w:val="center"/>
              <w:rPr>
                <w:rFonts w:ascii="Arial" w:eastAsia="Times New Roman" w:hAnsi="Arial" w:cs="Arial"/>
                <w:color w:val="000000"/>
                <w:sz w:val="16"/>
                <w:szCs w:val="18"/>
              </w:rPr>
            </w:pP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Unlim.</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96.7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-5.9%</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41.7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-5.8%</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7.4</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-8.7%</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7.5</w:t>
            </w:r>
          </w:p>
        </w:tc>
        <w:tc>
          <w:tcPr>
            <w:tcW w:w="0" w:type="auto"/>
            <w:shd w:val="clear" w:color="auto" w:fill="auto"/>
            <w:noWrap/>
            <w:vAlign w:val="center"/>
            <w:hideMark/>
          </w:tcPr>
          <w:p w:rsidR="008B5314" w:rsidRDefault="00464E41">
            <w:pPr>
              <w:spacing w:after="0" w:line="240" w:lineRule="auto"/>
              <w:jc w:val="center"/>
              <w:rPr>
                <w:rFonts w:ascii="Arial" w:eastAsia="Times New Roman" w:hAnsi="Arial" w:cs="Arial"/>
                <w:color w:val="000000"/>
                <w:sz w:val="16"/>
                <w:szCs w:val="18"/>
              </w:rPr>
            </w:pPr>
            <w:r w:rsidRPr="00464E41">
              <w:rPr>
                <w:rFonts w:ascii="Arial" w:eastAsia="Times New Roman" w:hAnsi="Arial" w:cs="Arial"/>
                <w:color w:val="000000"/>
                <w:sz w:val="16"/>
                <w:szCs w:val="18"/>
              </w:rPr>
              <w:t>-23.0%</w:t>
            </w:r>
          </w:p>
        </w:tc>
      </w:tr>
    </w:tbl>
    <w:p w:rsidR="00B073CB" w:rsidRPr="00E61E72" w:rsidRDefault="00B073CB" w:rsidP="00B073CB">
      <w:pPr>
        <w:pStyle w:val="BodyParagraph"/>
      </w:pPr>
    </w:p>
    <w:p w:rsidR="00B073CB" w:rsidRDefault="00B073CB" w:rsidP="00B073CB">
      <w:pPr>
        <w:pStyle w:val="Heading3"/>
      </w:pPr>
      <w:bookmarkStart w:id="107" w:name="_Toc318472353"/>
      <w:bookmarkStart w:id="108" w:name="_Toc318789294"/>
      <w:bookmarkStart w:id="109" w:name="_Toc324232567"/>
      <w:bookmarkStart w:id="110" w:name="_Toc326150812"/>
      <w:r>
        <w:lastRenderedPageBreak/>
        <w:t>Detailed Results</w:t>
      </w:r>
      <w:bookmarkEnd w:id="107"/>
      <w:bookmarkEnd w:id="108"/>
      <w:r w:rsidR="004F7A7C">
        <w:t xml:space="preserve"> for PG&amp;E’s AMP Program</w:t>
      </w:r>
      <w:bookmarkEnd w:id="109"/>
      <w:bookmarkEnd w:id="110"/>
    </w:p>
    <w:p w:rsidR="00B073CB" w:rsidRDefault="00EB384F" w:rsidP="00B073CB">
      <w:pPr>
        <w:pStyle w:val="BodyParagraph"/>
      </w:pPr>
      <w:r>
        <w:t>Table 3</w:t>
      </w:r>
      <w:r w:rsidR="004F7A7C">
        <w:t>-6</w:t>
      </w:r>
      <w:r w:rsidR="00B073CB">
        <w:t xml:space="preserve"> compares the estimated impacts to the </w:t>
      </w:r>
      <w:r w:rsidR="004F7A7C">
        <w:t xml:space="preserve">simulated </w:t>
      </w:r>
      <w:r w:rsidR="00B073CB">
        <w:t>r</w:t>
      </w:r>
      <w:r w:rsidR="004F7A7C">
        <w:t>eductions for each baseline method</w:t>
      </w:r>
      <w:r w:rsidR="00B073CB">
        <w:t xml:space="preserve"> for PG&amp;</w:t>
      </w:r>
      <w:r w:rsidR="004F7A7C">
        <w:t xml:space="preserve">E’s AMP </w:t>
      </w:r>
      <w:r w:rsidR="00E535D9">
        <w:t>day-ahead</w:t>
      </w:r>
      <w:r w:rsidR="00B073CB">
        <w:t xml:space="preserve"> </w:t>
      </w:r>
      <w:r w:rsidR="004F7A7C">
        <w:t>resource</w:t>
      </w:r>
      <w:r w:rsidR="00B073CB">
        <w:t xml:space="preserve">. </w:t>
      </w:r>
      <w:r w:rsidR="004F7A7C">
        <w:t xml:space="preserve"> </w:t>
      </w:r>
      <w:r w:rsidR="00B073CB">
        <w:t>The table echoes the f</w:t>
      </w:r>
      <w:r w:rsidR="004F7A7C">
        <w:t>indings shown above: bias (MPE)</w:t>
      </w:r>
      <w:r w:rsidR="00B073CB">
        <w:t xml:space="preserve"> is minimized by making the adjustment mandatory, by applying the adjustment at the settlement portfolio level, and by loosening the adjustment cap.  </w:t>
      </w:r>
    </w:p>
    <w:p w:rsidR="00B073CB" w:rsidRDefault="00B073CB" w:rsidP="00B073CB">
      <w:pPr>
        <w:pStyle w:val="BodyParagraph"/>
      </w:pPr>
      <w:r>
        <w:t xml:space="preserve">The table also shows two goodness-of-fit statistics: mean average percent error (MAPE) and the normalized root mean squared error (CV RMSE).  These statistics summarize the amount of error present, regardless of the direction of the error. </w:t>
      </w:r>
      <w:r w:rsidR="004F7A7C">
        <w:t xml:space="preserve"> </w:t>
      </w:r>
      <w:r>
        <w:t xml:space="preserve">Both statistics indicate that loosening the adjustment cap reduces the overall amount of error and improves the overall goodness-of-fit in addition to reducing the negative bias present in the baseline impact estimates. </w:t>
      </w:r>
      <w:r w:rsidR="004F7A7C">
        <w:t xml:space="preserve"> They also show that </w:t>
      </w:r>
      <w:r>
        <w:t>how well baseline</w:t>
      </w:r>
      <w:r w:rsidR="004F7A7C">
        <w:t xml:space="preserve"> methods estimate</w:t>
      </w:r>
      <w:r>
        <w:t xml:space="preserve"> demand reductions varies from event to event.  Even the most accurate set of baseline rules tends to produce errors for individual event days that on average err by at least 7% (as described by MAPE).  The current baseline produces errors for individual days that </w:t>
      </w:r>
      <w:r w:rsidR="004F7A7C">
        <w:t xml:space="preserve">are off on </w:t>
      </w:r>
      <w:r>
        <w:t xml:space="preserve">average </w:t>
      </w:r>
      <w:r w:rsidR="004F7A7C">
        <w:t xml:space="preserve">by </w:t>
      </w:r>
      <w:r w:rsidR="0007121F">
        <w:t>28.1</w:t>
      </w:r>
      <w:r>
        <w:t xml:space="preserve">%.   </w:t>
      </w:r>
    </w:p>
    <w:p w:rsidR="00B073CB" w:rsidRDefault="00B073CB" w:rsidP="00B073CB">
      <w:pPr>
        <w:pStyle w:val="BodyParagraph"/>
      </w:pPr>
      <w:r>
        <w:t>T</w:t>
      </w:r>
      <w:r w:rsidR="00F87EC6">
        <w:t>able 3</w:t>
      </w:r>
      <w:r w:rsidR="004F7A7C">
        <w:t>-7</w:t>
      </w:r>
      <w:r>
        <w:t xml:space="preserve"> shows the </w:t>
      </w:r>
      <w:r w:rsidR="004F7A7C">
        <w:t xml:space="preserve">accuracy and goodness of fit statistics </w:t>
      </w:r>
      <w:r>
        <w:t>for each proxy event day for PG&amp;E’s AMP</w:t>
      </w:r>
      <w:r w:rsidR="004F7A7C">
        <w:t xml:space="preserve"> </w:t>
      </w:r>
      <w:r w:rsidR="00E535D9">
        <w:t>day-of</w:t>
      </w:r>
      <w:r w:rsidR="004F7A7C">
        <w:t xml:space="preserve"> resource</w:t>
      </w:r>
      <w:r>
        <w:t xml:space="preserve">.  Again, loosening the adjustment caps decreases bias and improves goodness-of-fit, as does making the adjustment mandatory. </w:t>
      </w:r>
      <w:r w:rsidR="004F7A7C">
        <w:t xml:space="preserve"> </w:t>
      </w:r>
      <w:r>
        <w:t>However, applying the adjustment at the settlement portfolio level has a limited effect, likely because several settlement portfolios are dominated by very large customers.</w:t>
      </w:r>
      <w:r w:rsidR="004F7A7C">
        <w:t xml:space="preserve"> </w:t>
      </w:r>
      <w:r>
        <w:t xml:space="preserve"> In fact, one settlement portfolio has several customers that are at least 20 times as large as the median customer. </w:t>
      </w:r>
      <w:r w:rsidR="004F7A7C">
        <w:t xml:space="preserve"> </w:t>
      </w:r>
      <w:r>
        <w:t xml:space="preserve">Thus, applying adjustments at the settlement </w:t>
      </w:r>
      <w:r w:rsidR="006C27DC">
        <w:t xml:space="preserve">level </w:t>
      </w:r>
      <w:r>
        <w:t xml:space="preserve">only has a limited effect. </w:t>
      </w:r>
    </w:p>
    <w:p w:rsidR="002E1347" w:rsidRDefault="00B073CB" w:rsidP="002E1347">
      <w:pPr>
        <w:sectPr w:rsidR="002E1347" w:rsidSect="00CA7291">
          <w:headerReference w:type="default" r:id="rId32"/>
          <w:pgSz w:w="12240" w:h="15840"/>
          <w:pgMar w:top="1440" w:right="1440" w:bottom="1440" w:left="1440" w:header="720" w:footer="720" w:gutter="0"/>
          <w:cols w:space="720"/>
          <w:docGrid w:linePitch="360"/>
        </w:sectPr>
      </w:pPr>
      <w:r>
        <w:t xml:space="preserve">The baseline results for the AMP </w:t>
      </w:r>
      <w:r w:rsidR="00E535D9">
        <w:t>day-of</w:t>
      </w:r>
      <w:r>
        <w:t xml:space="preserve"> </w:t>
      </w:r>
      <w:r w:rsidR="004F7A7C">
        <w:t xml:space="preserve">resource </w:t>
      </w:r>
      <w:r>
        <w:t xml:space="preserve">are more accurate than they are for the </w:t>
      </w:r>
      <w:r w:rsidR="00E535D9">
        <w:t>day-ahead</w:t>
      </w:r>
      <w:r>
        <w:t xml:space="preserve"> option.  They have less </w:t>
      </w:r>
      <w:r w:rsidR="004F7A7C">
        <w:t>tendency to under</w:t>
      </w:r>
      <w:r>
        <w:t>estimate demand reductions</w:t>
      </w:r>
      <w:r w:rsidR="002E1347">
        <w:t xml:space="preserve"> </w:t>
      </w:r>
      <w:r w:rsidR="005E357B">
        <w:t>relative to EM&amp;V results</w:t>
      </w:r>
      <w:r>
        <w:t xml:space="preserve"> overall and </w:t>
      </w:r>
      <w:r w:rsidR="004F7A7C">
        <w:t xml:space="preserve">are also </w:t>
      </w:r>
      <w:r>
        <w:t xml:space="preserve">better </w:t>
      </w:r>
      <w:r w:rsidR="004F7A7C">
        <w:t xml:space="preserve">able to </w:t>
      </w:r>
      <w:r>
        <w:t xml:space="preserve">predict </w:t>
      </w:r>
      <w:r w:rsidR="004F7A7C">
        <w:t xml:space="preserve">impacts </w:t>
      </w:r>
      <w:r>
        <w:t>for individual days.  The current baseline produces errors for individual event hours that average 6.1</w:t>
      </w:r>
      <w:r w:rsidR="002E1347">
        <w:t>%.</w:t>
      </w:r>
    </w:p>
    <w:p w:rsidR="00B073CB" w:rsidRPr="00CD6269" w:rsidRDefault="00B073CB" w:rsidP="00B073CB">
      <w:pPr>
        <w:pStyle w:val="TableFigureCaption"/>
      </w:pPr>
      <w:r>
        <w:lastRenderedPageBreak/>
        <w:t xml:space="preserve">Table </w:t>
      </w:r>
      <w:r w:rsidR="00F87EC6">
        <w:t>3</w:t>
      </w:r>
      <w:r>
        <w:t>-6:</w:t>
      </w:r>
      <w:r w:rsidR="002E1347">
        <w:t xml:space="preserve"> </w:t>
      </w:r>
      <w:r>
        <w:t xml:space="preserve">Daily Impacts and Errors by Baseline Type, PG&amp;E AMP, </w:t>
      </w:r>
      <w:r w:rsidR="00E535D9">
        <w:t>Day-ahead</w:t>
      </w:r>
    </w:p>
    <w:tbl>
      <w:tblPr>
        <w:tblW w:w="10880" w:type="dxa"/>
        <w:jc w:val="center"/>
        <w:tblInd w:w="93" w:type="dxa"/>
        <w:tblCellMar>
          <w:left w:w="43" w:type="dxa"/>
          <w:right w:w="43" w:type="dxa"/>
        </w:tblCellMar>
        <w:tblLook w:val="04A0"/>
      </w:tblPr>
      <w:tblGrid>
        <w:gridCol w:w="1120"/>
        <w:gridCol w:w="1140"/>
        <w:gridCol w:w="1160"/>
        <w:gridCol w:w="500"/>
        <w:gridCol w:w="500"/>
        <w:gridCol w:w="500"/>
        <w:gridCol w:w="500"/>
        <w:gridCol w:w="500"/>
        <w:gridCol w:w="500"/>
        <w:gridCol w:w="500"/>
        <w:gridCol w:w="500"/>
        <w:gridCol w:w="500"/>
        <w:gridCol w:w="500"/>
        <w:gridCol w:w="700"/>
        <w:gridCol w:w="700"/>
        <w:gridCol w:w="1060"/>
      </w:tblGrid>
      <w:tr w:rsidR="00CE3792" w:rsidRPr="0007121F" w:rsidTr="00B90B9B">
        <w:trPr>
          <w:trHeight w:val="225"/>
          <w:jc w:val="center"/>
        </w:trPr>
        <w:tc>
          <w:tcPr>
            <w:tcW w:w="1120" w:type="dxa"/>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Application of Baselines</w:t>
            </w:r>
          </w:p>
        </w:tc>
        <w:tc>
          <w:tcPr>
            <w:tcW w:w="114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Adjustment Option</w:t>
            </w:r>
          </w:p>
        </w:tc>
        <w:tc>
          <w:tcPr>
            <w:tcW w:w="116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Adjustment Cap</w:t>
            </w:r>
          </w:p>
        </w:tc>
        <w:tc>
          <w:tcPr>
            <w:tcW w:w="4500" w:type="dxa"/>
            <w:gridSpan w:val="9"/>
            <w:tcBorders>
              <w:top w:val="single" w:sz="4" w:space="0" w:color="auto"/>
              <w:left w:val="nil"/>
              <w:bottom w:val="single" w:sz="4" w:space="0" w:color="FFFFFF"/>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Impact (MW) by Proxy Event Day</w:t>
            </w:r>
          </w:p>
        </w:tc>
        <w:tc>
          <w:tcPr>
            <w:tcW w:w="50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Avg</w:t>
            </w:r>
          </w:p>
        </w:tc>
        <w:tc>
          <w:tcPr>
            <w:tcW w:w="700" w:type="dxa"/>
            <w:tcBorders>
              <w:top w:val="single" w:sz="4" w:space="0" w:color="auto"/>
              <w:left w:val="nil"/>
              <w:bottom w:val="single" w:sz="4" w:space="0" w:color="FFFFFF"/>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Bias</w:t>
            </w:r>
          </w:p>
        </w:tc>
        <w:tc>
          <w:tcPr>
            <w:tcW w:w="1760" w:type="dxa"/>
            <w:gridSpan w:val="2"/>
            <w:tcBorders>
              <w:top w:val="single" w:sz="4" w:space="0" w:color="auto"/>
              <w:left w:val="nil"/>
              <w:bottom w:val="single" w:sz="4" w:space="0" w:color="FFFFFF"/>
              <w:right w:val="single" w:sz="4" w:space="0" w:color="000000"/>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Goodness-of-Fit</w:t>
            </w:r>
          </w:p>
        </w:tc>
      </w:tr>
      <w:tr w:rsidR="00CE3792" w:rsidRPr="0007121F" w:rsidTr="00B90B9B">
        <w:trPr>
          <w:trHeight w:val="225"/>
          <w:jc w:val="center"/>
        </w:trPr>
        <w:tc>
          <w:tcPr>
            <w:tcW w:w="1120" w:type="dxa"/>
            <w:vMerge/>
            <w:tcBorders>
              <w:top w:val="single" w:sz="4" w:space="0" w:color="auto"/>
              <w:left w:val="single" w:sz="4" w:space="0" w:color="auto"/>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1140"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1160"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1</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2</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3</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4</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5</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6</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7</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8</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9</w:t>
            </w:r>
          </w:p>
        </w:tc>
        <w:tc>
          <w:tcPr>
            <w:tcW w:w="500"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700" w:type="dxa"/>
            <w:tcBorders>
              <w:top w:val="nil"/>
              <w:left w:val="nil"/>
              <w:bottom w:val="single" w:sz="4" w:space="0" w:color="auto"/>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MPE</w:t>
            </w:r>
          </w:p>
        </w:tc>
        <w:tc>
          <w:tcPr>
            <w:tcW w:w="700" w:type="dxa"/>
            <w:tcBorders>
              <w:top w:val="nil"/>
              <w:left w:val="nil"/>
              <w:bottom w:val="single" w:sz="4" w:space="0" w:color="auto"/>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MAPE</w:t>
            </w:r>
          </w:p>
        </w:tc>
        <w:tc>
          <w:tcPr>
            <w:tcW w:w="1060" w:type="dxa"/>
            <w:tcBorders>
              <w:top w:val="nil"/>
              <w:left w:val="nil"/>
              <w:bottom w:val="single" w:sz="4" w:space="0" w:color="auto"/>
              <w:right w:val="single" w:sz="4" w:space="0" w:color="auto"/>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EF798E">
              <w:rPr>
                <w:rFonts w:ascii="Arial" w:eastAsia="Times New Roman" w:hAnsi="Arial" w:cs="Arial"/>
                <w:b/>
                <w:bCs/>
                <w:color w:val="FFFFFF"/>
                <w:sz w:val="16"/>
                <w:szCs w:val="16"/>
              </w:rPr>
              <w:t>CV RMSE</w:t>
            </w:r>
          </w:p>
        </w:tc>
      </w:tr>
      <w:tr w:rsidR="00CE3792" w:rsidRPr="0007121F" w:rsidTr="00B90B9B">
        <w:trPr>
          <w:trHeight w:val="225"/>
          <w:jc w:val="center"/>
        </w:trPr>
        <w:tc>
          <w:tcPr>
            <w:tcW w:w="3420" w:type="dxa"/>
            <w:gridSpan w:val="3"/>
            <w:tcBorders>
              <w:top w:val="nil"/>
              <w:left w:val="single" w:sz="4" w:space="0" w:color="auto"/>
              <w:bottom w:val="single" w:sz="4" w:space="0" w:color="auto"/>
              <w:right w:val="single" w:sz="4" w:space="0" w:color="auto"/>
            </w:tcBorders>
            <w:shd w:val="clear" w:color="000000" w:fill="FFFFFF"/>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Simulated</w:t>
            </w:r>
            <w:r w:rsidRPr="0007121F">
              <w:rPr>
                <w:rFonts w:ascii="Arial" w:eastAsia="Times New Roman" w:hAnsi="Arial" w:cs="Arial"/>
                <w:b/>
                <w:bCs/>
                <w:color w:val="000000"/>
                <w:sz w:val="16"/>
                <w:szCs w:val="16"/>
              </w:rPr>
              <w:t xml:space="preserve"> Impact</w:t>
            </w:r>
          </w:p>
        </w:tc>
        <w:tc>
          <w:tcPr>
            <w:tcW w:w="4500" w:type="dxa"/>
            <w:gridSpan w:val="9"/>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w:t>
            </w:r>
          </w:p>
        </w:tc>
      </w:tr>
      <w:tr w:rsidR="00CE3792" w:rsidRPr="0007121F" w:rsidTr="00B90B9B">
        <w:trPr>
          <w:trHeight w:val="225"/>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Individual</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Aggregator Choice</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28.6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27.3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32.8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33.7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-23.9%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29.4%</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0.336</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28.9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23.4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18.8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28.5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28.1%</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0.322</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23.6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19.3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27.7%</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0.317</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23.7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34.4</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27.5%</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0.315</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19.7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27.3%</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0.312</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24.1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34.6</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-21.8%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26.9%</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0.307</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31.0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35.2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-20.6%</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25.6%</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0.288</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32.1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26.0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23.1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35.4</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-20.0%</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24.6%</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0.278</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28.6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27.3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32.8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33.7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-23.9%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29.4%</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0.336</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49.2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49.8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36.5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38.3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-13.6%</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18.8%</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0.237</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38.3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23.5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41.5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39.1</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16.7%</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0.215</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49.1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38.7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24.3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37.7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41.6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15.9%</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0.206</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47.8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38.7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41.8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15.1%</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0.197</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47.4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31.1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26.4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13.6%</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0.181</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47.7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32.4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41.7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0.130</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46.1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46.4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46.1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35.7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43.9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7.8%</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0.110</w:t>
            </w:r>
          </w:p>
        </w:tc>
      </w:tr>
      <w:tr w:rsidR="00CE3792" w:rsidRPr="0007121F" w:rsidTr="00B90B9B">
        <w:trPr>
          <w:trHeight w:val="225"/>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Aggregate</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Aggregator Choice</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28.6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27.3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32.8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33.7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-23.9%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29.4%</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0.336</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23.7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19.2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28.9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27.6%</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0.317</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49.8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24.1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19.8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34.4</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26.9%</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0.309</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24.3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-22.0%</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26.6%</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0.305</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24.5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34.6</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-21.8%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26.3%</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0.302</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49.4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24.9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21.0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-21.4%</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25.9%</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0.296</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49.4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31.7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25.8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35.3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-20.4%</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24.8%</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0.281</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49.4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31.7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25.8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35.3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-20.4%</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24.8%</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0.281</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48.9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28.6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27.3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32.8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33.7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-23.9%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29.4%</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0.336</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43.2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33.4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9.4%</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0.141</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43.6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30.9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41.8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8.7%</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0.134</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31.2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41.0</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-7.4%</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8.4%</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0.131</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43.9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31.5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41.1</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8.1%</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0.128</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32.1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41.3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-6.8%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7.7%</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0.122</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35.5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41.7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7.3%</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0.108</w:t>
            </w:r>
          </w:p>
        </w:tc>
      </w:tr>
      <w:tr w:rsidR="00CE3792" w:rsidRPr="0007121F" w:rsidTr="00B90B9B">
        <w:trPr>
          <w:trHeight w:val="225"/>
          <w:jc w:val="center"/>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44.2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35.5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40.2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41.7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7.3%</w:t>
            </w:r>
          </w:p>
        </w:tc>
        <w:tc>
          <w:tcPr>
            <w:tcW w:w="1060"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0.108</w:t>
            </w:r>
          </w:p>
        </w:tc>
      </w:tr>
    </w:tbl>
    <w:p w:rsidR="000E10B0" w:rsidRDefault="000E10B0" w:rsidP="000E10B0">
      <w:pPr>
        <w:pStyle w:val="BodyParaAfterTableFigure"/>
        <w:rPr>
          <w:rFonts w:ascii="Arial" w:hAnsi="Arial"/>
          <w:sz w:val="20"/>
        </w:rPr>
      </w:pPr>
      <w:r>
        <w:br w:type="page"/>
      </w:r>
    </w:p>
    <w:p w:rsidR="00B073CB" w:rsidRPr="00B37689" w:rsidRDefault="00F953B4" w:rsidP="00B073CB">
      <w:pPr>
        <w:pStyle w:val="TableFigureCaption"/>
      </w:pPr>
      <w:r>
        <w:lastRenderedPageBreak/>
        <w:t>Table 3</w:t>
      </w:r>
      <w:r w:rsidR="00B073CB">
        <w:t>-7:</w:t>
      </w:r>
      <w:r w:rsidR="002E1347">
        <w:t xml:space="preserve"> </w:t>
      </w:r>
      <w:r w:rsidR="00B073CB">
        <w:t xml:space="preserve">Daily Impacts and Errors by Baseline Type, PG&amp;E AMP, </w:t>
      </w:r>
      <w:r w:rsidR="00E535D9">
        <w:t>Day-of</w:t>
      </w:r>
    </w:p>
    <w:tbl>
      <w:tblPr>
        <w:tblW w:w="10880" w:type="dxa"/>
        <w:jc w:val="center"/>
        <w:tblInd w:w="93" w:type="dxa"/>
        <w:tblCellMar>
          <w:left w:w="43" w:type="dxa"/>
          <w:right w:w="43" w:type="dxa"/>
        </w:tblCellMar>
        <w:tblLook w:val="04A0"/>
      </w:tblPr>
      <w:tblGrid>
        <w:gridCol w:w="1119"/>
        <w:gridCol w:w="1139"/>
        <w:gridCol w:w="1160"/>
        <w:gridCol w:w="551"/>
        <w:gridCol w:w="551"/>
        <w:gridCol w:w="551"/>
        <w:gridCol w:w="551"/>
        <w:gridCol w:w="437"/>
        <w:gridCol w:w="437"/>
        <w:gridCol w:w="437"/>
        <w:gridCol w:w="551"/>
        <w:gridCol w:w="437"/>
        <w:gridCol w:w="500"/>
        <w:gridCol w:w="700"/>
        <w:gridCol w:w="700"/>
        <w:gridCol w:w="1059"/>
      </w:tblGrid>
      <w:tr w:rsidR="00CE3792" w:rsidRPr="0007121F" w:rsidTr="00B90B9B">
        <w:trPr>
          <w:trHeight w:val="225"/>
          <w:jc w:val="center"/>
        </w:trPr>
        <w:tc>
          <w:tcPr>
            <w:tcW w:w="1119" w:type="dxa"/>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Application of Baselines</w:t>
            </w:r>
          </w:p>
        </w:tc>
        <w:tc>
          <w:tcPr>
            <w:tcW w:w="1139"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Adjustment Option</w:t>
            </w:r>
          </w:p>
        </w:tc>
        <w:tc>
          <w:tcPr>
            <w:tcW w:w="116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Adjustment Cap</w:t>
            </w:r>
          </w:p>
        </w:tc>
        <w:tc>
          <w:tcPr>
            <w:tcW w:w="4503" w:type="dxa"/>
            <w:gridSpan w:val="9"/>
            <w:tcBorders>
              <w:top w:val="single" w:sz="4" w:space="0" w:color="auto"/>
              <w:left w:val="nil"/>
              <w:bottom w:val="single" w:sz="4" w:space="0" w:color="FFFFFF"/>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Impact (MW) by Proxy Event Day</w:t>
            </w:r>
          </w:p>
        </w:tc>
        <w:tc>
          <w:tcPr>
            <w:tcW w:w="50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Avg</w:t>
            </w:r>
          </w:p>
        </w:tc>
        <w:tc>
          <w:tcPr>
            <w:tcW w:w="700" w:type="dxa"/>
            <w:tcBorders>
              <w:top w:val="single" w:sz="4" w:space="0" w:color="auto"/>
              <w:left w:val="nil"/>
              <w:bottom w:val="single" w:sz="4" w:space="0" w:color="FFFFFF"/>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Bias</w:t>
            </w:r>
          </w:p>
        </w:tc>
        <w:tc>
          <w:tcPr>
            <w:tcW w:w="1759" w:type="dxa"/>
            <w:gridSpan w:val="2"/>
            <w:tcBorders>
              <w:top w:val="single" w:sz="4" w:space="0" w:color="auto"/>
              <w:left w:val="nil"/>
              <w:bottom w:val="single" w:sz="4" w:space="0" w:color="FFFFFF"/>
              <w:right w:val="single" w:sz="4" w:space="0" w:color="000000"/>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Goodness-of-Fit</w:t>
            </w:r>
          </w:p>
        </w:tc>
      </w:tr>
      <w:tr w:rsidR="00CE3792" w:rsidRPr="0007121F" w:rsidTr="00B90B9B">
        <w:trPr>
          <w:trHeight w:val="225"/>
          <w:jc w:val="center"/>
        </w:trPr>
        <w:tc>
          <w:tcPr>
            <w:tcW w:w="1119" w:type="dxa"/>
            <w:vMerge/>
            <w:tcBorders>
              <w:top w:val="single" w:sz="4" w:space="0" w:color="auto"/>
              <w:left w:val="single" w:sz="4" w:space="0" w:color="auto"/>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1139"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1160"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551"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1</w:t>
            </w:r>
          </w:p>
        </w:tc>
        <w:tc>
          <w:tcPr>
            <w:tcW w:w="551"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2</w:t>
            </w:r>
          </w:p>
        </w:tc>
        <w:tc>
          <w:tcPr>
            <w:tcW w:w="551"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3</w:t>
            </w:r>
          </w:p>
        </w:tc>
        <w:tc>
          <w:tcPr>
            <w:tcW w:w="551"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4</w:t>
            </w:r>
          </w:p>
        </w:tc>
        <w:tc>
          <w:tcPr>
            <w:tcW w:w="437"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5</w:t>
            </w:r>
          </w:p>
        </w:tc>
        <w:tc>
          <w:tcPr>
            <w:tcW w:w="437"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6</w:t>
            </w:r>
          </w:p>
        </w:tc>
        <w:tc>
          <w:tcPr>
            <w:tcW w:w="437"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7</w:t>
            </w:r>
          </w:p>
        </w:tc>
        <w:tc>
          <w:tcPr>
            <w:tcW w:w="551"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8</w:t>
            </w:r>
          </w:p>
        </w:tc>
        <w:tc>
          <w:tcPr>
            <w:tcW w:w="437" w:type="dxa"/>
            <w:tcBorders>
              <w:top w:val="nil"/>
              <w:left w:val="nil"/>
              <w:bottom w:val="single" w:sz="4" w:space="0" w:color="auto"/>
              <w:right w:val="single" w:sz="4" w:space="0" w:color="FFFFFF"/>
            </w:tcBorders>
            <w:shd w:val="clear" w:color="000000" w:fill="1F497D"/>
            <w:noWrap/>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9</w:t>
            </w:r>
          </w:p>
        </w:tc>
        <w:tc>
          <w:tcPr>
            <w:tcW w:w="500"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700" w:type="dxa"/>
            <w:tcBorders>
              <w:top w:val="nil"/>
              <w:left w:val="nil"/>
              <w:bottom w:val="single" w:sz="4" w:space="0" w:color="auto"/>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MPE</w:t>
            </w:r>
          </w:p>
        </w:tc>
        <w:tc>
          <w:tcPr>
            <w:tcW w:w="700" w:type="dxa"/>
            <w:tcBorders>
              <w:top w:val="nil"/>
              <w:left w:val="nil"/>
              <w:bottom w:val="single" w:sz="4" w:space="0" w:color="auto"/>
              <w:right w:val="single" w:sz="4" w:space="0" w:color="FFFFFF"/>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07121F">
              <w:rPr>
                <w:rFonts w:ascii="Arial" w:eastAsia="Times New Roman" w:hAnsi="Arial" w:cs="Arial"/>
                <w:b/>
                <w:bCs/>
                <w:color w:val="FFFFFF"/>
                <w:sz w:val="16"/>
                <w:szCs w:val="16"/>
              </w:rPr>
              <w:t>MAPE</w:t>
            </w:r>
          </w:p>
        </w:tc>
        <w:tc>
          <w:tcPr>
            <w:tcW w:w="1059" w:type="dxa"/>
            <w:tcBorders>
              <w:top w:val="nil"/>
              <w:left w:val="nil"/>
              <w:bottom w:val="single" w:sz="4" w:space="0" w:color="auto"/>
              <w:right w:val="single" w:sz="4" w:space="0" w:color="auto"/>
            </w:tcBorders>
            <w:shd w:val="clear" w:color="000000" w:fill="1F497D"/>
            <w:vAlign w:val="center"/>
            <w:hideMark/>
          </w:tcPr>
          <w:p w:rsidR="00CE3792" w:rsidRPr="0007121F" w:rsidRDefault="00CE3792" w:rsidP="00B90B9B">
            <w:pPr>
              <w:spacing w:after="0" w:line="240" w:lineRule="auto"/>
              <w:jc w:val="center"/>
              <w:rPr>
                <w:rFonts w:ascii="Arial" w:eastAsia="Times New Roman" w:hAnsi="Arial" w:cs="Arial"/>
                <w:b/>
                <w:bCs/>
                <w:color w:val="FFFFFF"/>
                <w:sz w:val="16"/>
                <w:szCs w:val="16"/>
              </w:rPr>
            </w:pPr>
            <w:r w:rsidRPr="00EF798E">
              <w:rPr>
                <w:rFonts w:ascii="Arial" w:eastAsia="Times New Roman" w:hAnsi="Arial" w:cs="Arial"/>
                <w:b/>
                <w:bCs/>
                <w:color w:val="FFFFFF"/>
                <w:sz w:val="16"/>
                <w:szCs w:val="16"/>
              </w:rPr>
              <w:t>CV RMSE</w:t>
            </w:r>
          </w:p>
        </w:tc>
      </w:tr>
      <w:tr w:rsidR="00CE3792" w:rsidRPr="0007121F" w:rsidTr="00B90B9B">
        <w:trPr>
          <w:trHeight w:val="225"/>
          <w:jc w:val="center"/>
        </w:trPr>
        <w:tc>
          <w:tcPr>
            <w:tcW w:w="3418" w:type="dxa"/>
            <w:gridSpan w:val="3"/>
            <w:tcBorders>
              <w:top w:val="nil"/>
              <w:left w:val="single" w:sz="4" w:space="0" w:color="auto"/>
              <w:bottom w:val="single" w:sz="4" w:space="0" w:color="auto"/>
              <w:right w:val="single" w:sz="4" w:space="0" w:color="auto"/>
            </w:tcBorders>
            <w:shd w:val="clear" w:color="000000" w:fill="FFFFFF"/>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Simulated</w:t>
            </w:r>
            <w:r w:rsidRPr="0007121F">
              <w:rPr>
                <w:rFonts w:ascii="Arial" w:eastAsia="Times New Roman" w:hAnsi="Arial" w:cs="Arial"/>
                <w:b/>
                <w:bCs/>
                <w:color w:val="000000"/>
                <w:sz w:val="16"/>
                <w:szCs w:val="16"/>
              </w:rPr>
              <w:t xml:space="preserve"> Impact</w:t>
            </w:r>
          </w:p>
        </w:tc>
        <w:tc>
          <w:tcPr>
            <w:tcW w:w="4503" w:type="dxa"/>
            <w:gridSpan w:val="9"/>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102.8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w:t>
            </w:r>
          </w:p>
        </w:tc>
      </w:tr>
      <w:tr w:rsidR="00CE3792" w:rsidRPr="0007121F" w:rsidTr="00B90B9B">
        <w:trPr>
          <w:trHeight w:val="225"/>
          <w:jc w:val="center"/>
        </w:trPr>
        <w:tc>
          <w:tcPr>
            <w:tcW w:w="11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Individual</w:t>
            </w:r>
          </w:p>
        </w:tc>
        <w:tc>
          <w:tcPr>
            <w:tcW w:w="1139" w:type="dxa"/>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Aggregator Choice</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Unadjusted</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98.8</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86.1</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61.8</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81.7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92.8</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92.0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58.6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71.7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81.6</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20.7%</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0.245</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104.8</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102.3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95.9</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105.9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92.0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90.7</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97.6</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-5.1%</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6.1%</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0.071</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103.4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102.1</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108.1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90.4</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90.9</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5.5%</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0.067</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102.4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101.8</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100.1</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108.4</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97.2</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89.6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90.8</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5.4%</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0.068</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40%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101.7</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108.5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97.2</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89.0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90.7</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98.4</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5.6%</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0.069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50%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100.2</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100.7</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108.5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88.0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98.0</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5.9%</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0.072</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2x</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101.8</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102.4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111.4</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98.2</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89.3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91.6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101.8</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5.1%</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0.067</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Unlimited</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98.9</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101.9</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102.1</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115.6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85.8</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6.6%</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0.086</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Unadjusted</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98.8</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86.1</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61.8</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81.7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92.8</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92.0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58.6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71.7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81.6</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20.7%</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0.245</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104.9</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103.5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95.9</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105.1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96.2</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91.7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91.3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94.5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94.4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6.3%</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0.073</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103.4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103.3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107.3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91.5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96.8</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5.7%</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0.069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102.5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103.1</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100.1</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107.6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89.3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91.4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97.4</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5.6%</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0.070</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40%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101.7</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102.8</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107.7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88.7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91.3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98.1</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-4.7%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5.7%</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0.071</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50%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100.2</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101.8</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100.7</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107.7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96.4</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87.6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91.3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-5.0%</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6.0%</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0.074</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2x</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103.4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102.5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110.7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89.0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92.3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5.3%</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0.068</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Unlimited</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103.7</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101.8</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115.1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85.3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93.4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-3.9%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6.7%</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0.083</w:t>
            </w:r>
          </w:p>
        </w:tc>
      </w:tr>
      <w:tr w:rsidR="00CE3792" w:rsidRPr="0007121F" w:rsidTr="00B90B9B">
        <w:trPr>
          <w:trHeight w:val="225"/>
          <w:jc w:val="center"/>
        </w:trPr>
        <w:tc>
          <w:tcPr>
            <w:tcW w:w="11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Aggregate</w:t>
            </w:r>
          </w:p>
        </w:tc>
        <w:tc>
          <w:tcPr>
            <w:tcW w:w="1139" w:type="dxa"/>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Aggregator Choice</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Unadjusted</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86.1</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61.2</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81.7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92.8</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92.0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58.6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71.7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81.5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20.7%</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0.246</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111.1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86.3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87.3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7.5%</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111.1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86.3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87.3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7.5%</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111.1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86.3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87.3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7.5%</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40%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111.1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86.3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87.3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7.5%</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50%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111.1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86.3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87.3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7.5%</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2x</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111.1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86.3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87.3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7.5%</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Unlimited</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100.0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111.1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86.3</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87.3</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99.0</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7.5%</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Unadjusted</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86.1</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61.2</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81.7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92.8</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90.9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92.0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58.6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71.7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81.5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20.7%</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0.246</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101.2</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110.6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85.9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88.4</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94.5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7.5%</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0.088</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101.2</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110.6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85.9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88.5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97.7</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94.1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7.5%</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0.088</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35%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101.2</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110.6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85.9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88.5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97.5</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7.6%</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40%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101.2</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110.6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85.9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88.5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97.2</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7.6%</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50%</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101.2</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110.6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85.9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88.5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97.2</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7.6%</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2x</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101.2</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110.6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85.9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88.5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97.2</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7.6%</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r w:rsidR="00CE3792" w:rsidRPr="0007121F" w:rsidTr="00B90B9B">
        <w:trPr>
          <w:trHeight w:val="225"/>
          <w:jc w:val="center"/>
        </w:trPr>
        <w:tc>
          <w:tcPr>
            <w:tcW w:w="111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39"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b/>
                <w:bCs/>
                <w:color w:val="000000"/>
                <w:sz w:val="16"/>
                <w:szCs w:val="16"/>
              </w:rPr>
            </w:pPr>
            <w:r w:rsidRPr="0007121F">
              <w:rPr>
                <w:rFonts w:ascii="Arial" w:eastAsia="Times New Roman" w:hAnsi="Arial" w:cs="Arial"/>
                <w:b/>
                <w:bCs/>
                <w:color w:val="000000"/>
                <w:sz w:val="16"/>
                <w:szCs w:val="16"/>
              </w:rPr>
              <w:t>Unlimited</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95.6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101.2</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99.6</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110.6</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98.1</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85.9</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88.5</w:t>
            </w:r>
          </w:p>
        </w:tc>
        <w:tc>
          <w:tcPr>
            <w:tcW w:w="551"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97.2</w:t>
            </w:r>
          </w:p>
        </w:tc>
        <w:tc>
          <w:tcPr>
            <w:tcW w:w="437"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96.7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-5.9%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07121F" w:rsidRDefault="00CE3792" w:rsidP="00B90B9B">
            <w:pPr>
              <w:spacing w:after="0" w:line="240" w:lineRule="auto"/>
              <w:jc w:val="center"/>
              <w:rPr>
                <w:rFonts w:ascii="Arial" w:eastAsia="Times New Roman" w:hAnsi="Arial" w:cs="Arial"/>
                <w:color w:val="000000"/>
                <w:sz w:val="16"/>
                <w:szCs w:val="16"/>
              </w:rPr>
            </w:pPr>
            <w:r w:rsidRPr="0007121F">
              <w:rPr>
                <w:rFonts w:ascii="Arial" w:eastAsia="Times New Roman" w:hAnsi="Arial" w:cs="Arial"/>
                <w:color w:val="000000"/>
                <w:sz w:val="16"/>
                <w:szCs w:val="16"/>
              </w:rPr>
              <w:t>7.6%</w:t>
            </w:r>
          </w:p>
        </w:tc>
        <w:tc>
          <w:tcPr>
            <w:tcW w:w="1059" w:type="dxa"/>
            <w:tcBorders>
              <w:top w:val="nil"/>
              <w:left w:val="nil"/>
              <w:bottom w:val="single" w:sz="4" w:space="0" w:color="auto"/>
              <w:right w:val="single" w:sz="4" w:space="0" w:color="auto"/>
            </w:tcBorders>
            <w:shd w:val="clear" w:color="auto" w:fill="auto"/>
            <w:vAlign w:val="center"/>
            <w:hideMark/>
          </w:tcPr>
          <w:p w:rsidR="00CE3792" w:rsidRPr="0007121F"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0.089</w:t>
            </w:r>
          </w:p>
        </w:tc>
      </w:tr>
    </w:tbl>
    <w:p w:rsidR="002E1347" w:rsidRDefault="002E1347" w:rsidP="002E1347"/>
    <w:p w:rsidR="00B073CB" w:rsidRDefault="00B073CB" w:rsidP="002E1347">
      <w:pPr>
        <w:sectPr w:rsidR="00B073CB" w:rsidSect="00CC2233">
          <w:headerReference w:type="default" r:id="rId33"/>
          <w:pgSz w:w="15840" w:h="12240" w:orient="landscape"/>
          <w:pgMar w:top="1440" w:right="1440" w:bottom="1440" w:left="1440" w:header="720" w:footer="720" w:gutter="0"/>
          <w:cols w:space="720"/>
          <w:docGrid w:linePitch="360"/>
        </w:sectPr>
      </w:pPr>
    </w:p>
    <w:p w:rsidR="008B5314" w:rsidRDefault="00B073CB">
      <w:pPr>
        <w:pStyle w:val="Heading3"/>
        <w:numPr>
          <w:ilvl w:val="2"/>
          <w:numId w:val="13"/>
        </w:numPr>
      </w:pPr>
      <w:bookmarkStart w:id="111" w:name="_Toc318472354"/>
      <w:bookmarkStart w:id="112" w:name="_Toc318789295"/>
      <w:bookmarkStart w:id="113" w:name="_Toc324232568"/>
      <w:bookmarkStart w:id="114" w:name="_Toc326150813"/>
      <w:r>
        <w:lastRenderedPageBreak/>
        <w:t>Detailed Results</w:t>
      </w:r>
      <w:bookmarkEnd w:id="111"/>
      <w:bookmarkEnd w:id="112"/>
      <w:r w:rsidR="00DE22E9">
        <w:t xml:space="preserve"> for PG&amp;E’s CBP Program</w:t>
      </w:r>
      <w:bookmarkEnd w:id="113"/>
      <w:bookmarkEnd w:id="114"/>
    </w:p>
    <w:p w:rsidR="00B073CB" w:rsidRDefault="00B073CB" w:rsidP="00B073CB">
      <w:pPr>
        <w:pStyle w:val="BodyParagraph"/>
      </w:pPr>
      <w:r>
        <w:t xml:space="preserve">Table </w:t>
      </w:r>
      <w:r w:rsidR="00DE22E9">
        <w:t>3-8</w:t>
      </w:r>
      <w:r>
        <w:t xml:space="preserve"> </w:t>
      </w:r>
      <w:r w:rsidR="00DE22E9">
        <w:t xml:space="preserve">compares </w:t>
      </w:r>
      <w:r>
        <w:t xml:space="preserve">estimated </w:t>
      </w:r>
      <w:r w:rsidR="00DE22E9">
        <w:t xml:space="preserve">impacts </w:t>
      </w:r>
      <w:r>
        <w:t xml:space="preserve">for each proxy event </w:t>
      </w:r>
      <w:r w:rsidR="00DE22E9">
        <w:t xml:space="preserve">with the simulated </w:t>
      </w:r>
      <w:r>
        <w:t xml:space="preserve">demand reductions by baseline </w:t>
      </w:r>
      <w:r w:rsidR="00DE22E9">
        <w:t xml:space="preserve">option for </w:t>
      </w:r>
      <w:r>
        <w:t xml:space="preserve">PG&amp;E’s CBP </w:t>
      </w:r>
      <w:r w:rsidR="00E535D9">
        <w:t>day-ahead</w:t>
      </w:r>
      <w:r w:rsidR="00DE22E9">
        <w:t xml:space="preserve"> resource</w:t>
      </w:r>
      <w:r>
        <w:t xml:space="preserve">. </w:t>
      </w:r>
      <w:r w:rsidR="00DE22E9">
        <w:t xml:space="preserve"> </w:t>
      </w:r>
      <w:r>
        <w:t xml:space="preserve">As described in the beginning of this chapter, bias </w:t>
      </w:r>
      <w:r w:rsidRPr="00092AE5">
        <w:rPr>
          <w:i/>
        </w:rPr>
        <w:t>do</w:t>
      </w:r>
      <w:r>
        <w:rPr>
          <w:i/>
        </w:rPr>
        <w:t>es</w:t>
      </w:r>
      <w:r w:rsidRPr="00092AE5">
        <w:rPr>
          <w:i/>
        </w:rPr>
        <w:t xml:space="preserve"> not</w:t>
      </w:r>
      <w:r>
        <w:t xml:space="preserve"> generally decrease as the adjustment becomes mandatory, when the adjustment is applied at the settlement portfolio level, and when the adjustment cap is loosened. </w:t>
      </w:r>
      <w:r w:rsidR="00DE22E9">
        <w:t xml:space="preserve"> </w:t>
      </w:r>
      <w:r>
        <w:t xml:space="preserve">Bias does not decrease when the adjustment is </w:t>
      </w:r>
      <w:r w:rsidR="00CE3792">
        <w:t>universal</w:t>
      </w:r>
      <w:r>
        <w:t xml:space="preserve"> because the vast majority of </w:t>
      </w:r>
      <w:r w:rsidR="00E535D9">
        <w:t>day-ahead</w:t>
      </w:r>
      <w:r w:rsidR="00DE22E9">
        <w:t xml:space="preserve"> </w:t>
      </w:r>
      <w:r>
        <w:t xml:space="preserve">customers already choose the </w:t>
      </w:r>
      <w:r w:rsidR="00E535D9">
        <w:t>same-day</w:t>
      </w:r>
      <w:r>
        <w:t xml:space="preserve"> adjustment; </w:t>
      </w:r>
      <w:r w:rsidR="00DE22E9">
        <w:t>as such</w:t>
      </w:r>
      <w:r>
        <w:t xml:space="preserve">, making the adjustment </w:t>
      </w:r>
      <w:r w:rsidR="00CE3792">
        <w:t>universal</w:t>
      </w:r>
      <w:r>
        <w:t xml:space="preserve"> does not have any effect.  In addition, applying the adjustment at the settlement portfolio level has very little impact on the tendency of baselines to underestimate.  A few customers provide the bulk of the impacts, thus limiting the </w:t>
      </w:r>
      <w:r w:rsidR="005E357B">
        <w:t xml:space="preserve">effect </w:t>
      </w:r>
      <w:r>
        <w:t xml:space="preserve">of calculating and adjusting baselines at the settlement portfolio level. </w:t>
      </w:r>
    </w:p>
    <w:p w:rsidR="00B073CB" w:rsidRDefault="00B073CB" w:rsidP="00B073CB">
      <w:pPr>
        <w:pStyle w:val="BodyParagraph"/>
      </w:pPr>
      <w:r>
        <w:t xml:space="preserve">While the unlimited baseline is less likely to consistently under predict reductions (i.e., is the least biased) when applied individually, it produces estimates that err by a wide margin for individual event days.  The unlimited baseline does well for </w:t>
      </w:r>
      <w:r w:rsidR="00DE22E9">
        <w:t>most customers that</w:t>
      </w:r>
      <w:r>
        <w:t xml:space="preserve"> have stable, predictable loads, but does very poorly for a small subset of customers. </w:t>
      </w:r>
      <w:r w:rsidR="00DE22E9">
        <w:t xml:space="preserve"> </w:t>
      </w:r>
      <w:r>
        <w:t xml:space="preserve">These few customers experience very large errors and affect the program level results. </w:t>
      </w:r>
      <w:r w:rsidR="00DE22E9">
        <w:t xml:space="preserve"> </w:t>
      </w:r>
      <w:r>
        <w:t xml:space="preserve">Thus, the unlimited adjustment may not be a desirable choice.  The other baseline options tested do not substantially reduce bias or improve goodness-of-fit.  The current baseline produces errors for individual event hours that average </w:t>
      </w:r>
      <w:r w:rsidR="00CB1CB5">
        <w:t>22.3</w:t>
      </w:r>
      <w:r>
        <w:t xml:space="preserve">%.     </w:t>
      </w:r>
    </w:p>
    <w:p w:rsidR="00B073CB" w:rsidRDefault="00B073CB" w:rsidP="00B073CB">
      <w:pPr>
        <w:pStyle w:val="BodyBeforeBullet"/>
      </w:pPr>
      <w:r>
        <w:t xml:space="preserve">Table </w:t>
      </w:r>
      <w:r w:rsidR="00DE22E9">
        <w:t>3-9</w:t>
      </w:r>
      <w:r>
        <w:t xml:space="preserve"> shows </w:t>
      </w:r>
      <w:r w:rsidR="00DE22E9">
        <w:t xml:space="preserve">the accuracy and goodness of fit statistics for </w:t>
      </w:r>
      <w:r>
        <w:t xml:space="preserve">PG&amp;E’s CBP </w:t>
      </w:r>
      <w:r w:rsidR="00E535D9">
        <w:t>day-of</w:t>
      </w:r>
      <w:r>
        <w:t xml:space="preserve"> </w:t>
      </w:r>
      <w:r w:rsidR="00DE22E9">
        <w:t>resource</w:t>
      </w:r>
      <w:r>
        <w:t xml:space="preserve">.  The results show the usual pattern of a decrease in the tendency to underestimate </w:t>
      </w:r>
      <w:r w:rsidR="00DE22E9">
        <w:t xml:space="preserve">impacts </w:t>
      </w:r>
      <w:r>
        <w:t xml:space="preserve">when the adjustment is mandatory, </w:t>
      </w:r>
      <w:r w:rsidR="00DE22E9">
        <w:t xml:space="preserve">the cap is </w:t>
      </w:r>
      <w:r>
        <w:t>loosened</w:t>
      </w:r>
      <w:r w:rsidR="00DE22E9">
        <w:t xml:space="preserve"> and </w:t>
      </w:r>
      <w:r>
        <w:t xml:space="preserve">the settlement </w:t>
      </w:r>
      <w:r w:rsidR="00DE22E9">
        <w:t xml:space="preserve">calculate is done at the </w:t>
      </w:r>
      <w:r>
        <w:t xml:space="preserve">portfolio level. </w:t>
      </w:r>
      <w:r w:rsidR="00DE22E9">
        <w:t xml:space="preserve"> </w:t>
      </w:r>
      <w:r>
        <w:t>Loosening the adj</w:t>
      </w:r>
      <w:r w:rsidR="00DE22E9">
        <w:t>ustment cap has a limited impact</w:t>
      </w:r>
      <w:r>
        <w:t xml:space="preserve"> when the adjustment </w:t>
      </w:r>
      <w:r w:rsidR="00C75DD2">
        <w:t xml:space="preserve">is </w:t>
      </w:r>
      <w:r>
        <w:t>applied at the settlement portfolio level and is mandatory because less extreme adjustments are required when the load has been aggregated; individual volatility has been smoothed out.</w:t>
      </w:r>
    </w:p>
    <w:p w:rsidR="008B5314" w:rsidRDefault="00C75DD2">
      <w:r>
        <w:t>The baseline results for the C</w:t>
      </w:r>
      <w:r w:rsidR="00B073CB">
        <w:t xml:space="preserve">BP </w:t>
      </w:r>
      <w:r w:rsidR="00E535D9">
        <w:t>day-of</w:t>
      </w:r>
      <w:r w:rsidR="00B073CB">
        <w:t xml:space="preserve"> </w:t>
      </w:r>
      <w:r>
        <w:t>resource</w:t>
      </w:r>
      <w:r w:rsidR="00B073CB">
        <w:t xml:space="preserve"> are more accurate than they are for the </w:t>
      </w:r>
      <w:r w:rsidR="00E535D9">
        <w:t>day-ahead</w:t>
      </w:r>
      <w:r w:rsidR="00B073CB">
        <w:t xml:space="preserve"> option.  They have less </w:t>
      </w:r>
      <w:r>
        <w:t>tendency to under</w:t>
      </w:r>
      <w:r w:rsidR="00B073CB">
        <w:t xml:space="preserve">estimate demand reductions overall (i.e., less bias) and </w:t>
      </w:r>
      <w:r>
        <w:t xml:space="preserve">are </w:t>
      </w:r>
      <w:r w:rsidR="00B073CB">
        <w:t xml:space="preserve">better </w:t>
      </w:r>
      <w:r>
        <w:t xml:space="preserve">able to </w:t>
      </w:r>
      <w:r w:rsidR="00B073CB">
        <w:t xml:space="preserve">predict </w:t>
      </w:r>
      <w:r>
        <w:t xml:space="preserve">impacts </w:t>
      </w:r>
      <w:r w:rsidR="00B073CB">
        <w:t xml:space="preserve">for individual days (i.e., better goodness-of-fit).  The current baseline tends to produce errors for individual event hours that average </w:t>
      </w:r>
      <w:r w:rsidR="002E1347">
        <w:t>11.0% (MAPE).</w:t>
      </w:r>
    </w:p>
    <w:p w:rsidR="008B5314" w:rsidRDefault="008B5314"/>
    <w:p w:rsidR="00B073CB" w:rsidRDefault="00B073CB" w:rsidP="002E1347">
      <w:pPr>
        <w:sectPr w:rsidR="00B073CB" w:rsidSect="00CC2233">
          <w:headerReference w:type="default" r:id="rId34"/>
          <w:pgSz w:w="12240" w:h="15840"/>
          <w:pgMar w:top="1440" w:right="1440" w:bottom="1440" w:left="1440" w:header="720" w:footer="720" w:gutter="0"/>
          <w:cols w:space="720"/>
          <w:docGrid w:linePitch="360"/>
        </w:sectPr>
      </w:pPr>
    </w:p>
    <w:p w:rsidR="00B073CB" w:rsidRPr="00531BAA" w:rsidRDefault="00C75DD2" w:rsidP="00B073CB">
      <w:pPr>
        <w:pStyle w:val="TableFigureCaption"/>
      </w:pPr>
      <w:r>
        <w:lastRenderedPageBreak/>
        <w:t>Table 3</w:t>
      </w:r>
      <w:r w:rsidR="00B073CB">
        <w:t xml:space="preserve">-8: Daily Impacts and Errors by Baseline Type, PG&amp;E CBP, </w:t>
      </w:r>
      <w:r w:rsidR="00E535D9">
        <w:t>Day-ahead</w:t>
      </w:r>
    </w:p>
    <w:tbl>
      <w:tblPr>
        <w:tblW w:w="10717" w:type="dxa"/>
        <w:tblInd w:w="93" w:type="dxa"/>
        <w:tblCellMar>
          <w:left w:w="43" w:type="dxa"/>
          <w:right w:w="43" w:type="dxa"/>
        </w:tblCellMar>
        <w:tblLook w:val="04A0"/>
      </w:tblPr>
      <w:tblGrid>
        <w:gridCol w:w="1120"/>
        <w:gridCol w:w="1140"/>
        <w:gridCol w:w="1160"/>
        <w:gridCol w:w="482"/>
        <w:gridCol w:w="482"/>
        <w:gridCol w:w="481"/>
        <w:gridCol w:w="481"/>
        <w:gridCol w:w="481"/>
        <w:gridCol w:w="487"/>
        <w:gridCol w:w="481"/>
        <w:gridCol w:w="481"/>
        <w:gridCol w:w="481"/>
        <w:gridCol w:w="500"/>
        <w:gridCol w:w="700"/>
        <w:gridCol w:w="700"/>
        <w:gridCol w:w="1060"/>
      </w:tblGrid>
      <w:tr w:rsidR="00CE3792" w:rsidRPr="00CB1CB5" w:rsidTr="00B90B9B">
        <w:trPr>
          <w:trHeight w:val="825"/>
        </w:trPr>
        <w:tc>
          <w:tcPr>
            <w:tcW w:w="1120" w:type="dxa"/>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Application of Baselines</w:t>
            </w:r>
          </w:p>
        </w:tc>
        <w:tc>
          <w:tcPr>
            <w:tcW w:w="114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Adjustment Option</w:t>
            </w:r>
          </w:p>
        </w:tc>
        <w:tc>
          <w:tcPr>
            <w:tcW w:w="116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Adjustment Cap</w:t>
            </w:r>
          </w:p>
        </w:tc>
        <w:tc>
          <w:tcPr>
            <w:tcW w:w="4337" w:type="dxa"/>
            <w:gridSpan w:val="9"/>
            <w:tcBorders>
              <w:top w:val="single" w:sz="4" w:space="0" w:color="auto"/>
              <w:left w:val="nil"/>
              <w:bottom w:val="single" w:sz="4" w:space="0" w:color="FFFFFF"/>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Impact (MW) by Proxy Event Day</w:t>
            </w:r>
          </w:p>
        </w:tc>
        <w:tc>
          <w:tcPr>
            <w:tcW w:w="50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Avg</w:t>
            </w:r>
          </w:p>
        </w:tc>
        <w:tc>
          <w:tcPr>
            <w:tcW w:w="700" w:type="dxa"/>
            <w:tcBorders>
              <w:top w:val="single" w:sz="4" w:space="0" w:color="auto"/>
              <w:left w:val="nil"/>
              <w:bottom w:val="single" w:sz="4" w:space="0" w:color="FFFFFF"/>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Bias</w:t>
            </w:r>
          </w:p>
        </w:tc>
        <w:tc>
          <w:tcPr>
            <w:tcW w:w="1760" w:type="dxa"/>
            <w:gridSpan w:val="2"/>
            <w:tcBorders>
              <w:top w:val="single" w:sz="4" w:space="0" w:color="auto"/>
              <w:left w:val="nil"/>
              <w:bottom w:val="single" w:sz="4" w:space="0" w:color="FFFFFF"/>
              <w:right w:val="single" w:sz="4" w:space="0" w:color="000000"/>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Goodness-of-Fit</w:t>
            </w:r>
          </w:p>
        </w:tc>
      </w:tr>
      <w:tr w:rsidR="00CE3792" w:rsidRPr="00CB1CB5" w:rsidTr="00B90B9B">
        <w:trPr>
          <w:trHeight w:val="225"/>
        </w:trPr>
        <w:tc>
          <w:tcPr>
            <w:tcW w:w="1120" w:type="dxa"/>
            <w:vMerge/>
            <w:tcBorders>
              <w:top w:val="single" w:sz="4" w:space="0" w:color="auto"/>
              <w:left w:val="single" w:sz="4" w:space="0" w:color="auto"/>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1140"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1160"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482"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1</w:t>
            </w:r>
          </w:p>
        </w:tc>
        <w:tc>
          <w:tcPr>
            <w:tcW w:w="482"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2</w:t>
            </w:r>
          </w:p>
        </w:tc>
        <w:tc>
          <w:tcPr>
            <w:tcW w:w="481"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3</w:t>
            </w:r>
          </w:p>
        </w:tc>
        <w:tc>
          <w:tcPr>
            <w:tcW w:w="481"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4</w:t>
            </w:r>
          </w:p>
        </w:tc>
        <w:tc>
          <w:tcPr>
            <w:tcW w:w="481"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5</w:t>
            </w:r>
          </w:p>
        </w:tc>
        <w:tc>
          <w:tcPr>
            <w:tcW w:w="487"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6</w:t>
            </w:r>
          </w:p>
        </w:tc>
        <w:tc>
          <w:tcPr>
            <w:tcW w:w="481"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7</w:t>
            </w:r>
          </w:p>
        </w:tc>
        <w:tc>
          <w:tcPr>
            <w:tcW w:w="481"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8</w:t>
            </w:r>
          </w:p>
        </w:tc>
        <w:tc>
          <w:tcPr>
            <w:tcW w:w="481"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9</w:t>
            </w:r>
          </w:p>
        </w:tc>
        <w:tc>
          <w:tcPr>
            <w:tcW w:w="500"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700" w:type="dxa"/>
            <w:tcBorders>
              <w:top w:val="nil"/>
              <w:left w:val="nil"/>
              <w:bottom w:val="single" w:sz="4" w:space="0" w:color="auto"/>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MPE</w:t>
            </w:r>
          </w:p>
        </w:tc>
        <w:tc>
          <w:tcPr>
            <w:tcW w:w="700" w:type="dxa"/>
            <w:tcBorders>
              <w:top w:val="nil"/>
              <w:left w:val="nil"/>
              <w:bottom w:val="single" w:sz="4" w:space="0" w:color="auto"/>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MAPE</w:t>
            </w:r>
          </w:p>
        </w:tc>
        <w:tc>
          <w:tcPr>
            <w:tcW w:w="1060" w:type="dxa"/>
            <w:tcBorders>
              <w:top w:val="nil"/>
              <w:left w:val="nil"/>
              <w:bottom w:val="single" w:sz="4" w:space="0" w:color="auto"/>
              <w:right w:val="single" w:sz="4" w:space="0" w:color="auto"/>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EF798E">
              <w:rPr>
                <w:rFonts w:ascii="Arial" w:eastAsia="Times New Roman" w:hAnsi="Arial" w:cs="Arial"/>
                <w:b/>
                <w:bCs/>
                <w:color w:val="FFFFFF"/>
                <w:sz w:val="16"/>
                <w:szCs w:val="16"/>
              </w:rPr>
              <w:t>CV RMSE</w:t>
            </w:r>
          </w:p>
        </w:tc>
      </w:tr>
      <w:tr w:rsidR="00CE3792" w:rsidRPr="00CB1CB5" w:rsidTr="00B90B9B">
        <w:trPr>
          <w:trHeight w:val="225"/>
        </w:trPr>
        <w:tc>
          <w:tcPr>
            <w:tcW w:w="3420" w:type="dxa"/>
            <w:gridSpan w:val="3"/>
            <w:tcBorders>
              <w:top w:val="nil"/>
              <w:left w:val="single" w:sz="4" w:space="0" w:color="auto"/>
              <w:bottom w:val="single" w:sz="4" w:space="0" w:color="auto"/>
              <w:right w:val="single" w:sz="4" w:space="0" w:color="auto"/>
            </w:tcBorders>
            <w:shd w:val="clear" w:color="000000" w:fill="FFFFFF"/>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Simulated</w:t>
            </w:r>
            <w:r w:rsidRPr="00CB1CB5">
              <w:rPr>
                <w:rFonts w:ascii="Arial" w:eastAsia="Times New Roman" w:hAnsi="Arial" w:cs="Arial"/>
                <w:b/>
                <w:bCs/>
                <w:color w:val="000000"/>
                <w:sz w:val="16"/>
                <w:szCs w:val="16"/>
              </w:rPr>
              <w:t xml:space="preserve"> Impact</w:t>
            </w:r>
          </w:p>
        </w:tc>
        <w:tc>
          <w:tcPr>
            <w:tcW w:w="4337" w:type="dxa"/>
            <w:gridSpan w:val="9"/>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w:t>
            </w:r>
          </w:p>
        </w:tc>
      </w:tr>
      <w:tr w:rsidR="00CE3792" w:rsidRPr="00CB1CB5" w:rsidTr="00B90B9B">
        <w:trPr>
          <w:trHeight w:val="225"/>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Individual</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Aggregator Choice</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Unadjusted</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6.5</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-33.6%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33.6%</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0.403</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8.8</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6.6</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-22.3%</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22.3%</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0.264</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8.5</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-22.1%</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22.2%</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0.262</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35%</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-22.5%</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22.7%</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0.267</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40%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9.7</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-23.4%</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23.4%</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0.275</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50%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-24.9%</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24.9%</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0.289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2x</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8.7</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8.0</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-18.2%</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18.2%</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0.229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Unlimited</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9.9</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25.6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10.4</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5.9%</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30.2%</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0.559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Unadjusted</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6.5</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-33.6%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33.6%</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0.403</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8.7</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6.5</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-22.8%</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22.8%</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0.266</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-22.8%</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22.8%</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0.267</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35%</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-23.3%</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23.3%</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0.273</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40%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-24.3%</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24.3%</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0.282</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50%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-26.1%</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26.1%</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0.299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2x</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8.7</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7.2</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-19.3%</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19.3%</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0.238</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Unlimited</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9.5</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25.1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10.2</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4.2%</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30.5%</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0.545</w:t>
            </w:r>
          </w:p>
        </w:tc>
      </w:tr>
      <w:tr w:rsidR="00CE3792" w:rsidRPr="00CB1CB5" w:rsidTr="00B90B9B">
        <w:trPr>
          <w:trHeight w:val="225"/>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Aggregate</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Aggregator Choice</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Unadjusted</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6.5</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-33.6%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33.6%</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0.403</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-19.8%</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19.8%</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0.236</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4.7</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-20.5%</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20.5%</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0.250</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35%</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-20.9%</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20.9%</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0.257</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40%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-21.2%</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21.2%</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0.264</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50%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-21.4%</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21.4%</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0.267</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2x</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-21.4%</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21.4%</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0.267</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Unlimited</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-21.4%</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21.4%</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0.267</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Unadjusted</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6.5</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-33.6%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33.6%</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0.403</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9.2</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-20.1%</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20.1%</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0.238</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9.2</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-21.2%</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21.2%</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0.255</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35%</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9.1</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21.6%</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0.263</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40%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9.1</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-22.1%</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22.1%</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0.271</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50%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7.2</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3.7</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-22.4%</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22.4%</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0.276</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2x</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9.2</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7.2</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3.7</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8.9</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-22.2%</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22.2%</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0.275</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Unlimited</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9.0</w:t>
            </w:r>
          </w:p>
        </w:tc>
        <w:tc>
          <w:tcPr>
            <w:tcW w:w="482"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9.0</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487"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3.5</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8.8</w:t>
            </w:r>
          </w:p>
        </w:tc>
        <w:tc>
          <w:tcPr>
            <w:tcW w:w="481"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-23.0%</w:t>
            </w:r>
          </w:p>
        </w:tc>
        <w:tc>
          <w:tcPr>
            <w:tcW w:w="700" w:type="dxa"/>
            <w:tcBorders>
              <w:top w:val="nil"/>
              <w:left w:val="nil"/>
              <w:bottom w:val="single" w:sz="4" w:space="0" w:color="auto"/>
              <w:right w:val="single" w:sz="4" w:space="0" w:color="auto"/>
            </w:tcBorders>
            <w:shd w:val="clear" w:color="000000" w:fill="FFFFFF"/>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23.0%</w:t>
            </w:r>
          </w:p>
        </w:tc>
        <w:tc>
          <w:tcPr>
            <w:tcW w:w="1060" w:type="dxa"/>
            <w:tcBorders>
              <w:top w:val="nil"/>
              <w:left w:val="nil"/>
              <w:bottom w:val="single" w:sz="4" w:space="0" w:color="auto"/>
              <w:right w:val="single" w:sz="4" w:space="0" w:color="auto"/>
            </w:tcBorders>
            <w:shd w:val="clear" w:color="000000" w:fill="FFFFFF"/>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0.284</w:t>
            </w:r>
          </w:p>
        </w:tc>
      </w:tr>
    </w:tbl>
    <w:p w:rsidR="00B073CB" w:rsidRPr="00A707D6" w:rsidRDefault="00B073CB" w:rsidP="00B073CB">
      <w:pPr>
        <w:pStyle w:val="TableFigureCaption"/>
      </w:pPr>
      <w:r>
        <w:lastRenderedPageBreak/>
        <w:t xml:space="preserve">Table </w:t>
      </w:r>
      <w:r w:rsidR="00C75DD2">
        <w:t>3</w:t>
      </w:r>
      <w:r>
        <w:t xml:space="preserve">-9: Daily Impacts and Errors by Baseline Type, PG&amp;E CBP, </w:t>
      </w:r>
      <w:r w:rsidR="00E535D9">
        <w:t>Day-of</w:t>
      </w:r>
    </w:p>
    <w:tbl>
      <w:tblPr>
        <w:tblW w:w="10880" w:type="dxa"/>
        <w:tblInd w:w="93" w:type="dxa"/>
        <w:tblCellMar>
          <w:left w:w="43" w:type="dxa"/>
          <w:right w:w="43" w:type="dxa"/>
        </w:tblCellMar>
        <w:tblLook w:val="04A0"/>
      </w:tblPr>
      <w:tblGrid>
        <w:gridCol w:w="1120"/>
        <w:gridCol w:w="1140"/>
        <w:gridCol w:w="1160"/>
        <w:gridCol w:w="500"/>
        <w:gridCol w:w="500"/>
        <w:gridCol w:w="500"/>
        <w:gridCol w:w="500"/>
        <w:gridCol w:w="500"/>
        <w:gridCol w:w="500"/>
        <w:gridCol w:w="500"/>
        <w:gridCol w:w="500"/>
        <w:gridCol w:w="500"/>
        <w:gridCol w:w="500"/>
        <w:gridCol w:w="700"/>
        <w:gridCol w:w="700"/>
        <w:gridCol w:w="1060"/>
      </w:tblGrid>
      <w:tr w:rsidR="00CE3792" w:rsidRPr="00CB1CB5" w:rsidTr="00B90B9B">
        <w:trPr>
          <w:trHeight w:val="225"/>
        </w:trPr>
        <w:tc>
          <w:tcPr>
            <w:tcW w:w="1120" w:type="dxa"/>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Application of Baselines</w:t>
            </w:r>
          </w:p>
        </w:tc>
        <w:tc>
          <w:tcPr>
            <w:tcW w:w="114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Adjustment Option</w:t>
            </w:r>
          </w:p>
        </w:tc>
        <w:tc>
          <w:tcPr>
            <w:tcW w:w="116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Adjustment Cap</w:t>
            </w:r>
          </w:p>
        </w:tc>
        <w:tc>
          <w:tcPr>
            <w:tcW w:w="4500" w:type="dxa"/>
            <w:gridSpan w:val="9"/>
            <w:tcBorders>
              <w:top w:val="single" w:sz="4" w:space="0" w:color="auto"/>
              <w:left w:val="nil"/>
              <w:bottom w:val="single" w:sz="4" w:space="0" w:color="FFFFFF"/>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Impact (MW) by Proxy Event Day</w:t>
            </w:r>
          </w:p>
        </w:tc>
        <w:tc>
          <w:tcPr>
            <w:tcW w:w="50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Avg</w:t>
            </w:r>
          </w:p>
        </w:tc>
        <w:tc>
          <w:tcPr>
            <w:tcW w:w="700" w:type="dxa"/>
            <w:tcBorders>
              <w:top w:val="single" w:sz="4" w:space="0" w:color="auto"/>
              <w:left w:val="nil"/>
              <w:bottom w:val="single" w:sz="4" w:space="0" w:color="FFFFFF"/>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Bias</w:t>
            </w:r>
          </w:p>
        </w:tc>
        <w:tc>
          <w:tcPr>
            <w:tcW w:w="1760" w:type="dxa"/>
            <w:gridSpan w:val="2"/>
            <w:tcBorders>
              <w:top w:val="single" w:sz="4" w:space="0" w:color="auto"/>
              <w:left w:val="nil"/>
              <w:bottom w:val="single" w:sz="4" w:space="0" w:color="FFFFFF"/>
              <w:right w:val="single" w:sz="4" w:space="0" w:color="000000"/>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Goodness-of-Fit</w:t>
            </w:r>
          </w:p>
        </w:tc>
      </w:tr>
      <w:tr w:rsidR="00CE3792" w:rsidRPr="00CB1CB5" w:rsidTr="00B90B9B">
        <w:trPr>
          <w:trHeight w:val="435"/>
        </w:trPr>
        <w:tc>
          <w:tcPr>
            <w:tcW w:w="1120" w:type="dxa"/>
            <w:vMerge/>
            <w:tcBorders>
              <w:top w:val="single" w:sz="4" w:space="0" w:color="auto"/>
              <w:left w:val="single" w:sz="4" w:space="0" w:color="auto"/>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1140"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1160"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1</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2</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3</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4</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5</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6</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7</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8</w:t>
            </w: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9</w:t>
            </w:r>
          </w:p>
        </w:tc>
        <w:tc>
          <w:tcPr>
            <w:tcW w:w="500" w:type="dxa"/>
            <w:vMerge/>
            <w:tcBorders>
              <w:top w:val="single" w:sz="4" w:space="0" w:color="auto"/>
              <w:left w:val="single" w:sz="4" w:space="0" w:color="FFFFFF"/>
              <w:bottom w:val="single" w:sz="4" w:space="0" w:color="000000"/>
              <w:right w:val="single" w:sz="4" w:space="0" w:color="FFFFFF"/>
            </w:tcBorders>
            <w:vAlign w:val="center"/>
            <w:hideMark/>
          </w:tcPr>
          <w:p w:rsidR="00CE3792" w:rsidRDefault="00CE3792" w:rsidP="00B90B9B">
            <w:pPr>
              <w:spacing w:after="0" w:line="240" w:lineRule="auto"/>
              <w:jc w:val="center"/>
              <w:rPr>
                <w:rFonts w:ascii="Arial" w:eastAsia="Times New Roman" w:hAnsi="Arial" w:cs="Arial"/>
                <w:b/>
                <w:bCs/>
                <w:color w:val="FFFFFF"/>
                <w:sz w:val="16"/>
                <w:szCs w:val="16"/>
              </w:rPr>
            </w:pPr>
          </w:p>
        </w:tc>
        <w:tc>
          <w:tcPr>
            <w:tcW w:w="700" w:type="dxa"/>
            <w:tcBorders>
              <w:top w:val="nil"/>
              <w:left w:val="nil"/>
              <w:bottom w:val="single" w:sz="4" w:space="0" w:color="auto"/>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MPE</w:t>
            </w:r>
          </w:p>
        </w:tc>
        <w:tc>
          <w:tcPr>
            <w:tcW w:w="700" w:type="dxa"/>
            <w:tcBorders>
              <w:top w:val="nil"/>
              <w:left w:val="nil"/>
              <w:bottom w:val="single" w:sz="4" w:space="0" w:color="auto"/>
              <w:right w:val="single" w:sz="4" w:space="0" w:color="FFFFFF"/>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CB1CB5">
              <w:rPr>
                <w:rFonts w:ascii="Arial" w:eastAsia="Times New Roman" w:hAnsi="Arial" w:cs="Arial"/>
                <w:b/>
                <w:bCs/>
                <w:color w:val="FFFFFF"/>
                <w:sz w:val="16"/>
                <w:szCs w:val="16"/>
              </w:rPr>
              <w:t>MAPE</w:t>
            </w:r>
          </w:p>
        </w:tc>
        <w:tc>
          <w:tcPr>
            <w:tcW w:w="1060" w:type="dxa"/>
            <w:tcBorders>
              <w:top w:val="nil"/>
              <w:left w:val="nil"/>
              <w:bottom w:val="single" w:sz="4" w:space="0" w:color="auto"/>
              <w:right w:val="single" w:sz="4" w:space="0" w:color="auto"/>
            </w:tcBorders>
            <w:shd w:val="clear" w:color="000000" w:fill="1F497D"/>
            <w:vAlign w:val="center"/>
            <w:hideMark/>
          </w:tcPr>
          <w:p w:rsidR="00CE3792" w:rsidRPr="00CB1CB5" w:rsidRDefault="00CE3792" w:rsidP="00B90B9B">
            <w:pPr>
              <w:spacing w:after="0" w:line="240" w:lineRule="auto"/>
              <w:jc w:val="center"/>
              <w:rPr>
                <w:rFonts w:ascii="Arial" w:eastAsia="Times New Roman" w:hAnsi="Arial" w:cs="Arial"/>
                <w:b/>
                <w:bCs/>
                <w:color w:val="FFFFFF"/>
                <w:sz w:val="16"/>
                <w:szCs w:val="16"/>
              </w:rPr>
            </w:pPr>
            <w:r w:rsidRPr="00EF798E">
              <w:rPr>
                <w:rFonts w:ascii="Arial" w:eastAsia="Times New Roman" w:hAnsi="Arial" w:cs="Arial"/>
                <w:b/>
                <w:bCs/>
                <w:color w:val="FFFFFF"/>
                <w:sz w:val="16"/>
                <w:szCs w:val="16"/>
              </w:rPr>
              <w:t>CV RMSE</w:t>
            </w:r>
          </w:p>
        </w:tc>
      </w:tr>
      <w:tr w:rsidR="00CE3792" w:rsidRPr="00CB1CB5" w:rsidTr="00B90B9B">
        <w:trPr>
          <w:trHeight w:val="225"/>
        </w:trPr>
        <w:tc>
          <w:tcPr>
            <w:tcW w:w="3420" w:type="dxa"/>
            <w:gridSpan w:val="3"/>
            <w:tcBorders>
              <w:top w:val="nil"/>
              <w:left w:val="single" w:sz="4" w:space="0" w:color="auto"/>
              <w:bottom w:val="single" w:sz="4" w:space="0" w:color="auto"/>
              <w:right w:val="single" w:sz="4" w:space="0" w:color="auto"/>
            </w:tcBorders>
            <w:shd w:val="clear" w:color="000000" w:fill="FFFFFF"/>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Simulated</w:t>
            </w:r>
            <w:r w:rsidRPr="00CB1CB5">
              <w:rPr>
                <w:rFonts w:ascii="Arial" w:eastAsia="Times New Roman" w:hAnsi="Arial" w:cs="Arial"/>
                <w:b/>
                <w:bCs/>
                <w:color w:val="000000"/>
                <w:sz w:val="16"/>
                <w:szCs w:val="16"/>
              </w:rPr>
              <w:t xml:space="preserve"> Impact</w:t>
            </w:r>
          </w:p>
        </w:tc>
        <w:tc>
          <w:tcPr>
            <w:tcW w:w="4500" w:type="dxa"/>
            <w:gridSpan w:val="9"/>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w:t>
            </w:r>
          </w:p>
        </w:tc>
      </w:tr>
      <w:tr w:rsidR="00CE3792" w:rsidRPr="00CB1CB5" w:rsidTr="00B90B9B">
        <w:trPr>
          <w:trHeight w:val="225"/>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Individual</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Aggregator Choice</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-34.3%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0.456</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11.0%</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0.139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-10.1%</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11.3%</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0.138</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11.8%</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0.143</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-11.0%</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12.1%</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0.147</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12.4%</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0.151</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-10.0%</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11.0%</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0.141</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12.2%</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0.163</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-34.3%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0.456</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11.1%</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0.140</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11.4%</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0.139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0.144</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-11.1%</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12.1%</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0.147</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7.1</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12.4%</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0.152</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-10.0%</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11.1%</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0.142</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12.3%</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0.164</w:t>
            </w:r>
          </w:p>
        </w:tc>
      </w:tr>
      <w:tr w:rsidR="00CE3792" w:rsidRPr="00CB1CB5" w:rsidTr="00B90B9B">
        <w:trPr>
          <w:trHeight w:val="225"/>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Aggregate</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Aggregator Choice</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-34.3%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0.456</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10.8%</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0.148</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10.8%</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0.148</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10.8%</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0.148</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0.148</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0.148</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-9.4%</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11.0%</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-8.6%</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10.7%</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0.148</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4.8</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-34.3%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38.9%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0.456</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-10.0%</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0.148</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-9.9%</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-9.8%</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10.9%</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-9.5%</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11.1%</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0.149</w:t>
            </w:r>
          </w:p>
        </w:tc>
      </w:tr>
      <w:tr w:rsidR="00CE3792" w:rsidRPr="00CB1CB5" w:rsidTr="00B90B9B">
        <w:trPr>
          <w:trHeight w:val="225"/>
        </w:trPr>
        <w:tc>
          <w:tcPr>
            <w:tcW w:w="112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CE3792" w:rsidRDefault="00CE3792" w:rsidP="00B90B9B">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b/>
                <w:bCs/>
                <w:color w:val="000000"/>
                <w:sz w:val="16"/>
                <w:szCs w:val="16"/>
              </w:rPr>
            </w:pPr>
            <w:r w:rsidRPr="00CB1CB5">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8.2</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8.1</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7.4</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-8.7%</w:t>
            </w:r>
          </w:p>
        </w:tc>
        <w:tc>
          <w:tcPr>
            <w:tcW w:w="700" w:type="dxa"/>
            <w:tcBorders>
              <w:top w:val="nil"/>
              <w:left w:val="nil"/>
              <w:bottom w:val="single" w:sz="4" w:space="0" w:color="auto"/>
              <w:right w:val="single" w:sz="4" w:space="0" w:color="auto"/>
            </w:tcBorders>
            <w:shd w:val="clear" w:color="auto" w:fill="auto"/>
            <w:noWrap/>
            <w:vAlign w:val="center"/>
            <w:hideMark/>
          </w:tcPr>
          <w:p w:rsidR="00CE3792" w:rsidRPr="00CB1CB5" w:rsidRDefault="00CE3792" w:rsidP="00B90B9B">
            <w:pPr>
              <w:spacing w:after="0" w:line="240" w:lineRule="auto"/>
              <w:jc w:val="center"/>
              <w:rPr>
                <w:rFonts w:ascii="Arial" w:eastAsia="Times New Roman" w:hAnsi="Arial" w:cs="Arial"/>
                <w:color w:val="000000"/>
                <w:sz w:val="16"/>
                <w:szCs w:val="16"/>
              </w:rPr>
            </w:pPr>
            <w:r w:rsidRPr="00CB1CB5">
              <w:rPr>
                <w:rFonts w:ascii="Arial" w:eastAsia="Times New Roman" w:hAnsi="Arial" w:cs="Arial"/>
                <w:color w:val="000000"/>
                <w:sz w:val="16"/>
                <w:szCs w:val="16"/>
              </w:rPr>
              <w:t>10.8%</w:t>
            </w:r>
          </w:p>
        </w:tc>
        <w:tc>
          <w:tcPr>
            <w:tcW w:w="1060" w:type="dxa"/>
            <w:tcBorders>
              <w:top w:val="nil"/>
              <w:left w:val="nil"/>
              <w:bottom w:val="single" w:sz="4" w:space="0" w:color="auto"/>
              <w:right w:val="single" w:sz="4" w:space="0" w:color="auto"/>
            </w:tcBorders>
            <w:shd w:val="clear" w:color="auto" w:fill="auto"/>
            <w:vAlign w:val="center"/>
            <w:hideMark/>
          </w:tcPr>
          <w:p w:rsidR="00CE3792" w:rsidRPr="00CB1CB5" w:rsidRDefault="00CE3792" w:rsidP="00B90B9B">
            <w:pPr>
              <w:keepNext/>
              <w:spacing w:after="0" w:line="240" w:lineRule="auto"/>
              <w:jc w:val="center"/>
              <w:rPr>
                <w:rFonts w:ascii="Arial" w:eastAsia="Times New Roman" w:hAnsi="Arial" w:cs="Arial"/>
                <w:color w:val="000000"/>
                <w:sz w:val="16"/>
                <w:szCs w:val="16"/>
              </w:rPr>
            </w:pPr>
            <w:r w:rsidRPr="00EF798E">
              <w:rPr>
                <w:rFonts w:ascii="Arial" w:eastAsia="Times New Roman" w:hAnsi="Arial" w:cs="Arial"/>
                <w:color w:val="000000"/>
                <w:sz w:val="16"/>
                <w:szCs w:val="16"/>
              </w:rPr>
              <w:t>0.149</w:t>
            </w:r>
          </w:p>
        </w:tc>
      </w:tr>
    </w:tbl>
    <w:p w:rsidR="002E1347" w:rsidRDefault="002E1347" w:rsidP="002E1347"/>
    <w:p w:rsidR="00B073CB" w:rsidRDefault="00B073CB" w:rsidP="002E1347">
      <w:pPr>
        <w:sectPr w:rsidR="00B073CB" w:rsidSect="00CC2233">
          <w:headerReference w:type="default" r:id="rId35"/>
          <w:pgSz w:w="15840" w:h="12240" w:orient="landscape"/>
          <w:pgMar w:top="1440" w:right="1440" w:bottom="1440" w:left="1440" w:header="720" w:footer="720" w:gutter="0"/>
          <w:cols w:space="720"/>
          <w:docGrid w:linePitch="360"/>
        </w:sectPr>
      </w:pPr>
    </w:p>
    <w:p w:rsidR="00B073CB" w:rsidRDefault="00B073CB" w:rsidP="00B073CB">
      <w:pPr>
        <w:pStyle w:val="Heading2"/>
      </w:pPr>
      <w:bookmarkStart w:id="115" w:name="_Toc318472355"/>
      <w:bookmarkStart w:id="116" w:name="_Toc318789296"/>
      <w:bookmarkStart w:id="117" w:name="_Toc324232569"/>
      <w:bookmarkStart w:id="118" w:name="_Toc326150814"/>
      <w:r>
        <w:lastRenderedPageBreak/>
        <w:t>SCE</w:t>
      </w:r>
      <w:bookmarkEnd w:id="115"/>
      <w:bookmarkEnd w:id="116"/>
      <w:r w:rsidR="00FB7284">
        <w:t xml:space="preserve"> Settlement Baseline Accuracy Analysis</w:t>
      </w:r>
      <w:bookmarkEnd w:id="117"/>
      <w:bookmarkEnd w:id="118"/>
    </w:p>
    <w:p w:rsidR="00B073CB" w:rsidRPr="002A0D9D" w:rsidRDefault="00B073CB" w:rsidP="00B073CB">
      <w:pPr>
        <w:pStyle w:val="BodyParagraph"/>
      </w:pPr>
      <w:r>
        <w:t xml:space="preserve">Figure </w:t>
      </w:r>
      <w:r w:rsidR="00C75DD2">
        <w:t>3</w:t>
      </w:r>
      <w:r>
        <w:t xml:space="preserve">-3 shows the extent to which each baseline </w:t>
      </w:r>
      <w:r w:rsidR="00C75DD2">
        <w:t xml:space="preserve">method </w:t>
      </w:r>
      <w:r>
        <w:t>underestimates or overestimates demand red</w:t>
      </w:r>
      <w:r w:rsidR="00C75DD2">
        <w:t>uctions for SCE’s DRRC program</w:t>
      </w:r>
      <w:r>
        <w:t xml:space="preserve"> for both the </w:t>
      </w:r>
      <w:r w:rsidR="00E535D9">
        <w:t>day-of</w:t>
      </w:r>
      <w:r>
        <w:t xml:space="preserve"> and </w:t>
      </w:r>
      <w:r w:rsidR="00E535D9">
        <w:t>day-ahead</w:t>
      </w:r>
      <w:r>
        <w:t xml:space="preserve"> </w:t>
      </w:r>
      <w:r w:rsidR="00C75DD2">
        <w:t>resources</w:t>
      </w:r>
      <w:r>
        <w:t xml:space="preserve">. </w:t>
      </w:r>
      <w:r w:rsidR="00C75DD2">
        <w:t xml:space="preserve"> </w:t>
      </w:r>
      <w:r>
        <w:t xml:space="preserve">Table </w:t>
      </w:r>
      <w:r w:rsidR="00C75DD2">
        <w:t>3</w:t>
      </w:r>
      <w:r>
        <w:t>-10 sho</w:t>
      </w:r>
      <w:r w:rsidR="00C75DD2">
        <w:t>ws the same information in tabular</w:t>
      </w:r>
      <w:r>
        <w:t xml:space="preserve"> form.</w:t>
      </w:r>
    </w:p>
    <w:p w:rsidR="00B073CB" w:rsidRPr="002A0D9D" w:rsidRDefault="00B073CB" w:rsidP="00B073CB">
      <w:pPr>
        <w:pStyle w:val="TableFigureCaption"/>
      </w:pPr>
      <w:r>
        <w:t xml:space="preserve">Figure </w:t>
      </w:r>
      <w:r w:rsidR="00C75DD2">
        <w:t xml:space="preserve">3-3: </w:t>
      </w:r>
      <w:r>
        <w:t>Bias by Baseline Type</w:t>
      </w:r>
      <w:r w:rsidR="00C75DD2">
        <w:t xml:space="preserve"> for SCE’s DRRC Program</w:t>
      </w:r>
    </w:p>
    <w:p w:rsidR="002E1347" w:rsidRDefault="008B5314" w:rsidP="002E1347">
      <w:pPr>
        <w:pStyle w:val="BodyParagraph"/>
      </w:pPr>
      <w:r>
        <w:rPr>
          <w:noProof/>
        </w:rPr>
        <w:drawing>
          <wp:inline distT="0" distB="0" distL="0" distR="0">
            <wp:extent cx="5943600" cy="2963545"/>
            <wp:effectExtent l="19050" t="0" r="19050" b="8255"/>
            <wp:docPr id="3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073CB" w:rsidRDefault="00B073CB" w:rsidP="00147ADF">
      <w:pPr>
        <w:pStyle w:val="BodyParaAfterTableFigure"/>
      </w:pPr>
      <w:r>
        <w:t xml:space="preserve">Except for the individual, unlimited aggregator choice baselines, each baseline </w:t>
      </w:r>
      <w:r w:rsidR="00C75DD2">
        <w:t xml:space="preserve">method </w:t>
      </w:r>
      <w:r>
        <w:t>underestimate</w:t>
      </w:r>
      <w:r w:rsidR="00C75DD2">
        <w:t>s</w:t>
      </w:r>
      <w:r>
        <w:t xml:space="preserve"> the true impact, although the magnitude of the underestimation varies. </w:t>
      </w:r>
      <w:r w:rsidR="00C75DD2">
        <w:t xml:space="preserve"> </w:t>
      </w:r>
      <w:r>
        <w:t xml:space="preserve">As the adjustment cap is loosened, the tendency to underestimate reductions decreases; moreover, as adjustments are applied at the settlement portfolio </w:t>
      </w:r>
      <w:r w:rsidR="00C75DD2">
        <w:t xml:space="preserve">level </w:t>
      </w:r>
      <w:r>
        <w:t xml:space="preserve">and are mandatory, error decreases further. </w:t>
      </w:r>
      <w:r w:rsidR="00C75DD2">
        <w:t xml:space="preserve"> </w:t>
      </w:r>
      <w:r>
        <w:t>This is in keeping with the patterns seen</w:t>
      </w:r>
      <w:r w:rsidR="00C75DD2">
        <w:t xml:space="preserve"> for PG&amp;E’s AMP program</w:t>
      </w:r>
      <w:r>
        <w:t>.</w:t>
      </w:r>
    </w:p>
    <w:p w:rsidR="00B073CB" w:rsidRDefault="00B073CB" w:rsidP="00B073CB">
      <w:pPr>
        <w:pStyle w:val="BodyParagraph"/>
      </w:pPr>
      <w:r>
        <w:t xml:space="preserve">The one exception to the pattern is the unlimited aggregator choice baseline, which </w:t>
      </w:r>
      <w:r w:rsidRPr="002A0D9D">
        <w:rPr>
          <w:i/>
        </w:rPr>
        <w:t>overestimates</w:t>
      </w:r>
      <w:r w:rsidR="00C75DD2">
        <w:t xml:space="preserve"> </w:t>
      </w:r>
      <w:r>
        <w:t xml:space="preserve">demand reduction by nearly 50%. </w:t>
      </w:r>
      <w:r w:rsidR="00C75DD2">
        <w:t xml:space="preserve"> </w:t>
      </w:r>
      <w:r>
        <w:t>This is because one particular day-ahead settlement portfolio has a disproportionate number of accounts with enormous unlimited ratio adjustments; one account has an adjustment ratio of 450</w:t>
      </w:r>
      <w:r w:rsidR="00C75DD2">
        <w:t>%</w:t>
      </w:r>
      <w:r>
        <w:t>, while four others have ratio adjustments greater than 200</w:t>
      </w:r>
      <w:r w:rsidR="00C75DD2">
        <w:t>%</w:t>
      </w:r>
      <w:r>
        <w:t xml:space="preserve">. </w:t>
      </w:r>
      <w:r w:rsidR="00C75DD2">
        <w:t xml:space="preserve"> </w:t>
      </w:r>
      <w:r>
        <w:t xml:space="preserve">These massive adjustments are not needed and produce an enormous amount of bias in the baselines for these customers when baselines are calculated at the individual level, which, when averaged together with the bias for all 158 customers, creates an average upward bias of about 50%. </w:t>
      </w:r>
      <w:r w:rsidR="00C75DD2">
        <w:t xml:space="preserve"> </w:t>
      </w:r>
      <w:r>
        <w:t xml:space="preserve">When aggregating loads and </w:t>
      </w:r>
      <w:r>
        <w:rPr>
          <w:i/>
        </w:rPr>
        <w:t>then</w:t>
      </w:r>
      <w:r>
        <w:t xml:space="preserve"> applying the adjustment, the error is drastically reduced, because it is much easier to estimate an accurate baseline for a large group of customers than for one individual customer.</w:t>
      </w:r>
    </w:p>
    <w:p w:rsidR="00B073CB" w:rsidRDefault="00B073CB" w:rsidP="00B073CB">
      <w:pPr>
        <w:pStyle w:val="BodyParagraph"/>
      </w:pPr>
      <w:r>
        <w:t xml:space="preserve">Figure </w:t>
      </w:r>
      <w:r w:rsidR="00C75DD2">
        <w:t>3-4</w:t>
      </w:r>
      <w:r>
        <w:t xml:space="preserve"> shows the extent to which each baseline </w:t>
      </w:r>
      <w:r w:rsidR="00C75DD2">
        <w:t xml:space="preserve">method </w:t>
      </w:r>
      <w:r>
        <w:t>underestimates demand reductions fo</w:t>
      </w:r>
      <w:r w:rsidR="00C75DD2">
        <w:t xml:space="preserve">r SCE’s CBP program for both the </w:t>
      </w:r>
      <w:r w:rsidR="00E535D9">
        <w:t>day-of</w:t>
      </w:r>
      <w:r w:rsidR="00C75DD2">
        <w:t xml:space="preserve"> and </w:t>
      </w:r>
      <w:r w:rsidR="00E535D9">
        <w:t>day-ahead</w:t>
      </w:r>
      <w:r>
        <w:t xml:space="preserve"> </w:t>
      </w:r>
      <w:r w:rsidR="00C75DD2">
        <w:t>resource</w:t>
      </w:r>
      <w:r>
        <w:t xml:space="preserve">. </w:t>
      </w:r>
      <w:r w:rsidR="00C75DD2">
        <w:t xml:space="preserve"> </w:t>
      </w:r>
      <w:r w:rsidR="00D5296B">
        <w:t>Table 3</w:t>
      </w:r>
      <w:r w:rsidR="00C75DD2">
        <w:t>-1</w:t>
      </w:r>
      <w:r w:rsidR="000A2060">
        <w:t>0</w:t>
      </w:r>
      <w:r>
        <w:t xml:space="preserve"> sho</w:t>
      </w:r>
      <w:r w:rsidR="00C75DD2">
        <w:t>ws the same information in tabular</w:t>
      </w:r>
      <w:r>
        <w:t xml:space="preserve"> form. </w:t>
      </w:r>
      <w:r w:rsidR="00C75DD2">
        <w:t xml:space="preserve"> </w:t>
      </w:r>
      <w:r>
        <w:t>Making the adjustme</w:t>
      </w:r>
      <w:r w:rsidR="00C75DD2">
        <w:t xml:space="preserve">nt </w:t>
      </w:r>
      <w:r w:rsidR="00CE3792">
        <w:t>universal</w:t>
      </w:r>
      <w:r w:rsidR="00C75DD2">
        <w:t xml:space="preserve"> reduces bias for </w:t>
      </w:r>
      <w:r w:rsidR="00E535D9">
        <w:t>day-of</w:t>
      </w:r>
      <w:r>
        <w:t xml:space="preserve"> custome</w:t>
      </w:r>
      <w:r w:rsidR="00C75DD2">
        <w:t xml:space="preserve">rs, but has little effect for </w:t>
      </w:r>
      <w:r w:rsidR="00E535D9">
        <w:t>day-ahead</w:t>
      </w:r>
      <w:r w:rsidR="00C75DD2">
        <w:t xml:space="preserve"> customers, since most ay ahead</w:t>
      </w:r>
      <w:r>
        <w:t xml:space="preserve"> settlement portfolios already apply the adjustment. </w:t>
      </w:r>
      <w:r w:rsidR="00C75DD2">
        <w:t xml:space="preserve"> </w:t>
      </w:r>
      <w:r>
        <w:t>In addition, loosening the adjustm</w:t>
      </w:r>
      <w:r w:rsidR="00C75DD2">
        <w:t xml:space="preserve">ent cap has little effect for </w:t>
      </w:r>
      <w:r w:rsidR="00E535D9">
        <w:t>day-of</w:t>
      </w:r>
      <w:r>
        <w:t xml:space="preserve"> or </w:t>
      </w:r>
      <w:r w:rsidR="00E535D9">
        <w:t>day-ahead</w:t>
      </w:r>
      <w:r>
        <w:t xml:space="preserve"> </w:t>
      </w:r>
      <w:r>
        <w:lastRenderedPageBreak/>
        <w:t xml:space="preserve">customers; once any kind of adjustment is applied, loosening the cap does not markedly </w:t>
      </w:r>
      <w:r w:rsidR="00C75DD2">
        <w:t>reduce</w:t>
      </w:r>
      <w:r>
        <w:t xml:space="preserve"> bias. </w:t>
      </w:r>
      <w:r w:rsidR="00C75DD2">
        <w:t xml:space="preserve"> </w:t>
      </w:r>
      <w:r>
        <w:t>This is likely because the adjustments fall below progressively higher adjustment caps.</w:t>
      </w:r>
    </w:p>
    <w:p w:rsidR="00B073CB" w:rsidRDefault="00C75DD2" w:rsidP="00B073CB">
      <w:pPr>
        <w:pStyle w:val="TableFigureCaption"/>
      </w:pPr>
      <w:r>
        <w:t>Figure 3</w:t>
      </w:r>
      <w:r w:rsidR="00B073CB">
        <w:t>-4: Bias by Baseline Type</w:t>
      </w:r>
      <w:r>
        <w:t xml:space="preserve"> SCE’s CBP Program</w:t>
      </w:r>
    </w:p>
    <w:p w:rsidR="002E1347" w:rsidRDefault="008B5314" w:rsidP="002E1347">
      <w:pPr>
        <w:pStyle w:val="BodyParagraph"/>
      </w:pPr>
      <w:r>
        <w:rPr>
          <w:noProof/>
        </w:rPr>
        <w:drawing>
          <wp:inline distT="0" distB="0" distL="0" distR="0">
            <wp:extent cx="5943600" cy="2966720"/>
            <wp:effectExtent l="19050" t="0" r="19050" b="5080"/>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073CB" w:rsidRDefault="00B073CB" w:rsidP="00B073CB">
      <w:pPr>
        <w:rPr>
          <w:rFonts w:ascii="Arial" w:hAnsi="Arial"/>
          <w:b/>
          <w:sz w:val="20"/>
        </w:rPr>
      </w:pPr>
      <w:r>
        <w:br w:type="page"/>
      </w:r>
    </w:p>
    <w:p w:rsidR="00B073CB" w:rsidRDefault="00C75DD2" w:rsidP="00B073CB">
      <w:pPr>
        <w:pStyle w:val="TableFigureCaption"/>
      </w:pPr>
      <w:r>
        <w:lastRenderedPageBreak/>
        <w:t>Table 3-1</w:t>
      </w:r>
      <w:r w:rsidR="00D5296B">
        <w:t>0</w:t>
      </w:r>
      <w:r w:rsidR="00B073CB">
        <w:t>: Bias by Baseline Type</w:t>
      </w:r>
      <w:r>
        <w:t xml:space="preserve"> for SCE’s DRRC and CBP Programs</w:t>
      </w:r>
    </w:p>
    <w:tbl>
      <w:tblPr>
        <w:tblW w:w="10840" w:type="dxa"/>
        <w:jc w:val="center"/>
        <w:tblCellMar>
          <w:left w:w="43" w:type="dxa"/>
          <w:right w:w="43" w:type="dxa"/>
        </w:tblCellMar>
        <w:tblLook w:val="04A0"/>
      </w:tblPr>
      <w:tblGrid>
        <w:gridCol w:w="1111"/>
        <w:gridCol w:w="1076"/>
        <w:gridCol w:w="1076"/>
        <w:gridCol w:w="960"/>
        <w:gridCol w:w="960"/>
        <w:gridCol w:w="960"/>
        <w:gridCol w:w="960"/>
        <w:gridCol w:w="960"/>
        <w:gridCol w:w="960"/>
        <w:gridCol w:w="960"/>
        <w:gridCol w:w="960"/>
      </w:tblGrid>
      <w:tr w:rsidR="00B073CB" w:rsidRPr="00DD0B55" w:rsidTr="00CC2233">
        <w:trPr>
          <w:trHeight w:val="300"/>
          <w:jc w:val="center"/>
        </w:trPr>
        <w:tc>
          <w:tcPr>
            <w:tcW w:w="1111" w:type="dxa"/>
            <w:vMerge w:val="restart"/>
            <w:tcBorders>
              <w:top w:val="single" w:sz="4" w:space="0" w:color="auto"/>
              <w:left w:val="single" w:sz="4" w:space="0" w:color="auto"/>
              <w:bottom w:val="single" w:sz="4" w:space="0" w:color="000000"/>
              <w:right w:val="single" w:sz="4" w:space="0" w:color="FFFFFF"/>
            </w:tcBorders>
            <w:shd w:val="clear" w:color="000000" w:fill="376091"/>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r w:rsidRPr="00DD0B55">
              <w:rPr>
                <w:rFonts w:ascii="Arial" w:eastAsia="Times New Roman" w:hAnsi="Arial" w:cs="Arial"/>
                <w:b/>
                <w:bCs/>
                <w:color w:val="FFFFFF"/>
                <w:sz w:val="18"/>
                <w:szCs w:val="18"/>
              </w:rPr>
              <w:t>Application of Baselines</w:t>
            </w:r>
          </w:p>
        </w:tc>
        <w:tc>
          <w:tcPr>
            <w:tcW w:w="1049" w:type="dxa"/>
            <w:vMerge w:val="restart"/>
            <w:tcBorders>
              <w:top w:val="single" w:sz="4" w:space="0" w:color="auto"/>
              <w:left w:val="single" w:sz="4" w:space="0" w:color="FFFFFF"/>
              <w:bottom w:val="single" w:sz="4" w:space="0" w:color="000000"/>
              <w:right w:val="single" w:sz="4" w:space="0" w:color="FFFFFF"/>
            </w:tcBorders>
            <w:shd w:val="clear" w:color="000000" w:fill="376091"/>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r w:rsidRPr="00DD0B55">
              <w:rPr>
                <w:rFonts w:ascii="Arial" w:eastAsia="Times New Roman" w:hAnsi="Arial" w:cs="Arial"/>
                <w:b/>
                <w:bCs/>
                <w:color w:val="FFFFFF"/>
                <w:sz w:val="18"/>
                <w:szCs w:val="18"/>
              </w:rPr>
              <w:t>Adjustment Option</w:t>
            </w:r>
          </w:p>
        </w:tc>
        <w:tc>
          <w:tcPr>
            <w:tcW w:w="1000" w:type="dxa"/>
            <w:vMerge w:val="restart"/>
            <w:tcBorders>
              <w:top w:val="single" w:sz="4" w:space="0" w:color="auto"/>
              <w:left w:val="single" w:sz="4" w:space="0" w:color="FFFFFF"/>
              <w:bottom w:val="single" w:sz="4" w:space="0" w:color="000000"/>
              <w:right w:val="single" w:sz="4" w:space="0" w:color="FFFFFF"/>
            </w:tcBorders>
            <w:shd w:val="clear" w:color="000000" w:fill="376091"/>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r w:rsidRPr="00DD0B55">
              <w:rPr>
                <w:rFonts w:ascii="Arial" w:eastAsia="Times New Roman" w:hAnsi="Arial" w:cs="Arial"/>
                <w:b/>
                <w:bCs/>
                <w:color w:val="FFFFFF"/>
                <w:sz w:val="18"/>
                <w:szCs w:val="18"/>
              </w:rPr>
              <w:t>Adjustment Cap</w:t>
            </w:r>
          </w:p>
        </w:tc>
        <w:tc>
          <w:tcPr>
            <w:tcW w:w="3840" w:type="dxa"/>
            <w:gridSpan w:val="4"/>
            <w:tcBorders>
              <w:top w:val="single" w:sz="4" w:space="0" w:color="auto"/>
              <w:left w:val="nil"/>
              <w:bottom w:val="single" w:sz="4" w:space="0" w:color="FFFFFF"/>
              <w:right w:val="single" w:sz="4" w:space="0" w:color="FFFFFF"/>
            </w:tcBorders>
            <w:shd w:val="clear" w:color="000000" w:fill="376091"/>
            <w:noWrap/>
            <w:vAlign w:val="center"/>
            <w:hideMark/>
          </w:tcPr>
          <w:p w:rsidR="00B073CB" w:rsidRPr="00DD0B55" w:rsidRDefault="00C75DD2" w:rsidP="00CC223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Demand Response Resource Contracts</w:t>
            </w:r>
          </w:p>
        </w:tc>
        <w:tc>
          <w:tcPr>
            <w:tcW w:w="3840" w:type="dxa"/>
            <w:gridSpan w:val="4"/>
            <w:tcBorders>
              <w:top w:val="single" w:sz="4" w:space="0" w:color="auto"/>
              <w:left w:val="nil"/>
              <w:bottom w:val="single" w:sz="4" w:space="0" w:color="FFFFFF"/>
              <w:right w:val="single" w:sz="4" w:space="0" w:color="000000"/>
            </w:tcBorders>
            <w:shd w:val="clear" w:color="000000" w:fill="376091"/>
            <w:noWrap/>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r w:rsidRPr="00DD0B55">
              <w:rPr>
                <w:rFonts w:ascii="Arial" w:eastAsia="Times New Roman" w:hAnsi="Arial" w:cs="Arial"/>
                <w:b/>
                <w:bCs/>
                <w:color w:val="FFFFFF"/>
                <w:sz w:val="18"/>
                <w:szCs w:val="18"/>
              </w:rPr>
              <w:t>Capacity Bidding Program</w:t>
            </w:r>
          </w:p>
        </w:tc>
      </w:tr>
      <w:tr w:rsidR="00B073CB" w:rsidRPr="00DD0B55" w:rsidTr="00CC2233">
        <w:trPr>
          <w:trHeight w:val="300"/>
          <w:jc w:val="center"/>
        </w:trPr>
        <w:tc>
          <w:tcPr>
            <w:tcW w:w="1111" w:type="dxa"/>
            <w:vMerge/>
            <w:tcBorders>
              <w:top w:val="single" w:sz="4" w:space="0" w:color="auto"/>
              <w:left w:val="single" w:sz="4" w:space="0" w:color="auto"/>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1049" w:type="dxa"/>
            <w:vMerge/>
            <w:tcBorders>
              <w:top w:val="single" w:sz="4" w:space="0" w:color="auto"/>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1000" w:type="dxa"/>
            <w:vMerge/>
            <w:tcBorders>
              <w:top w:val="single" w:sz="4" w:space="0" w:color="auto"/>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1920" w:type="dxa"/>
            <w:gridSpan w:val="2"/>
            <w:tcBorders>
              <w:top w:val="single" w:sz="4" w:space="0" w:color="FFFFFF"/>
              <w:left w:val="nil"/>
              <w:bottom w:val="single" w:sz="4" w:space="0" w:color="FFFFFF"/>
              <w:right w:val="single" w:sz="4" w:space="0" w:color="FFFFFF"/>
            </w:tcBorders>
            <w:shd w:val="clear" w:color="000000" w:fill="376091"/>
            <w:noWrap/>
            <w:vAlign w:val="center"/>
            <w:hideMark/>
          </w:tcPr>
          <w:p w:rsidR="00B073CB" w:rsidRPr="00DD0B55" w:rsidRDefault="00147ADF" w:rsidP="00CC223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Day-o</w:t>
            </w:r>
            <w:r w:rsidR="00B073CB" w:rsidRPr="00DD0B55">
              <w:rPr>
                <w:rFonts w:ascii="Arial" w:eastAsia="Times New Roman" w:hAnsi="Arial" w:cs="Arial"/>
                <w:b/>
                <w:bCs/>
                <w:color w:val="FFFFFF"/>
                <w:sz w:val="18"/>
                <w:szCs w:val="18"/>
              </w:rPr>
              <w:t>f</w:t>
            </w:r>
          </w:p>
        </w:tc>
        <w:tc>
          <w:tcPr>
            <w:tcW w:w="1920" w:type="dxa"/>
            <w:gridSpan w:val="2"/>
            <w:tcBorders>
              <w:top w:val="single" w:sz="4" w:space="0" w:color="FFFFFF"/>
              <w:left w:val="nil"/>
              <w:bottom w:val="single" w:sz="4" w:space="0" w:color="FFFFFF"/>
              <w:right w:val="single" w:sz="4" w:space="0" w:color="FFFFFF"/>
            </w:tcBorders>
            <w:shd w:val="clear" w:color="000000" w:fill="376091"/>
            <w:noWrap/>
            <w:vAlign w:val="center"/>
            <w:hideMark/>
          </w:tcPr>
          <w:p w:rsidR="00B073CB" w:rsidRPr="00DD0B55" w:rsidRDefault="00147ADF" w:rsidP="00CC223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Day-a</w:t>
            </w:r>
            <w:r w:rsidR="00B073CB" w:rsidRPr="00DD0B55">
              <w:rPr>
                <w:rFonts w:ascii="Arial" w:eastAsia="Times New Roman" w:hAnsi="Arial" w:cs="Arial"/>
                <w:b/>
                <w:bCs/>
                <w:color w:val="FFFFFF"/>
                <w:sz w:val="18"/>
                <w:szCs w:val="18"/>
              </w:rPr>
              <w:t>head</w:t>
            </w:r>
          </w:p>
        </w:tc>
        <w:tc>
          <w:tcPr>
            <w:tcW w:w="1920" w:type="dxa"/>
            <w:gridSpan w:val="2"/>
            <w:tcBorders>
              <w:top w:val="single" w:sz="4" w:space="0" w:color="FFFFFF"/>
              <w:left w:val="nil"/>
              <w:bottom w:val="single" w:sz="4" w:space="0" w:color="FFFFFF"/>
              <w:right w:val="single" w:sz="4" w:space="0" w:color="FFFFFF"/>
            </w:tcBorders>
            <w:shd w:val="clear" w:color="000000" w:fill="376091"/>
            <w:noWrap/>
            <w:vAlign w:val="center"/>
            <w:hideMark/>
          </w:tcPr>
          <w:p w:rsidR="00B073CB" w:rsidRPr="00DD0B55" w:rsidRDefault="00147ADF" w:rsidP="00CC223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Day-o</w:t>
            </w:r>
            <w:r w:rsidR="00B073CB" w:rsidRPr="00DD0B55">
              <w:rPr>
                <w:rFonts w:ascii="Arial" w:eastAsia="Times New Roman" w:hAnsi="Arial" w:cs="Arial"/>
                <w:b/>
                <w:bCs/>
                <w:color w:val="FFFFFF"/>
                <w:sz w:val="18"/>
                <w:szCs w:val="18"/>
              </w:rPr>
              <w:t>f</w:t>
            </w:r>
          </w:p>
        </w:tc>
        <w:tc>
          <w:tcPr>
            <w:tcW w:w="1920" w:type="dxa"/>
            <w:gridSpan w:val="2"/>
            <w:tcBorders>
              <w:top w:val="single" w:sz="4" w:space="0" w:color="FFFFFF"/>
              <w:left w:val="nil"/>
              <w:bottom w:val="single" w:sz="4" w:space="0" w:color="FFFFFF"/>
              <w:right w:val="single" w:sz="4" w:space="0" w:color="000000"/>
            </w:tcBorders>
            <w:shd w:val="clear" w:color="000000" w:fill="376091"/>
            <w:noWrap/>
            <w:vAlign w:val="center"/>
            <w:hideMark/>
          </w:tcPr>
          <w:p w:rsidR="00B073CB" w:rsidRPr="00DD0B55" w:rsidRDefault="00B073CB" w:rsidP="00147ADF">
            <w:pPr>
              <w:spacing w:after="0" w:line="240" w:lineRule="auto"/>
              <w:jc w:val="center"/>
              <w:rPr>
                <w:rFonts w:ascii="Arial" w:eastAsia="Times New Roman" w:hAnsi="Arial" w:cs="Arial"/>
                <w:b/>
                <w:bCs/>
                <w:color w:val="FFFFFF"/>
                <w:sz w:val="18"/>
                <w:szCs w:val="18"/>
              </w:rPr>
            </w:pPr>
            <w:r w:rsidRPr="00DD0B55">
              <w:rPr>
                <w:rFonts w:ascii="Arial" w:eastAsia="Times New Roman" w:hAnsi="Arial" w:cs="Arial"/>
                <w:b/>
                <w:bCs/>
                <w:color w:val="FFFFFF"/>
                <w:sz w:val="18"/>
                <w:szCs w:val="18"/>
              </w:rPr>
              <w:t>Day-</w:t>
            </w:r>
            <w:r w:rsidR="00147ADF">
              <w:rPr>
                <w:rFonts w:ascii="Arial" w:eastAsia="Times New Roman" w:hAnsi="Arial" w:cs="Arial"/>
                <w:b/>
                <w:bCs/>
                <w:color w:val="FFFFFF"/>
                <w:sz w:val="18"/>
                <w:szCs w:val="18"/>
              </w:rPr>
              <w:t>a</w:t>
            </w:r>
            <w:r w:rsidRPr="00DD0B55">
              <w:rPr>
                <w:rFonts w:ascii="Arial" w:eastAsia="Times New Roman" w:hAnsi="Arial" w:cs="Arial"/>
                <w:b/>
                <w:bCs/>
                <w:color w:val="FFFFFF"/>
                <w:sz w:val="18"/>
                <w:szCs w:val="18"/>
              </w:rPr>
              <w:t>head</w:t>
            </w:r>
          </w:p>
        </w:tc>
      </w:tr>
      <w:tr w:rsidR="00B073CB" w:rsidRPr="00DD0B55" w:rsidTr="00CC2233">
        <w:trPr>
          <w:trHeight w:val="300"/>
          <w:jc w:val="center"/>
        </w:trPr>
        <w:tc>
          <w:tcPr>
            <w:tcW w:w="1111" w:type="dxa"/>
            <w:vMerge/>
            <w:tcBorders>
              <w:top w:val="single" w:sz="4" w:space="0" w:color="auto"/>
              <w:left w:val="single" w:sz="4" w:space="0" w:color="auto"/>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1049" w:type="dxa"/>
            <w:vMerge/>
            <w:tcBorders>
              <w:top w:val="single" w:sz="4" w:space="0" w:color="auto"/>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1000" w:type="dxa"/>
            <w:vMerge/>
            <w:tcBorders>
              <w:top w:val="single" w:sz="4" w:space="0" w:color="auto"/>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val="restart"/>
            <w:tcBorders>
              <w:top w:val="nil"/>
              <w:left w:val="single" w:sz="4" w:space="0" w:color="FFFFFF"/>
              <w:bottom w:val="single" w:sz="4" w:space="0" w:color="000000"/>
              <w:right w:val="single" w:sz="4" w:space="0" w:color="FFFFFF"/>
            </w:tcBorders>
            <w:shd w:val="clear" w:color="000000" w:fill="376091"/>
            <w:vAlign w:val="center"/>
            <w:hideMark/>
          </w:tcPr>
          <w:p w:rsidR="00B073CB" w:rsidRPr="00DD0B55" w:rsidRDefault="00B073CB" w:rsidP="00C75DD2">
            <w:pPr>
              <w:spacing w:after="0" w:line="240" w:lineRule="auto"/>
              <w:jc w:val="center"/>
              <w:rPr>
                <w:rFonts w:ascii="Arial" w:eastAsia="Times New Roman" w:hAnsi="Arial" w:cs="Arial"/>
                <w:b/>
                <w:bCs/>
                <w:color w:val="FFFFFF"/>
                <w:sz w:val="18"/>
                <w:szCs w:val="18"/>
              </w:rPr>
            </w:pPr>
            <w:r w:rsidRPr="00DD0B55">
              <w:rPr>
                <w:rFonts w:ascii="Arial" w:eastAsia="Times New Roman" w:hAnsi="Arial" w:cs="Arial"/>
                <w:b/>
                <w:bCs/>
                <w:color w:val="FFFFFF"/>
                <w:sz w:val="18"/>
                <w:szCs w:val="18"/>
              </w:rPr>
              <w:t>Est</w:t>
            </w:r>
            <w:r w:rsidR="00C75DD2">
              <w:rPr>
                <w:rFonts w:ascii="Arial" w:eastAsia="Times New Roman" w:hAnsi="Arial" w:cs="Arial"/>
                <w:b/>
                <w:bCs/>
                <w:color w:val="FFFFFF"/>
                <w:sz w:val="18"/>
                <w:szCs w:val="18"/>
              </w:rPr>
              <w:t>imated</w:t>
            </w:r>
            <w:r w:rsidRPr="00DD0B55">
              <w:rPr>
                <w:rFonts w:ascii="Arial" w:eastAsia="Times New Roman" w:hAnsi="Arial" w:cs="Arial"/>
                <w:b/>
                <w:bCs/>
                <w:color w:val="FFFFFF"/>
                <w:sz w:val="18"/>
                <w:szCs w:val="18"/>
              </w:rPr>
              <w:t xml:space="preserve"> Impacts</w:t>
            </w:r>
          </w:p>
        </w:tc>
        <w:tc>
          <w:tcPr>
            <w:tcW w:w="960" w:type="dxa"/>
            <w:vMerge w:val="restart"/>
            <w:tcBorders>
              <w:top w:val="nil"/>
              <w:left w:val="single" w:sz="4" w:space="0" w:color="FFFFFF"/>
              <w:bottom w:val="single" w:sz="4" w:space="0" w:color="000000"/>
              <w:right w:val="single" w:sz="4" w:space="0" w:color="FFFFFF"/>
            </w:tcBorders>
            <w:shd w:val="clear" w:color="000000" w:fill="376091"/>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r w:rsidRPr="00DD0B55">
              <w:rPr>
                <w:rFonts w:ascii="Arial" w:eastAsia="Times New Roman" w:hAnsi="Arial" w:cs="Arial"/>
                <w:b/>
                <w:bCs/>
                <w:color w:val="FFFFFF"/>
                <w:sz w:val="18"/>
                <w:szCs w:val="18"/>
              </w:rPr>
              <w:t>Error (MPE)</w:t>
            </w:r>
          </w:p>
        </w:tc>
        <w:tc>
          <w:tcPr>
            <w:tcW w:w="960" w:type="dxa"/>
            <w:vMerge w:val="restart"/>
            <w:tcBorders>
              <w:top w:val="nil"/>
              <w:left w:val="single" w:sz="4" w:space="0" w:color="FFFFFF"/>
              <w:bottom w:val="single" w:sz="4" w:space="0" w:color="000000"/>
              <w:right w:val="single" w:sz="4" w:space="0" w:color="FFFFFF"/>
            </w:tcBorders>
            <w:shd w:val="clear" w:color="000000" w:fill="376091"/>
            <w:vAlign w:val="center"/>
            <w:hideMark/>
          </w:tcPr>
          <w:p w:rsidR="00B073CB" w:rsidRPr="00DD0B55" w:rsidRDefault="00C75DD2" w:rsidP="00CC223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 xml:space="preserve">Estimated </w:t>
            </w:r>
            <w:r w:rsidR="00B073CB" w:rsidRPr="00DD0B55">
              <w:rPr>
                <w:rFonts w:ascii="Arial" w:eastAsia="Times New Roman" w:hAnsi="Arial" w:cs="Arial"/>
                <w:b/>
                <w:bCs/>
                <w:color w:val="FFFFFF"/>
                <w:sz w:val="18"/>
                <w:szCs w:val="18"/>
              </w:rPr>
              <w:t>Impacts</w:t>
            </w:r>
          </w:p>
        </w:tc>
        <w:tc>
          <w:tcPr>
            <w:tcW w:w="960" w:type="dxa"/>
            <w:vMerge w:val="restart"/>
            <w:tcBorders>
              <w:top w:val="nil"/>
              <w:left w:val="single" w:sz="4" w:space="0" w:color="FFFFFF"/>
              <w:bottom w:val="single" w:sz="4" w:space="0" w:color="000000"/>
              <w:right w:val="single" w:sz="4" w:space="0" w:color="FFFFFF"/>
            </w:tcBorders>
            <w:shd w:val="clear" w:color="000000" w:fill="376091"/>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r w:rsidRPr="00DD0B55">
              <w:rPr>
                <w:rFonts w:ascii="Arial" w:eastAsia="Times New Roman" w:hAnsi="Arial" w:cs="Arial"/>
                <w:b/>
                <w:bCs/>
                <w:color w:val="FFFFFF"/>
                <w:sz w:val="18"/>
                <w:szCs w:val="18"/>
              </w:rPr>
              <w:t>Error (MPE)</w:t>
            </w:r>
          </w:p>
        </w:tc>
        <w:tc>
          <w:tcPr>
            <w:tcW w:w="960" w:type="dxa"/>
            <w:vMerge w:val="restart"/>
            <w:tcBorders>
              <w:top w:val="nil"/>
              <w:left w:val="single" w:sz="4" w:space="0" w:color="FFFFFF"/>
              <w:bottom w:val="single" w:sz="4" w:space="0" w:color="000000"/>
              <w:right w:val="single" w:sz="4" w:space="0" w:color="FFFFFF"/>
            </w:tcBorders>
            <w:shd w:val="clear" w:color="000000" w:fill="376091"/>
            <w:vAlign w:val="center"/>
            <w:hideMark/>
          </w:tcPr>
          <w:p w:rsidR="00B073CB" w:rsidRPr="00DD0B55" w:rsidRDefault="00C75DD2" w:rsidP="00CC223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 xml:space="preserve">Estimated </w:t>
            </w:r>
            <w:r w:rsidR="00B073CB" w:rsidRPr="00DD0B55">
              <w:rPr>
                <w:rFonts w:ascii="Arial" w:eastAsia="Times New Roman" w:hAnsi="Arial" w:cs="Arial"/>
                <w:b/>
                <w:bCs/>
                <w:color w:val="FFFFFF"/>
                <w:sz w:val="18"/>
                <w:szCs w:val="18"/>
              </w:rPr>
              <w:t>Impacts</w:t>
            </w:r>
          </w:p>
        </w:tc>
        <w:tc>
          <w:tcPr>
            <w:tcW w:w="960" w:type="dxa"/>
            <w:vMerge w:val="restart"/>
            <w:tcBorders>
              <w:top w:val="nil"/>
              <w:left w:val="single" w:sz="4" w:space="0" w:color="FFFFFF"/>
              <w:bottom w:val="single" w:sz="4" w:space="0" w:color="000000"/>
              <w:right w:val="single" w:sz="4" w:space="0" w:color="FFFFFF"/>
            </w:tcBorders>
            <w:shd w:val="clear" w:color="000000" w:fill="376091"/>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r w:rsidRPr="00DD0B55">
              <w:rPr>
                <w:rFonts w:ascii="Arial" w:eastAsia="Times New Roman" w:hAnsi="Arial" w:cs="Arial"/>
                <w:b/>
                <w:bCs/>
                <w:color w:val="FFFFFF"/>
                <w:sz w:val="18"/>
                <w:szCs w:val="18"/>
              </w:rPr>
              <w:t>Error (MPE)</w:t>
            </w:r>
          </w:p>
        </w:tc>
        <w:tc>
          <w:tcPr>
            <w:tcW w:w="960" w:type="dxa"/>
            <w:vMerge w:val="restart"/>
            <w:tcBorders>
              <w:top w:val="nil"/>
              <w:left w:val="single" w:sz="4" w:space="0" w:color="FFFFFF"/>
              <w:bottom w:val="single" w:sz="4" w:space="0" w:color="000000"/>
              <w:right w:val="single" w:sz="4" w:space="0" w:color="FFFFFF"/>
            </w:tcBorders>
            <w:shd w:val="clear" w:color="000000" w:fill="376091"/>
            <w:vAlign w:val="center"/>
            <w:hideMark/>
          </w:tcPr>
          <w:p w:rsidR="00B073CB" w:rsidRPr="00DD0B55" w:rsidRDefault="00C75DD2" w:rsidP="00CC223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 xml:space="preserve">Estimated </w:t>
            </w:r>
            <w:r w:rsidR="00B073CB" w:rsidRPr="00DD0B55">
              <w:rPr>
                <w:rFonts w:ascii="Arial" w:eastAsia="Times New Roman" w:hAnsi="Arial" w:cs="Arial"/>
                <w:b/>
                <w:bCs/>
                <w:color w:val="FFFFFF"/>
                <w:sz w:val="18"/>
                <w:szCs w:val="18"/>
              </w:rPr>
              <w:t>Impacts</w:t>
            </w:r>
          </w:p>
        </w:tc>
        <w:tc>
          <w:tcPr>
            <w:tcW w:w="960" w:type="dxa"/>
            <w:vMerge w:val="restart"/>
            <w:tcBorders>
              <w:top w:val="nil"/>
              <w:left w:val="single" w:sz="4" w:space="0" w:color="FFFFFF"/>
              <w:bottom w:val="single" w:sz="4" w:space="0" w:color="000000"/>
              <w:right w:val="single" w:sz="4" w:space="0" w:color="auto"/>
            </w:tcBorders>
            <w:shd w:val="clear" w:color="000000" w:fill="376091"/>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r w:rsidRPr="00DD0B55">
              <w:rPr>
                <w:rFonts w:ascii="Arial" w:eastAsia="Times New Roman" w:hAnsi="Arial" w:cs="Arial"/>
                <w:b/>
                <w:bCs/>
                <w:color w:val="FFFFFF"/>
                <w:sz w:val="18"/>
                <w:szCs w:val="18"/>
              </w:rPr>
              <w:t>Error (MPE)</w:t>
            </w:r>
          </w:p>
        </w:tc>
      </w:tr>
      <w:tr w:rsidR="00B073CB" w:rsidRPr="00DD0B55" w:rsidTr="00CC2233">
        <w:trPr>
          <w:trHeight w:val="300"/>
          <w:jc w:val="center"/>
        </w:trPr>
        <w:tc>
          <w:tcPr>
            <w:tcW w:w="1111" w:type="dxa"/>
            <w:vMerge/>
            <w:tcBorders>
              <w:top w:val="single" w:sz="4" w:space="0" w:color="auto"/>
              <w:left w:val="single" w:sz="4" w:space="0" w:color="auto"/>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1049" w:type="dxa"/>
            <w:vMerge/>
            <w:tcBorders>
              <w:top w:val="single" w:sz="4" w:space="0" w:color="auto"/>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1000" w:type="dxa"/>
            <w:vMerge/>
            <w:tcBorders>
              <w:top w:val="single" w:sz="4" w:space="0" w:color="auto"/>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r>
      <w:tr w:rsidR="00B073CB" w:rsidRPr="00DD0B55" w:rsidTr="00CC2233">
        <w:trPr>
          <w:trHeight w:val="300"/>
          <w:jc w:val="center"/>
        </w:trPr>
        <w:tc>
          <w:tcPr>
            <w:tcW w:w="1111" w:type="dxa"/>
            <w:vMerge/>
            <w:tcBorders>
              <w:top w:val="single" w:sz="4" w:space="0" w:color="auto"/>
              <w:left w:val="single" w:sz="4" w:space="0" w:color="auto"/>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1049" w:type="dxa"/>
            <w:vMerge/>
            <w:tcBorders>
              <w:top w:val="single" w:sz="4" w:space="0" w:color="auto"/>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1000" w:type="dxa"/>
            <w:vMerge/>
            <w:tcBorders>
              <w:top w:val="single" w:sz="4" w:space="0" w:color="auto"/>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FFFFFF"/>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c>
          <w:tcPr>
            <w:tcW w:w="960" w:type="dxa"/>
            <w:vMerge/>
            <w:tcBorders>
              <w:top w:val="nil"/>
              <w:left w:val="single" w:sz="4" w:space="0" w:color="FFFFFF"/>
              <w:bottom w:val="single" w:sz="4" w:space="0" w:color="000000"/>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b/>
                <w:bCs/>
                <w:color w:val="FFFFFF"/>
                <w:sz w:val="18"/>
                <w:szCs w:val="18"/>
              </w:rPr>
            </w:pPr>
          </w:p>
        </w:tc>
      </w:tr>
      <w:tr w:rsidR="00B073CB" w:rsidRPr="00DD0B55" w:rsidTr="00CC2233">
        <w:trPr>
          <w:trHeight w:val="300"/>
          <w:jc w:val="center"/>
        </w:trPr>
        <w:tc>
          <w:tcPr>
            <w:tcW w:w="316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073CB" w:rsidRPr="00DD0B55" w:rsidRDefault="000A214D" w:rsidP="00CC2233">
            <w:pPr>
              <w:spacing w:after="0" w:line="240" w:lineRule="auto"/>
              <w:jc w:val="center"/>
              <w:rPr>
                <w:rFonts w:ascii="Arial" w:eastAsia="Times New Roman" w:hAnsi="Arial" w:cs="Arial"/>
                <w:sz w:val="18"/>
                <w:szCs w:val="18"/>
              </w:rPr>
            </w:pPr>
            <w:r>
              <w:rPr>
                <w:rFonts w:ascii="Arial" w:eastAsia="Times New Roman" w:hAnsi="Arial" w:cs="Arial"/>
                <w:sz w:val="18"/>
                <w:szCs w:val="18"/>
              </w:rPr>
              <w:t>Simulated</w:t>
            </w:r>
            <w:r w:rsidRPr="00DD0B55">
              <w:rPr>
                <w:rFonts w:ascii="Arial" w:eastAsia="Times New Roman" w:hAnsi="Arial" w:cs="Arial"/>
                <w:sz w:val="18"/>
                <w:szCs w:val="18"/>
              </w:rPr>
              <w:t xml:space="preserve"> </w:t>
            </w:r>
            <w:r w:rsidR="00B073CB" w:rsidRPr="00DD0B55">
              <w:rPr>
                <w:rFonts w:ascii="Arial" w:eastAsia="Times New Roman" w:hAnsi="Arial" w:cs="Arial"/>
                <w:sz w:val="18"/>
                <w:szCs w:val="18"/>
              </w:rPr>
              <w:t>Impact</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132.7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w:t>
            </w:r>
          </w:p>
        </w:tc>
      </w:tr>
      <w:tr w:rsidR="00B073CB" w:rsidRPr="00DD0B55" w:rsidTr="00CC2233">
        <w:trPr>
          <w:trHeight w:val="300"/>
          <w:jc w:val="center"/>
        </w:trPr>
        <w:tc>
          <w:tcPr>
            <w:tcW w:w="11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Individual</w:t>
            </w:r>
          </w:p>
        </w:tc>
        <w:tc>
          <w:tcPr>
            <w:tcW w:w="1049" w:type="dxa"/>
            <w:vMerge w:val="restart"/>
            <w:tcBorders>
              <w:top w:val="nil"/>
              <w:left w:val="single" w:sz="4" w:space="0" w:color="auto"/>
              <w:bottom w:val="single" w:sz="4" w:space="0" w:color="auto"/>
              <w:right w:val="single" w:sz="4" w:space="0" w:color="auto"/>
            </w:tcBorders>
            <w:shd w:val="clear" w:color="auto" w:fill="auto"/>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Aggregator Choice</w:t>
            </w: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D5296B"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Unadjusted</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110.2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-16.9%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-14.6%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-26.4%</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-32.4%</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128.9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17.7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-15.0%</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129.8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17.9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-13.7%</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130.0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17.9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130.0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17.9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130.1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17.8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-12.8%</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2x</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132.8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D5296B"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Unlimited</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136.0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27.5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49.7%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-12.2%</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Universal</w:t>
            </w: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D5296B"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Unadjusted</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110.2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-16.9%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-14.6%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-26.4%</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-32.4%</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128.9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17.7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-14.0%</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129.8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17.9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-12.7%</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130.0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17.9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-12.4%</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130.0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17.9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-12.2%</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130.1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17.8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-11.9%</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2x</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132.8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-0.3%</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-11.0%</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D5296B"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Unlimited</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136.0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27.5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49.7%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-11.1%</w:t>
            </w:r>
          </w:p>
        </w:tc>
      </w:tr>
      <w:tr w:rsidR="00B073CB" w:rsidRPr="00DD0B55" w:rsidTr="00CC2233">
        <w:trPr>
          <w:trHeight w:val="300"/>
          <w:jc w:val="center"/>
        </w:trPr>
        <w:tc>
          <w:tcPr>
            <w:tcW w:w="11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Aggregate</w:t>
            </w:r>
          </w:p>
        </w:tc>
        <w:tc>
          <w:tcPr>
            <w:tcW w:w="1049" w:type="dxa"/>
            <w:vMerge w:val="restart"/>
            <w:tcBorders>
              <w:top w:val="nil"/>
              <w:left w:val="single" w:sz="4" w:space="0" w:color="auto"/>
              <w:bottom w:val="single" w:sz="4" w:space="0" w:color="auto"/>
              <w:right w:val="single" w:sz="4" w:space="0" w:color="auto"/>
            </w:tcBorders>
            <w:shd w:val="clear" w:color="auto" w:fill="auto"/>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Aggregator Choice</w:t>
            </w: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D5296B"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Unadjusted</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110.2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-16.9%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-14.6%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-26.4%</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-32.4%</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2x</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D5296B"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Unlimited</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Universal</w:t>
            </w: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D5296B"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Unadjusted</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110.2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-16.9%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15.7</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-14.6%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11.0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-26.4%</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-32.4%</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35%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-12.3%</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2x</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-12.0%</w:t>
            </w:r>
          </w:p>
        </w:tc>
      </w:tr>
      <w:tr w:rsidR="00B073CB" w:rsidRPr="00DD0B55" w:rsidTr="00CC2233">
        <w:trPr>
          <w:trHeight w:val="300"/>
          <w:jc w:val="center"/>
        </w:trPr>
        <w:tc>
          <w:tcPr>
            <w:tcW w:w="1111"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49" w:type="dxa"/>
            <w:vMerge/>
            <w:tcBorders>
              <w:top w:val="nil"/>
              <w:left w:val="single" w:sz="4" w:space="0" w:color="auto"/>
              <w:bottom w:val="single" w:sz="4" w:space="0" w:color="auto"/>
              <w:right w:val="single" w:sz="4" w:space="0" w:color="auto"/>
            </w:tcBorders>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DD0B55" w:rsidRDefault="00D5296B" w:rsidP="00CC223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Unlimited</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18.2</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15.6</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center"/>
            <w:hideMark/>
          </w:tcPr>
          <w:p w:rsidR="00B073CB" w:rsidRPr="00DD0B55" w:rsidRDefault="00B073CB" w:rsidP="00CC2233">
            <w:pPr>
              <w:spacing w:after="0" w:line="240" w:lineRule="auto"/>
              <w:jc w:val="center"/>
              <w:rPr>
                <w:rFonts w:ascii="Arial" w:eastAsia="Times New Roman" w:hAnsi="Arial" w:cs="Arial"/>
                <w:color w:val="000000"/>
                <w:sz w:val="18"/>
                <w:szCs w:val="18"/>
              </w:rPr>
            </w:pPr>
            <w:r w:rsidRPr="00DD0B55">
              <w:rPr>
                <w:rFonts w:ascii="Arial" w:eastAsia="Times New Roman" w:hAnsi="Arial" w:cs="Arial"/>
                <w:color w:val="000000"/>
                <w:sz w:val="18"/>
                <w:szCs w:val="18"/>
              </w:rPr>
              <w:t>-12.2%</w:t>
            </w:r>
          </w:p>
        </w:tc>
      </w:tr>
    </w:tbl>
    <w:p w:rsidR="00B073CB" w:rsidRPr="00DD2538" w:rsidRDefault="00B073CB" w:rsidP="00B073CB">
      <w:pPr>
        <w:pStyle w:val="BodyParagraph"/>
      </w:pPr>
    </w:p>
    <w:p w:rsidR="00B073CB" w:rsidRDefault="00B073CB" w:rsidP="00B073CB">
      <w:pPr>
        <w:pStyle w:val="Heading3"/>
      </w:pPr>
      <w:bookmarkStart w:id="119" w:name="_Toc318472356"/>
      <w:bookmarkStart w:id="120" w:name="_Toc318789297"/>
      <w:bookmarkStart w:id="121" w:name="_Toc324232570"/>
      <w:bookmarkStart w:id="122" w:name="_Toc326150815"/>
      <w:r>
        <w:lastRenderedPageBreak/>
        <w:t>Detailed Results</w:t>
      </w:r>
      <w:bookmarkEnd w:id="119"/>
      <w:bookmarkEnd w:id="120"/>
      <w:r w:rsidR="00D82C18">
        <w:t xml:space="preserve"> for SCE’s DRRC Program</w:t>
      </w:r>
      <w:bookmarkEnd w:id="121"/>
      <w:bookmarkEnd w:id="122"/>
    </w:p>
    <w:p w:rsidR="00B073CB" w:rsidRDefault="000A2060" w:rsidP="00B073CB">
      <w:pPr>
        <w:pStyle w:val="BodyParagraph"/>
      </w:pPr>
      <w:r>
        <w:t>Table 3-11</w:t>
      </w:r>
      <w:r w:rsidR="00B073CB">
        <w:t xml:space="preserve"> compares t</w:t>
      </w:r>
      <w:r w:rsidR="00D82C18">
        <w:t>he estimated impacts to the simulated</w:t>
      </w:r>
      <w:r w:rsidR="00B073CB">
        <w:t xml:space="preserve"> reductions for each base</w:t>
      </w:r>
      <w:r w:rsidR="00D82C18">
        <w:t xml:space="preserve">line type for SCE’s DRRC </w:t>
      </w:r>
      <w:r w:rsidR="00E535D9">
        <w:t>day-ahead</w:t>
      </w:r>
      <w:r w:rsidR="00B073CB">
        <w:t xml:space="preserve"> </w:t>
      </w:r>
      <w:r w:rsidR="00D82C18">
        <w:t>resource</w:t>
      </w:r>
      <w:r w:rsidR="00B073CB">
        <w:t xml:space="preserve">. </w:t>
      </w:r>
      <w:r w:rsidR="00D82C18">
        <w:t xml:space="preserve"> </w:t>
      </w:r>
      <w:r w:rsidR="00B073CB">
        <w:t>The table echoes the</w:t>
      </w:r>
      <w:r w:rsidR="00D82C18">
        <w:t xml:space="preserve"> findings discussed</w:t>
      </w:r>
      <w:r w:rsidR="00B073CB">
        <w:t xml:space="preserve"> above: bias is minimized by applying the adjustment at the aggregate level. </w:t>
      </w:r>
      <w:r w:rsidR="00D82C18">
        <w:t xml:space="preserve"> </w:t>
      </w:r>
      <w:r w:rsidR="00B073CB">
        <w:t xml:space="preserve">Individual unlimited adjustments produce an enormous amount of bias because a few customers have extreme ratio adjustments. </w:t>
      </w:r>
      <w:r w:rsidR="00D82C18">
        <w:t xml:space="preserve"> </w:t>
      </w:r>
      <w:r w:rsidR="00B073CB">
        <w:t>Note that the vast majority of the error in the unlimited individual baseline comes from the second proxy event day, showing that unlimited baselines do very well for most days, but can produce very volatile results for individual event days and individual customers.</w:t>
      </w:r>
    </w:p>
    <w:p w:rsidR="00B073CB" w:rsidRDefault="00B073CB" w:rsidP="00B073CB">
      <w:pPr>
        <w:pStyle w:val="BodyParagraph"/>
      </w:pPr>
      <w:r>
        <w:t xml:space="preserve">The table also </w:t>
      </w:r>
      <w:r w:rsidR="00D82C18">
        <w:t xml:space="preserve">contains values for </w:t>
      </w:r>
      <w:r>
        <w:t>two goodness-of-fit statistics: MAPE and CV RMSE.</w:t>
      </w:r>
      <w:r w:rsidR="00D82C18">
        <w:t xml:space="preserve"> </w:t>
      </w:r>
      <w:r>
        <w:t xml:space="preserve"> Both of these statistics show that, generally, baselines with the lowest amount of bias also have the best goodness</w:t>
      </w:r>
      <w:r w:rsidR="00147ADF">
        <w:noBreakHyphen/>
      </w:r>
      <w:r>
        <w:t>of</w:t>
      </w:r>
      <w:r w:rsidR="00147ADF">
        <w:noBreakHyphen/>
      </w:r>
      <w:r>
        <w:t xml:space="preserve">fit. </w:t>
      </w:r>
    </w:p>
    <w:p w:rsidR="002E1347" w:rsidRDefault="000A2060" w:rsidP="002E1347">
      <w:r>
        <w:t>Table 3-12</w:t>
      </w:r>
      <w:r w:rsidR="00B073CB">
        <w:t xml:space="preserve"> shows the estimated reductions for each proxy event day and </w:t>
      </w:r>
      <w:r w:rsidR="00D5296B">
        <w:t>compares these with the simulated d</w:t>
      </w:r>
      <w:r w:rsidR="00B073CB">
        <w:t xml:space="preserve">emand reductions </w:t>
      </w:r>
      <w:r w:rsidR="00D5296B">
        <w:t xml:space="preserve">for each </w:t>
      </w:r>
      <w:r w:rsidR="00B073CB">
        <w:t xml:space="preserve">baseline </w:t>
      </w:r>
      <w:r w:rsidR="00D5296B">
        <w:t xml:space="preserve">method </w:t>
      </w:r>
      <w:r w:rsidR="00B073CB">
        <w:t xml:space="preserve">for SCE’s DRRC </w:t>
      </w:r>
      <w:r w:rsidR="00E535D9">
        <w:t>day-of</w:t>
      </w:r>
      <w:r w:rsidR="00B073CB">
        <w:t xml:space="preserve"> </w:t>
      </w:r>
      <w:r w:rsidR="00D5296B">
        <w:t>resource</w:t>
      </w:r>
      <w:r w:rsidR="00B073CB">
        <w:t>.</w:t>
      </w:r>
      <w:r w:rsidR="00D5296B">
        <w:t xml:space="preserve"> </w:t>
      </w:r>
      <w:r w:rsidR="00B073CB">
        <w:t xml:space="preserve"> Again, the results echo </w:t>
      </w:r>
      <w:r w:rsidR="00D5296B">
        <w:t xml:space="preserve">what was </w:t>
      </w:r>
      <w:r w:rsidR="00B073CB">
        <w:t xml:space="preserve">shown in the previous section. </w:t>
      </w:r>
      <w:r w:rsidR="00D5296B">
        <w:t xml:space="preserve"> </w:t>
      </w:r>
      <w:r w:rsidR="00B073CB">
        <w:t>Bias decreases as the caps are loosened, when adjustments are mandatory, and when adjustments are made at the settlement portfolio level. Note that for individually calculated baselines, bias improves when loosening the cap, but goodness-of-fit does not</w:t>
      </w:r>
      <w:r w:rsidR="00D5296B">
        <w:t xml:space="preserve">.  </w:t>
      </w:r>
      <w:r w:rsidR="00B073CB">
        <w:t>This indicates that some extreme errors for individual customers on individual days are</w:t>
      </w:r>
      <w:r w:rsidR="000E10B0">
        <w:t> </w:t>
      </w:r>
      <w:r w:rsidR="00B073CB">
        <w:t>retained.</w:t>
      </w:r>
    </w:p>
    <w:p w:rsidR="001566EC" w:rsidRDefault="001566EC">
      <w:pPr>
        <w:sectPr w:rsidR="001566EC" w:rsidSect="00CA7291">
          <w:headerReference w:type="default" r:id="rId38"/>
          <w:pgSz w:w="12240" w:h="15840"/>
          <w:pgMar w:top="1440" w:right="1440" w:bottom="1440" w:left="1440" w:header="720" w:footer="720" w:gutter="0"/>
          <w:cols w:space="720"/>
          <w:docGrid w:linePitch="360"/>
        </w:sectPr>
      </w:pPr>
    </w:p>
    <w:p w:rsidR="00B073CB" w:rsidRPr="00C379CB" w:rsidRDefault="00D82C18" w:rsidP="00B073CB">
      <w:pPr>
        <w:pStyle w:val="TableFigureCaption"/>
      </w:pPr>
      <w:r>
        <w:lastRenderedPageBreak/>
        <w:t>Table 3-1</w:t>
      </w:r>
      <w:r w:rsidR="000A2060">
        <w:t>1</w:t>
      </w:r>
      <w:r w:rsidR="00B073CB">
        <w:t xml:space="preserve">: Daily Impacts and Errors by Baseline Type, SCE DRRC, </w:t>
      </w:r>
      <w:r w:rsidR="00E535D9">
        <w:t>Day-ahead</w:t>
      </w:r>
    </w:p>
    <w:tbl>
      <w:tblPr>
        <w:tblW w:w="0" w:type="auto"/>
        <w:jc w:val="center"/>
        <w:tblInd w:w="91" w:type="dxa"/>
        <w:tblCellMar>
          <w:left w:w="72" w:type="dxa"/>
          <w:right w:w="72" w:type="dxa"/>
        </w:tblCellMar>
        <w:tblLook w:val="04A0"/>
      </w:tblPr>
      <w:tblGrid>
        <w:gridCol w:w="2003"/>
        <w:gridCol w:w="1585"/>
        <w:gridCol w:w="1371"/>
        <w:gridCol w:w="456"/>
        <w:gridCol w:w="545"/>
        <w:gridCol w:w="456"/>
        <w:gridCol w:w="456"/>
        <w:gridCol w:w="456"/>
        <w:gridCol w:w="456"/>
        <w:gridCol w:w="456"/>
        <w:gridCol w:w="456"/>
        <w:gridCol w:w="456"/>
        <w:gridCol w:w="491"/>
        <w:gridCol w:w="651"/>
        <w:gridCol w:w="607"/>
        <w:gridCol w:w="873"/>
      </w:tblGrid>
      <w:tr w:rsidR="00CE3792" w:rsidRPr="00C379CB" w:rsidTr="00B90B9B">
        <w:trPr>
          <w:trHeight w:val="225"/>
          <w:jc w:val="center"/>
        </w:trPr>
        <w:tc>
          <w:tcPr>
            <w:tcW w:w="0" w:type="auto"/>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Application of Baselines</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Adjustment Option</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Adjustment Cap</w:t>
            </w:r>
          </w:p>
        </w:tc>
        <w:tc>
          <w:tcPr>
            <w:tcW w:w="0" w:type="auto"/>
            <w:gridSpan w:val="9"/>
            <w:tcBorders>
              <w:top w:val="single" w:sz="4" w:space="0" w:color="auto"/>
              <w:left w:val="nil"/>
              <w:bottom w:val="single" w:sz="4" w:space="0" w:color="FFFFFF"/>
              <w:right w:val="single" w:sz="4" w:space="0" w:color="FFFFFF"/>
            </w:tcBorders>
            <w:shd w:val="clear" w:color="000000" w:fill="1F497D"/>
            <w:noWrap/>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Impact (MW) by Proxy Event Day</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Avg</w:t>
            </w:r>
            <w:r>
              <w:rPr>
                <w:rFonts w:ascii="Arial" w:eastAsia="Times New Roman" w:hAnsi="Arial" w:cs="Arial"/>
                <w:b/>
                <w:bCs/>
                <w:color w:val="FFFFFF"/>
                <w:sz w:val="16"/>
                <w:szCs w:val="16"/>
              </w:rPr>
              <w:t>.</w:t>
            </w:r>
          </w:p>
        </w:tc>
        <w:tc>
          <w:tcPr>
            <w:tcW w:w="0" w:type="auto"/>
            <w:tcBorders>
              <w:top w:val="single" w:sz="4" w:space="0" w:color="auto"/>
              <w:left w:val="nil"/>
              <w:bottom w:val="single" w:sz="4" w:space="0" w:color="FFFFFF"/>
              <w:right w:val="single" w:sz="4" w:space="0" w:color="FFFFFF"/>
            </w:tcBorders>
            <w:shd w:val="clear" w:color="000000" w:fill="1F497D"/>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Bias</w:t>
            </w:r>
          </w:p>
        </w:tc>
        <w:tc>
          <w:tcPr>
            <w:tcW w:w="0" w:type="auto"/>
            <w:gridSpan w:val="2"/>
            <w:tcBorders>
              <w:top w:val="single" w:sz="4" w:space="0" w:color="auto"/>
              <w:left w:val="nil"/>
              <w:bottom w:val="single" w:sz="4" w:space="0" w:color="FFFFFF"/>
              <w:right w:val="single" w:sz="4" w:space="0" w:color="000000"/>
            </w:tcBorders>
            <w:shd w:val="clear" w:color="000000" w:fill="1F497D"/>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Goodness-of-</w:t>
            </w:r>
            <w:r>
              <w:rPr>
                <w:rFonts w:ascii="Arial" w:eastAsia="Times New Roman" w:hAnsi="Arial" w:cs="Arial"/>
                <w:b/>
                <w:bCs/>
                <w:color w:val="FFFFFF"/>
                <w:sz w:val="16"/>
                <w:szCs w:val="16"/>
              </w:rPr>
              <w:t>f</w:t>
            </w:r>
            <w:r w:rsidRPr="00C379CB">
              <w:rPr>
                <w:rFonts w:ascii="Arial" w:eastAsia="Times New Roman" w:hAnsi="Arial" w:cs="Arial"/>
                <w:b/>
                <w:bCs/>
                <w:color w:val="FFFFFF"/>
                <w:sz w:val="16"/>
                <w:szCs w:val="16"/>
              </w:rPr>
              <w:t>it</w:t>
            </w:r>
          </w:p>
        </w:tc>
      </w:tr>
      <w:tr w:rsidR="00CE3792" w:rsidRPr="00C379CB" w:rsidTr="00B90B9B">
        <w:trPr>
          <w:trHeight w:val="225"/>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CE3792" w:rsidRPr="00C379CB" w:rsidRDefault="00CE3792" w:rsidP="00B90B9B">
            <w:pPr>
              <w:spacing w:after="0" w:line="240" w:lineRule="auto"/>
              <w:rPr>
                <w:rFonts w:ascii="Arial" w:eastAsia="Times New Roman" w:hAnsi="Arial" w:cs="Arial"/>
                <w:b/>
                <w:bCs/>
                <w:color w:val="FFFFFF"/>
                <w:sz w:val="16"/>
                <w:szCs w:val="16"/>
              </w:rPr>
            </w:pP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C379CB" w:rsidRDefault="00CE3792" w:rsidP="00B90B9B">
            <w:pPr>
              <w:spacing w:after="0" w:line="240" w:lineRule="auto"/>
              <w:rPr>
                <w:rFonts w:ascii="Arial" w:eastAsia="Times New Roman" w:hAnsi="Arial" w:cs="Arial"/>
                <w:b/>
                <w:bCs/>
                <w:color w:val="FFFFFF"/>
                <w:sz w:val="16"/>
                <w:szCs w:val="16"/>
              </w:rPr>
            </w:pP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C379CB" w:rsidRDefault="00CE3792" w:rsidP="00B90B9B">
            <w:pPr>
              <w:spacing w:after="0" w:line="240" w:lineRule="auto"/>
              <w:rPr>
                <w:rFonts w:ascii="Arial" w:eastAsia="Times New Roman" w:hAnsi="Arial" w:cs="Arial"/>
                <w:b/>
                <w:bCs/>
                <w:color w:val="FFFFFF"/>
                <w:sz w:val="16"/>
                <w:szCs w:val="16"/>
              </w:rPr>
            </w:pP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1</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2</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3</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4</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5</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6</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7</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8</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9</w:t>
            </w: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C379CB" w:rsidRDefault="00CE3792" w:rsidP="00B90B9B">
            <w:pPr>
              <w:spacing w:after="0" w:line="240" w:lineRule="auto"/>
              <w:rPr>
                <w:rFonts w:ascii="Arial" w:eastAsia="Times New Roman" w:hAnsi="Arial" w:cs="Arial"/>
                <w:b/>
                <w:bCs/>
                <w:color w:val="FFFFFF"/>
                <w:sz w:val="16"/>
                <w:szCs w:val="16"/>
              </w:rPr>
            </w:pPr>
          </w:p>
        </w:tc>
        <w:tc>
          <w:tcPr>
            <w:tcW w:w="0" w:type="auto"/>
            <w:tcBorders>
              <w:top w:val="nil"/>
              <w:left w:val="nil"/>
              <w:bottom w:val="single" w:sz="4" w:space="0" w:color="auto"/>
              <w:right w:val="single" w:sz="4" w:space="0" w:color="FFFFFF"/>
            </w:tcBorders>
            <w:shd w:val="clear" w:color="000000" w:fill="1F497D"/>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MPE</w:t>
            </w:r>
          </w:p>
        </w:tc>
        <w:tc>
          <w:tcPr>
            <w:tcW w:w="0" w:type="auto"/>
            <w:tcBorders>
              <w:top w:val="nil"/>
              <w:left w:val="nil"/>
              <w:bottom w:val="single" w:sz="4" w:space="0" w:color="auto"/>
              <w:right w:val="single" w:sz="4" w:space="0" w:color="FFFFFF"/>
            </w:tcBorders>
            <w:shd w:val="clear" w:color="000000" w:fill="1F497D"/>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MAPE</w:t>
            </w:r>
          </w:p>
        </w:tc>
        <w:tc>
          <w:tcPr>
            <w:tcW w:w="0" w:type="auto"/>
            <w:tcBorders>
              <w:top w:val="nil"/>
              <w:left w:val="nil"/>
              <w:bottom w:val="single" w:sz="4" w:space="0" w:color="auto"/>
              <w:right w:val="single" w:sz="4" w:space="0" w:color="auto"/>
            </w:tcBorders>
            <w:shd w:val="clear" w:color="000000" w:fill="1F497D"/>
            <w:vAlign w:val="center"/>
            <w:hideMark/>
          </w:tcPr>
          <w:p w:rsidR="00CE3792" w:rsidRPr="00C379CB" w:rsidRDefault="00CE3792" w:rsidP="00B90B9B">
            <w:pPr>
              <w:spacing w:after="0" w:line="240" w:lineRule="auto"/>
              <w:jc w:val="center"/>
              <w:rPr>
                <w:rFonts w:ascii="Arial" w:eastAsia="Times New Roman" w:hAnsi="Arial" w:cs="Arial"/>
                <w:b/>
                <w:bCs/>
                <w:color w:val="FFFFFF"/>
                <w:sz w:val="16"/>
                <w:szCs w:val="16"/>
              </w:rPr>
            </w:pPr>
            <w:r w:rsidRPr="00C379CB">
              <w:rPr>
                <w:rFonts w:ascii="Arial" w:eastAsia="Times New Roman" w:hAnsi="Arial" w:cs="Arial"/>
                <w:b/>
                <w:bCs/>
                <w:color w:val="FFFFFF"/>
                <w:sz w:val="16"/>
                <w:szCs w:val="16"/>
              </w:rPr>
              <w:t>CV RMSE</w:t>
            </w:r>
          </w:p>
        </w:tc>
      </w:tr>
      <w:tr w:rsidR="00CE3792" w:rsidRPr="00C379CB" w:rsidTr="00B90B9B">
        <w:trPr>
          <w:trHeight w:val="225"/>
          <w:jc w:val="center"/>
        </w:trPr>
        <w:tc>
          <w:tcPr>
            <w:tcW w:w="0" w:type="auto"/>
            <w:gridSpan w:val="3"/>
            <w:tcBorders>
              <w:top w:val="nil"/>
              <w:left w:val="single" w:sz="4" w:space="0" w:color="auto"/>
              <w:bottom w:val="single" w:sz="4" w:space="0" w:color="auto"/>
              <w:right w:val="single" w:sz="4" w:space="0" w:color="auto"/>
            </w:tcBorders>
            <w:shd w:val="clear" w:color="000000" w:fill="FFFFFF"/>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Simulated Impact</w:t>
            </w:r>
          </w:p>
        </w:tc>
        <w:tc>
          <w:tcPr>
            <w:tcW w:w="0" w:type="auto"/>
            <w:gridSpan w:val="9"/>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 </w:t>
            </w:r>
          </w:p>
        </w:tc>
      </w:tr>
      <w:tr w:rsidR="00CE3792" w:rsidRPr="00C379CB" w:rsidTr="00B90B9B">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Individual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Aggregator Choice</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14.6%</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0.149</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6.7%</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0.077</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6.6%</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0.075</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6.6%</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0.074</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6.6%</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0.075</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6.7%</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0.075</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6.7%</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0.073</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101.9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27.5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49.7%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55.8%</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1.519</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14.6%</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0.149</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6.7%</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0.077</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6.6%</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0.075</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6.6%</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0.074</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6.6%</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0.075</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6.7%</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0.075</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6.7%</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0.073</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101.9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27.5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49.7%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55.8%</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1.519</w:t>
            </w:r>
          </w:p>
        </w:tc>
      </w:tr>
      <w:tr w:rsidR="00CE3792" w:rsidRPr="00C379CB" w:rsidTr="00B90B9B">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Aggregate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Aggregator Choice</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14.6%</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0.149</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14.6%</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0.149</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r w:rsidR="00CE3792" w:rsidRPr="00C379CB"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379CB"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b/>
                <w:bCs/>
                <w:color w:val="000000"/>
                <w:sz w:val="16"/>
                <w:szCs w:val="16"/>
              </w:rPr>
            </w:pPr>
            <w:r w:rsidRPr="00C379CB">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bottom"/>
            <w:hideMark/>
          </w:tcPr>
          <w:p w:rsidR="00CE3792" w:rsidRPr="00C379CB" w:rsidRDefault="00CE3792" w:rsidP="00B90B9B">
            <w:pPr>
              <w:spacing w:after="0" w:line="240" w:lineRule="auto"/>
              <w:jc w:val="center"/>
              <w:rPr>
                <w:rFonts w:ascii="Arial" w:eastAsia="Times New Roman" w:hAnsi="Arial" w:cs="Arial"/>
                <w:color w:val="000000"/>
                <w:sz w:val="16"/>
                <w:szCs w:val="16"/>
              </w:rPr>
            </w:pPr>
            <w:r w:rsidRPr="00C379CB">
              <w:rPr>
                <w:rFonts w:ascii="Arial" w:eastAsia="Times New Roman" w:hAnsi="Arial" w:cs="Arial"/>
                <w:color w:val="000000"/>
                <w:sz w:val="16"/>
                <w:szCs w:val="16"/>
              </w:rPr>
              <w:t>0.062</w:t>
            </w:r>
          </w:p>
        </w:tc>
      </w:tr>
    </w:tbl>
    <w:p w:rsidR="001566EC" w:rsidRDefault="001566EC" w:rsidP="001566EC">
      <w:pPr>
        <w:pStyle w:val="TableFigureCaption"/>
      </w:pPr>
    </w:p>
    <w:p w:rsidR="00B073CB" w:rsidRDefault="00D82C18" w:rsidP="00B073CB">
      <w:pPr>
        <w:pStyle w:val="TableFigureCaption"/>
      </w:pPr>
      <w:r>
        <w:t>Table 3-1</w:t>
      </w:r>
      <w:r w:rsidR="000A2060">
        <w:t>2</w:t>
      </w:r>
      <w:r w:rsidR="00B073CB">
        <w:t xml:space="preserve">: Daily Impacts and Errors by Baseline Type, SCE DRRC, </w:t>
      </w:r>
      <w:r w:rsidR="00E535D9">
        <w:t>Day-of</w:t>
      </w:r>
    </w:p>
    <w:tbl>
      <w:tblPr>
        <w:tblW w:w="0" w:type="auto"/>
        <w:jc w:val="center"/>
        <w:tblCellMar>
          <w:left w:w="72" w:type="dxa"/>
          <w:right w:w="72" w:type="dxa"/>
        </w:tblCellMar>
        <w:tblLook w:val="04A0"/>
      </w:tblPr>
      <w:tblGrid>
        <w:gridCol w:w="2003"/>
        <w:gridCol w:w="1585"/>
        <w:gridCol w:w="1371"/>
        <w:gridCol w:w="545"/>
        <w:gridCol w:w="545"/>
        <w:gridCol w:w="545"/>
        <w:gridCol w:w="545"/>
        <w:gridCol w:w="545"/>
        <w:gridCol w:w="545"/>
        <w:gridCol w:w="545"/>
        <w:gridCol w:w="545"/>
        <w:gridCol w:w="545"/>
        <w:gridCol w:w="545"/>
        <w:gridCol w:w="651"/>
        <w:gridCol w:w="607"/>
        <w:gridCol w:w="873"/>
      </w:tblGrid>
      <w:tr w:rsidR="00CE3792" w:rsidRPr="00C70142" w:rsidTr="00B90B9B">
        <w:trPr>
          <w:trHeight w:val="225"/>
          <w:jc w:val="center"/>
        </w:trPr>
        <w:tc>
          <w:tcPr>
            <w:tcW w:w="0" w:type="auto"/>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bookmarkStart w:id="123" w:name="_Toc318472357"/>
            <w:r w:rsidRPr="00C70142">
              <w:rPr>
                <w:rFonts w:ascii="Arial" w:eastAsia="Times New Roman" w:hAnsi="Arial" w:cs="Arial"/>
                <w:b/>
                <w:bCs/>
                <w:color w:val="FFFFFF"/>
                <w:sz w:val="16"/>
                <w:szCs w:val="16"/>
              </w:rPr>
              <w:t>Application of Baselines</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Adjustment Option</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Adjustment Cap</w:t>
            </w:r>
          </w:p>
        </w:tc>
        <w:tc>
          <w:tcPr>
            <w:tcW w:w="0" w:type="auto"/>
            <w:gridSpan w:val="9"/>
            <w:tcBorders>
              <w:top w:val="single" w:sz="4" w:space="0" w:color="auto"/>
              <w:left w:val="nil"/>
              <w:bottom w:val="single" w:sz="4" w:space="0" w:color="FFFFFF"/>
              <w:right w:val="single" w:sz="4" w:space="0" w:color="FFFFFF"/>
            </w:tcBorders>
            <w:shd w:val="clear" w:color="000000" w:fill="1F497D"/>
            <w:noWrap/>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Impact (MW) by Proxy Event Day</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Avg</w:t>
            </w:r>
          </w:p>
        </w:tc>
        <w:tc>
          <w:tcPr>
            <w:tcW w:w="0" w:type="auto"/>
            <w:tcBorders>
              <w:top w:val="single" w:sz="4" w:space="0" w:color="auto"/>
              <w:left w:val="nil"/>
              <w:bottom w:val="single" w:sz="4" w:space="0" w:color="FFFFFF"/>
              <w:right w:val="single" w:sz="4" w:space="0" w:color="FFFFFF"/>
            </w:tcBorders>
            <w:shd w:val="clear" w:color="000000" w:fill="1F497D"/>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Bias</w:t>
            </w:r>
          </w:p>
        </w:tc>
        <w:tc>
          <w:tcPr>
            <w:tcW w:w="0" w:type="auto"/>
            <w:gridSpan w:val="2"/>
            <w:tcBorders>
              <w:top w:val="single" w:sz="4" w:space="0" w:color="auto"/>
              <w:left w:val="nil"/>
              <w:bottom w:val="single" w:sz="4" w:space="0" w:color="FFFFFF"/>
              <w:right w:val="single" w:sz="4" w:space="0" w:color="000000"/>
            </w:tcBorders>
            <w:shd w:val="clear" w:color="000000" w:fill="1F497D"/>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Goodness-of-</w:t>
            </w:r>
            <w:r>
              <w:rPr>
                <w:rFonts w:ascii="Arial" w:eastAsia="Times New Roman" w:hAnsi="Arial" w:cs="Arial"/>
                <w:b/>
                <w:bCs/>
                <w:color w:val="FFFFFF"/>
                <w:sz w:val="16"/>
                <w:szCs w:val="16"/>
              </w:rPr>
              <w:t>f</w:t>
            </w:r>
            <w:r w:rsidRPr="00C70142">
              <w:rPr>
                <w:rFonts w:ascii="Arial" w:eastAsia="Times New Roman" w:hAnsi="Arial" w:cs="Arial"/>
                <w:b/>
                <w:bCs/>
                <w:color w:val="FFFFFF"/>
                <w:sz w:val="16"/>
                <w:szCs w:val="16"/>
              </w:rPr>
              <w:t>it</w:t>
            </w:r>
          </w:p>
        </w:tc>
      </w:tr>
      <w:tr w:rsidR="00CE3792" w:rsidRPr="00C70142" w:rsidTr="00B90B9B">
        <w:trPr>
          <w:trHeight w:val="225"/>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1</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2</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3</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4</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5</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6</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7</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8</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9</w:t>
            </w: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p>
        </w:tc>
        <w:tc>
          <w:tcPr>
            <w:tcW w:w="0" w:type="auto"/>
            <w:tcBorders>
              <w:top w:val="nil"/>
              <w:left w:val="nil"/>
              <w:bottom w:val="single" w:sz="4" w:space="0" w:color="auto"/>
              <w:right w:val="single" w:sz="4" w:space="0" w:color="FFFFFF"/>
            </w:tcBorders>
            <w:shd w:val="clear" w:color="000000" w:fill="1F497D"/>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MPE</w:t>
            </w:r>
          </w:p>
        </w:tc>
        <w:tc>
          <w:tcPr>
            <w:tcW w:w="0" w:type="auto"/>
            <w:tcBorders>
              <w:top w:val="nil"/>
              <w:left w:val="nil"/>
              <w:bottom w:val="single" w:sz="4" w:space="0" w:color="auto"/>
              <w:right w:val="single" w:sz="4" w:space="0" w:color="FFFFFF"/>
            </w:tcBorders>
            <w:shd w:val="clear" w:color="000000" w:fill="1F497D"/>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MAPE</w:t>
            </w:r>
          </w:p>
        </w:tc>
        <w:tc>
          <w:tcPr>
            <w:tcW w:w="0" w:type="auto"/>
            <w:tcBorders>
              <w:top w:val="nil"/>
              <w:left w:val="nil"/>
              <w:bottom w:val="single" w:sz="4" w:space="0" w:color="auto"/>
              <w:right w:val="single" w:sz="4" w:space="0" w:color="auto"/>
            </w:tcBorders>
            <w:shd w:val="clear" w:color="000000" w:fill="1F497D"/>
            <w:vAlign w:val="center"/>
            <w:hideMark/>
          </w:tcPr>
          <w:p w:rsidR="00CE3792" w:rsidRPr="00C70142" w:rsidRDefault="00CE3792" w:rsidP="00B90B9B">
            <w:pPr>
              <w:spacing w:after="0" w:line="240" w:lineRule="auto"/>
              <w:jc w:val="center"/>
              <w:rPr>
                <w:rFonts w:ascii="Arial" w:eastAsia="Times New Roman" w:hAnsi="Arial" w:cs="Arial"/>
                <w:b/>
                <w:bCs/>
                <w:color w:val="FFFFFF"/>
                <w:sz w:val="16"/>
                <w:szCs w:val="16"/>
              </w:rPr>
            </w:pPr>
            <w:r w:rsidRPr="00C70142">
              <w:rPr>
                <w:rFonts w:ascii="Arial" w:eastAsia="Times New Roman" w:hAnsi="Arial" w:cs="Arial"/>
                <w:b/>
                <w:bCs/>
                <w:color w:val="FFFFFF"/>
                <w:sz w:val="16"/>
                <w:szCs w:val="16"/>
              </w:rPr>
              <w:t>CV RMSE</w:t>
            </w:r>
          </w:p>
        </w:tc>
      </w:tr>
      <w:tr w:rsidR="00CE3792" w:rsidRPr="00C70142" w:rsidTr="00B90B9B">
        <w:trPr>
          <w:trHeight w:val="225"/>
          <w:jc w:val="center"/>
        </w:trPr>
        <w:tc>
          <w:tcPr>
            <w:tcW w:w="0" w:type="auto"/>
            <w:gridSpan w:val="3"/>
            <w:tcBorders>
              <w:top w:val="nil"/>
              <w:left w:val="single" w:sz="4" w:space="0" w:color="auto"/>
              <w:bottom w:val="single" w:sz="4" w:space="0" w:color="auto"/>
              <w:right w:val="single" w:sz="4" w:space="0" w:color="auto"/>
            </w:tcBorders>
            <w:shd w:val="clear" w:color="000000" w:fill="FFFFFF"/>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Simulated Impact</w:t>
            </w:r>
          </w:p>
        </w:tc>
        <w:tc>
          <w:tcPr>
            <w:tcW w:w="0" w:type="auto"/>
            <w:gridSpan w:val="9"/>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p>
        </w:tc>
      </w:tr>
      <w:tr w:rsidR="00CE3792" w:rsidRPr="00C70142" w:rsidTr="00B90B9B">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Individual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Aggregator Choice</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89.8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110.6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107.6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120.2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106.1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110.2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0.187</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0.037</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132.7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0.034</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0.034</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132.1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0.034</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0.035</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125.9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132.8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0.032</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141.2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139.3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141.6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150.4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0.059</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89.8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110.6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107.6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120.2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106.1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110.2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0.187</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0.037</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132.7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0.034</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0.034</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132.1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0.034</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0.035</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125.9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132.8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0.032</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141.2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139.3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141.6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150.4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130.7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0.059</w:t>
            </w:r>
          </w:p>
        </w:tc>
      </w:tr>
      <w:tr w:rsidR="00CE3792" w:rsidRPr="00C70142" w:rsidTr="00B90B9B">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Aggregate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Aggregator Choice</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89.8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110.6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107.6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120.2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106.1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110.2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0.187</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89.8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110.6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107.6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120.2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106.1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110.2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0.187</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r w:rsidR="00CE3792" w:rsidRPr="00C70142"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b/>
                <w:bCs/>
                <w:color w:val="000000"/>
                <w:sz w:val="16"/>
                <w:szCs w:val="16"/>
              </w:rPr>
            </w:pPr>
            <w:r w:rsidRPr="00C70142">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136.5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137.7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127.8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128.6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129.1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126.9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131.5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rsidR="00CE3792" w:rsidRPr="00C70142" w:rsidRDefault="00CE3792" w:rsidP="00B90B9B">
            <w:pPr>
              <w:spacing w:after="0" w:line="240" w:lineRule="auto"/>
              <w:jc w:val="center"/>
              <w:rPr>
                <w:rFonts w:ascii="Arial" w:eastAsia="Times New Roman" w:hAnsi="Arial" w:cs="Arial"/>
                <w:color w:val="000000"/>
                <w:sz w:val="16"/>
                <w:szCs w:val="16"/>
              </w:rPr>
            </w:pPr>
            <w:r w:rsidRPr="00C70142">
              <w:rPr>
                <w:rFonts w:ascii="Arial" w:eastAsia="Times New Roman" w:hAnsi="Arial" w:cs="Arial"/>
                <w:color w:val="000000"/>
                <w:sz w:val="16"/>
                <w:szCs w:val="16"/>
              </w:rPr>
              <w:t>0.031</w:t>
            </w:r>
          </w:p>
        </w:tc>
      </w:tr>
    </w:tbl>
    <w:p w:rsidR="001566EC" w:rsidRDefault="001566EC"/>
    <w:p w:rsidR="00B073CB" w:rsidRDefault="00B073CB">
      <w:pPr>
        <w:sectPr w:rsidR="00B073CB" w:rsidSect="00CC2233">
          <w:headerReference w:type="default" r:id="rId39"/>
          <w:pgSz w:w="15840" w:h="12240" w:orient="landscape"/>
          <w:pgMar w:top="1440" w:right="1440" w:bottom="1440" w:left="1440" w:header="720" w:footer="720" w:gutter="0"/>
          <w:cols w:space="720"/>
          <w:docGrid w:linePitch="360"/>
        </w:sectPr>
      </w:pPr>
    </w:p>
    <w:p w:rsidR="008B5314" w:rsidRDefault="00B073CB">
      <w:pPr>
        <w:pStyle w:val="Heading3"/>
        <w:numPr>
          <w:ilvl w:val="2"/>
          <w:numId w:val="13"/>
        </w:numPr>
      </w:pPr>
      <w:bookmarkStart w:id="124" w:name="_Toc318789298"/>
      <w:bookmarkStart w:id="125" w:name="_Toc324232571"/>
      <w:bookmarkStart w:id="126" w:name="_Toc326150816"/>
      <w:r>
        <w:lastRenderedPageBreak/>
        <w:t>Detailed Results</w:t>
      </w:r>
      <w:bookmarkEnd w:id="123"/>
      <w:bookmarkEnd w:id="124"/>
      <w:r w:rsidR="00D5296B">
        <w:t xml:space="preserve"> for SCE’s CBP Program</w:t>
      </w:r>
      <w:bookmarkEnd w:id="125"/>
      <w:bookmarkEnd w:id="126"/>
    </w:p>
    <w:p w:rsidR="00B073CB" w:rsidRDefault="00B073CB" w:rsidP="00B073CB">
      <w:pPr>
        <w:pStyle w:val="BodyParagraph"/>
      </w:pPr>
      <w:r>
        <w:t xml:space="preserve">Table </w:t>
      </w:r>
      <w:r w:rsidR="000A2060">
        <w:t>3-13</w:t>
      </w:r>
      <w:r>
        <w:t xml:space="preserve"> </w:t>
      </w:r>
      <w:r w:rsidR="00D5296B">
        <w:t xml:space="preserve">compares </w:t>
      </w:r>
      <w:r>
        <w:t xml:space="preserve">estimated </w:t>
      </w:r>
      <w:r w:rsidR="00D5296B">
        <w:t xml:space="preserve">impacts </w:t>
      </w:r>
      <w:r>
        <w:t xml:space="preserve">for each proxy event day </w:t>
      </w:r>
      <w:r w:rsidR="00D5296B">
        <w:t xml:space="preserve">with the simulated </w:t>
      </w:r>
      <w:r>
        <w:t xml:space="preserve">reductions by baseline </w:t>
      </w:r>
      <w:r w:rsidR="00D5296B">
        <w:t xml:space="preserve">method </w:t>
      </w:r>
      <w:r>
        <w:t xml:space="preserve">for SCE’s CBP </w:t>
      </w:r>
      <w:r w:rsidR="00E535D9">
        <w:t>day-ahead</w:t>
      </w:r>
      <w:r>
        <w:t xml:space="preserve"> </w:t>
      </w:r>
      <w:r w:rsidR="00D5296B">
        <w:t>resource</w:t>
      </w:r>
      <w:r>
        <w:t xml:space="preserve">. </w:t>
      </w:r>
      <w:r w:rsidR="00D5296B">
        <w:t xml:space="preserve"> </w:t>
      </w:r>
      <w:r w:rsidR="00CE3792">
        <w:t xml:space="preserve">Bias is reduced by loosening the adjustment cap, applying the adjustment on the aggregate level and making the adjustment universal.  While bias is reduced by loosening the adjustment cap on the individual level, note that goodness of fit does not improve very much when the adjustment cap is loosened.  </w:t>
      </w:r>
      <w:r>
        <w:t xml:space="preserve">Note also that there is considerable volatility </w:t>
      </w:r>
      <w:r w:rsidR="00D5296B">
        <w:t xml:space="preserve">across </w:t>
      </w:r>
      <w:r>
        <w:t>proxy event days; the baseline performs much better on certain days than on others.</w:t>
      </w:r>
    </w:p>
    <w:p w:rsidR="00B073CB" w:rsidRDefault="000A2060" w:rsidP="00B073CB">
      <w:pPr>
        <w:pStyle w:val="BodyParagraph"/>
      </w:pPr>
      <w:r>
        <w:t>Table 3-14</w:t>
      </w:r>
      <w:r w:rsidR="00B073CB">
        <w:t xml:space="preserve"> s</w:t>
      </w:r>
      <w:r w:rsidR="00D5296B">
        <w:t xml:space="preserve">ummarizes the baseline assessment </w:t>
      </w:r>
      <w:r w:rsidR="00B073CB">
        <w:t xml:space="preserve">for SCE’s CBP </w:t>
      </w:r>
      <w:r w:rsidR="00E535D9">
        <w:t>day-of</w:t>
      </w:r>
      <w:r w:rsidR="00B073CB">
        <w:t xml:space="preserve"> </w:t>
      </w:r>
      <w:r w:rsidR="00D5296B">
        <w:t>resource</w:t>
      </w:r>
      <w:r w:rsidR="00B073CB">
        <w:t xml:space="preserve">. </w:t>
      </w:r>
      <w:r w:rsidR="00D5296B">
        <w:t xml:space="preserve"> </w:t>
      </w:r>
      <w:r w:rsidR="00B073CB">
        <w:t>Bias and goodness-of-fit a</w:t>
      </w:r>
      <w:r w:rsidR="00D5296B">
        <w:t xml:space="preserve">re slightly better for the </w:t>
      </w:r>
      <w:r w:rsidR="00E535D9">
        <w:t>day-of</w:t>
      </w:r>
      <w:r w:rsidR="00D5296B">
        <w:t xml:space="preserve"> program than for the </w:t>
      </w:r>
      <w:r w:rsidR="00E535D9">
        <w:t>day-ahead</w:t>
      </w:r>
      <w:r w:rsidR="00B073CB">
        <w:t xml:space="preserve"> program. </w:t>
      </w:r>
      <w:r w:rsidR="00D5296B">
        <w:t xml:space="preserve"> </w:t>
      </w:r>
      <w:r w:rsidR="00B073CB">
        <w:t>Otherwise, the results for each program are very similar.</w:t>
      </w:r>
    </w:p>
    <w:p w:rsidR="00B073CB" w:rsidRDefault="00B073CB" w:rsidP="001566EC">
      <w:pPr>
        <w:pStyle w:val="BodyParagraph"/>
        <w:sectPr w:rsidR="00B073CB" w:rsidSect="00CC2233">
          <w:headerReference w:type="default" r:id="rId40"/>
          <w:pgSz w:w="12240" w:h="15840"/>
          <w:pgMar w:top="1440" w:right="1440" w:bottom="1440" w:left="1440" w:header="720" w:footer="720" w:gutter="0"/>
          <w:cols w:space="720"/>
          <w:docGrid w:linePitch="360"/>
        </w:sectPr>
      </w:pPr>
    </w:p>
    <w:p w:rsidR="00B073CB" w:rsidRPr="00626091" w:rsidRDefault="000A2060" w:rsidP="00B073CB">
      <w:pPr>
        <w:pStyle w:val="TableFigureCaption"/>
      </w:pPr>
      <w:r>
        <w:lastRenderedPageBreak/>
        <w:t>Table 3-13</w:t>
      </w:r>
      <w:r w:rsidR="00B073CB">
        <w:t xml:space="preserve">: Daily Impacts and Errors by Baseline Type, SCE CBP, </w:t>
      </w:r>
      <w:r w:rsidR="00E535D9">
        <w:t>Day-ahead</w:t>
      </w:r>
    </w:p>
    <w:tbl>
      <w:tblPr>
        <w:tblW w:w="0" w:type="auto"/>
        <w:jc w:val="center"/>
        <w:tblInd w:w="91" w:type="dxa"/>
        <w:tblCellMar>
          <w:left w:w="72" w:type="dxa"/>
          <w:right w:w="72" w:type="dxa"/>
        </w:tblCellMar>
        <w:tblLook w:val="04A0"/>
      </w:tblPr>
      <w:tblGrid>
        <w:gridCol w:w="2003"/>
        <w:gridCol w:w="1585"/>
        <w:gridCol w:w="1371"/>
        <w:gridCol w:w="367"/>
        <w:gridCol w:w="367"/>
        <w:gridCol w:w="367"/>
        <w:gridCol w:w="367"/>
        <w:gridCol w:w="367"/>
        <w:gridCol w:w="367"/>
        <w:gridCol w:w="367"/>
        <w:gridCol w:w="367"/>
        <w:gridCol w:w="367"/>
        <w:gridCol w:w="447"/>
        <w:gridCol w:w="651"/>
        <w:gridCol w:w="607"/>
        <w:gridCol w:w="873"/>
      </w:tblGrid>
      <w:tr w:rsidR="00CE3792" w:rsidRPr="007449AA" w:rsidTr="00B90B9B">
        <w:trPr>
          <w:trHeight w:val="825"/>
          <w:jc w:val="center"/>
        </w:trPr>
        <w:tc>
          <w:tcPr>
            <w:tcW w:w="0" w:type="auto"/>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Application of Baselines</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Adjustment Option</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Adjustment Cap</w:t>
            </w:r>
          </w:p>
        </w:tc>
        <w:tc>
          <w:tcPr>
            <w:tcW w:w="0" w:type="auto"/>
            <w:gridSpan w:val="9"/>
            <w:tcBorders>
              <w:top w:val="single" w:sz="4" w:space="0" w:color="auto"/>
              <w:left w:val="nil"/>
              <w:bottom w:val="single" w:sz="4" w:space="0" w:color="FFFFFF"/>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Impact (MW) by Proxy Event Day</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Avg</w:t>
            </w:r>
          </w:p>
        </w:tc>
        <w:tc>
          <w:tcPr>
            <w:tcW w:w="0" w:type="auto"/>
            <w:tcBorders>
              <w:top w:val="single" w:sz="4" w:space="0" w:color="auto"/>
              <w:left w:val="nil"/>
              <w:bottom w:val="single" w:sz="4" w:space="0" w:color="FFFFFF"/>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Bias</w:t>
            </w:r>
          </w:p>
        </w:tc>
        <w:tc>
          <w:tcPr>
            <w:tcW w:w="0" w:type="auto"/>
            <w:gridSpan w:val="2"/>
            <w:tcBorders>
              <w:top w:val="single" w:sz="4" w:space="0" w:color="auto"/>
              <w:left w:val="nil"/>
              <w:bottom w:val="single" w:sz="4" w:space="0" w:color="FFFFFF"/>
              <w:right w:val="single" w:sz="4" w:space="0" w:color="000000"/>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Goodness-of-</w:t>
            </w:r>
            <w:r>
              <w:rPr>
                <w:rFonts w:ascii="Arial" w:eastAsia="Times New Roman" w:hAnsi="Arial" w:cs="Arial"/>
                <w:b/>
                <w:bCs/>
                <w:color w:val="FFFFFF"/>
                <w:sz w:val="16"/>
                <w:szCs w:val="18"/>
              </w:rPr>
              <w:t>f</w:t>
            </w:r>
            <w:r w:rsidRPr="007449AA">
              <w:rPr>
                <w:rFonts w:ascii="Arial" w:eastAsia="Times New Roman" w:hAnsi="Arial" w:cs="Arial"/>
                <w:b/>
                <w:bCs/>
                <w:color w:val="FFFFFF"/>
                <w:sz w:val="16"/>
                <w:szCs w:val="18"/>
              </w:rPr>
              <w:t>it</w:t>
            </w:r>
          </w:p>
        </w:tc>
      </w:tr>
      <w:tr w:rsidR="00CE3792" w:rsidRPr="007449AA" w:rsidTr="00B90B9B">
        <w:trPr>
          <w:trHeight w:val="225"/>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1</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2</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3</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4</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5</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6</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7</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8</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9</w:t>
            </w: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p>
        </w:tc>
        <w:tc>
          <w:tcPr>
            <w:tcW w:w="0" w:type="auto"/>
            <w:tcBorders>
              <w:top w:val="nil"/>
              <w:left w:val="nil"/>
              <w:bottom w:val="single" w:sz="4" w:space="0" w:color="auto"/>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MPE</w:t>
            </w:r>
          </w:p>
        </w:tc>
        <w:tc>
          <w:tcPr>
            <w:tcW w:w="0" w:type="auto"/>
            <w:tcBorders>
              <w:top w:val="nil"/>
              <w:left w:val="nil"/>
              <w:bottom w:val="single" w:sz="4" w:space="0" w:color="auto"/>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MAPE</w:t>
            </w:r>
          </w:p>
        </w:tc>
        <w:tc>
          <w:tcPr>
            <w:tcW w:w="0" w:type="auto"/>
            <w:tcBorders>
              <w:top w:val="nil"/>
              <w:left w:val="nil"/>
              <w:bottom w:val="single" w:sz="4" w:space="0" w:color="auto"/>
              <w:right w:val="single" w:sz="4" w:space="0" w:color="auto"/>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8"/>
              </w:rPr>
            </w:pPr>
            <w:r w:rsidRPr="007449AA">
              <w:rPr>
                <w:rFonts w:ascii="Arial" w:eastAsia="Times New Roman" w:hAnsi="Arial" w:cs="Arial"/>
                <w:b/>
                <w:bCs/>
                <w:color w:val="FFFFFF"/>
                <w:sz w:val="16"/>
                <w:szCs w:val="18"/>
              </w:rPr>
              <w:t>CV RMSE</w:t>
            </w:r>
          </w:p>
        </w:tc>
      </w:tr>
      <w:tr w:rsidR="00CE3792" w:rsidRPr="007449AA" w:rsidTr="00B90B9B">
        <w:trPr>
          <w:trHeight w:val="225"/>
          <w:jc w:val="center"/>
        </w:trPr>
        <w:tc>
          <w:tcPr>
            <w:tcW w:w="0" w:type="auto"/>
            <w:gridSpan w:val="3"/>
            <w:tcBorders>
              <w:top w:val="nil"/>
              <w:left w:val="single" w:sz="4" w:space="0" w:color="auto"/>
              <w:bottom w:val="single" w:sz="4" w:space="0" w:color="auto"/>
              <w:right w:val="single" w:sz="4" w:space="0" w:color="auto"/>
            </w:tcBorders>
            <w:shd w:val="clear" w:color="000000" w:fill="FFFFFF"/>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Pr>
                <w:rFonts w:ascii="Arial" w:eastAsia="Times New Roman" w:hAnsi="Arial" w:cs="Arial"/>
                <w:b/>
                <w:bCs/>
                <w:color w:val="000000"/>
                <w:sz w:val="16"/>
                <w:szCs w:val="18"/>
              </w:rPr>
              <w:t>Simulated Impact</w:t>
            </w:r>
          </w:p>
        </w:tc>
        <w:tc>
          <w:tcPr>
            <w:tcW w:w="0" w:type="auto"/>
            <w:gridSpan w:val="9"/>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p>
        </w:tc>
      </w:tr>
      <w:tr w:rsidR="00CE3792" w:rsidRPr="007449AA" w:rsidTr="00B90B9B">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Individual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Aggregator Choice</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32.4%</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0.394</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18.4%</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0.231</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17.9%</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0.217</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17.6%</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0.212</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17.4%</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0.210</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17.2%</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0.206</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16.7%</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0.200</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16.6%</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0.199</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Pr>
                <w:rFonts w:ascii="Arial" w:eastAsia="Times New Roman" w:hAnsi="Arial" w:cs="Arial"/>
                <w:b/>
                <w:bCs/>
                <w:color w:val="000000"/>
                <w:sz w:val="16"/>
                <w:szCs w:val="18"/>
              </w:rPr>
              <w:t>Universal</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32.4%</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0.394</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18.5%</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0.232</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17.7%</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0.218</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17.4%</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0.213</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17.3%</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0.210</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-11.9%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17.1%</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0.207</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-11.0%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17.1%</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0.202</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16.8%</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0.201</w:t>
            </w:r>
          </w:p>
        </w:tc>
      </w:tr>
      <w:tr w:rsidR="00CE3792" w:rsidRPr="007449AA" w:rsidTr="00B90B9B">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Aggregate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Aggregator Choice</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32.4%</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0.394</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17.2%</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0.210</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17.2%</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0.210</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17.2%</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0.210</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17.2%</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0.210</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17.2%</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0.210</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17.2%</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0.210</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17.2%</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0.210</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Pr>
                <w:rFonts w:ascii="Arial" w:eastAsia="Times New Roman" w:hAnsi="Arial" w:cs="Arial"/>
                <w:b/>
                <w:bCs/>
                <w:color w:val="000000"/>
                <w:sz w:val="16"/>
                <w:szCs w:val="18"/>
              </w:rPr>
              <w:t>Universal</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32.4%</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0.394</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17.3%</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0.211</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17.1%</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0.211</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17.1%</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0.211</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17.1%</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0.211</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17.1%</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0.211</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17.4%</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0.211</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8"/>
              </w:rPr>
            </w:pPr>
            <w:r w:rsidRPr="007449AA">
              <w:rPr>
                <w:rFonts w:ascii="Arial" w:eastAsia="Times New Roman" w:hAnsi="Arial" w:cs="Arial"/>
                <w:b/>
                <w:bCs/>
                <w:color w:val="000000"/>
                <w:sz w:val="16"/>
                <w:szCs w:val="18"/>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-12.2%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17.4%</w:t>
            </w:r>
          </w:p>
        </w:tc>
        <w:tc>
          <w:tcPr>
            <w:tcW w:w="0" w:type="auto"/>
            <w:tcBorders>
              <w:top w:val="nil"/>
              <w:left w:val="nil"/>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color w:val="000000"/>
                <w:sz w:val="16"/>
                <w:szCs w:val="18"/>
              </w:rPr>
            </w:pPr>
            <w:r w:rsidRPr="007449AA">
              <w:rPr>
                <w:rFonts w:ascii="Arial" w:eastAsia="Times New Roman" w:hAnsi="Arial" w:cs="Arial"/>
                <w:color w:val="000000"/>
                <w:sz w:val="16"/>
                <w:szCs w:val="18"/>
              </w:rPr>
              <w:t>0.211</w:t>
            </w:r>
          </w:p>
        </w:tc>
      </w:tr>
    </w:tbl>
    <w:p w:rsidR="00B073CB" w:rsidRDefault="00B8552D" w:rsidP="00B073CB">
      <w:pPr>
        <w:pStyle w:val="TableFigureCaption"/>
      </w:pPr>
      <w:r>
        <w:lastRenderedPageBreak/>
        <w:t>Table 3-14: Daily Impacts and Errors by Baseline Type, SCE CBP Day-of</w:t>
      </w:r>
    </w:p>
    <w:tbl>
      <w:tblPr>
        <w:tblW w:w="0" w:type="auto"/>
        <w:jc w:val="center"/>
        <w:tblCellMar>
          <w:left w:w="72" w:type="dxa"/>
          <w:right w:w="72" w:type="dxa"/>
        </w:tblCellMar>
        <w:tblLook w:val="04A0"/>
      </w:tblPr>
      <w:tblGrid>
        <w:gridCol w:w="2003"/>
        <w:gridCol w:w="1585"/>
        <w:gridCol w:w="1371"/>
        <w:gridCol w:w="456"/>
        <w:gridCol w:w="456"/>
        <w:gridCol w:w="456"/>
        <w:gridCol w:w="456"/>
        <w:gridCol w:w="456"/>
        <w:gridCol w:w="456"/>
        <w:gridCol w:w="456"/>
        <w:gridCol w:w="456"/>
        <w:gridCol w:w="456"/>
        <w:gridCol w:w="456"/>
        <w:gridCol w:w="651"/>
        <w:gridCol w:w="607"/>
        <w:gridCol w:w="873"/>
      </w:tblGrid>
      <w:tr w:rsidR="00CE3792" w:rsidRPr="007449AA" w:rsidTr="00B90B9B">
        <w:trPr>
          <w:trHeight w:val="225"/>
          <w:jc w:val="center"/>
        </w:trPr>
        <w:tc>
          <w:tcPr>
            <w:tcW w:w="0" w:type="auto"/>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bookmarkStart w:id="127" w:name="_Toc318472358"/>
            <w:r w:rsidRPr="007449AA">
              <w:rPr>
                <w:rFonts w:ascii="Arial" w:eastAsia="Times New Roman" w:hAnsi="Arial" w:cs="Arial"/>
                <w:b/>
                <w:bCs/>
                <w:color w:val="FFFFFF"/>
                <w:sz w:val="16"/>
                <w:szCs w:val="16"/>
              </w:rPr>
              <w:t>Application of Baselines</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Adjustment Option</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Adjustment Cap</w:t>
            </w:r>
          </w:p>
        </w:tc>
        <w:tc>
          <w:tcPr>
            <w:tcW w:w="0" w:type="auto"/>
            <w:gridSpan w:val="9"/>
            <w:tcBorders>
              <w:top w:val="single" w:sz="4" w:space="0" w:color="auto"/>
              <w:left w:val="nil"/>
              <w:bottom w:val="single" w:sz="4" w:space="0" w:color="FFFFFF"/>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Impact (MW) by Proxy Event Day</w:t>
            </w:r>
          </w:p>
        </w:tc>
        <w:tc>
          <w:tcPr>
            <w:tcW w:w="0" w:type="auto"/>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Avg</w:t>
            </w:r>
          </w:p>
        </w:tc>
        <w:tc>
          <w:tcPr>
            <w:tcW w:w="0" w:type="auto"/>
            <w:tcBorders>
              <w:top w:val="single" w:sz="4" w:space="0" w:color="auto"/>
              <w:left w:val="nil"/>
              <w:bottom w:val="single" w:sz="4" w:space="0" w:color="FFFFFF"/>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Bias</w:t>
            </w:r>
          </w:p>
        </w:tc>
        <w:tc>
          <w:tcPr>
            <w:tcW w:w="0" w:type="auto"/>
            <w:gridSpan w:val="2"/>
            <w:tcBorders>
              <w:top w:val="single" w:sz="4" w:space="0" w:color="auto"/>
              <w:left w:val="nil"/>
              <w:bottom w:val="single" w:sz="4" w:space="0" w:color="FFFFFF"/>
              <w:right w:val="single" w:sz="4" w:space="0" w:color="000000"/>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Goodness-of-</w:t>
            </w:r>
            <w:r>
              <w:rPr>
                <w:rFonts w:ascii="Arial" w:eastAsia="Times New Roman" w:hAnsi="Arial" w:cs="Arial"/>
                <w:b/>
                <w:bCs/>
                <w:color w:val="FFFFFF"/>
                <w:sz w:val="16"/>
                <w:szCs w:val="16"/>
              </w:rPr>
              <w:t>f</w:t>
            </w:r>
            <w:r w:rsidRPr="007449AA">
              <w:rPr>
                <w:rFonts w:ascii="Arial" w:eastAsia="Times New Roman" w:hAnsi="Arial" w:cs="Arial"/>
                <w:b/>
                <w:bCs/>
                <w:color w:val="FFFFFF"/>
                <w:sz w:val="16"/>
                <w:szCs w:val="16"/>
              </w:rPr>
              <w:t>it</w:t>
            </w:r>
          </w:p>
        </w:tc>
      </w:tr>
      <w:tr w:rsidR="00CE3792" w:rsidRPr="007449AA" w:rsidTr="00B90B9B">
        <w:trPr>
          <w:trHeight w:val="435"/>
          <w:jc w:val="center"/>
        </w:trPr>
        <w:tc>
          <w:tcPr>
            <w:tcW w:w="0" w:type="auto"/>
            <w:vMerge/>
            <w:tcBorders>
              <w:top w:val="single" w:sz="4" w:space="0" w:color="auto"/>
              <w:left w:val="single" w:sz="4" w:space="0" w:color="auto"/>
              <w:bottom w:val="single" w:sz="4" w:space="0" w:color="000000"/>
              <w:right w:val="single" w:sz="4" w:space="0" w:color="FFFFFF"/>
            </w:tcBorders>
            <w:vAlign w:val="center"/>
            <w:hideMark/>
          </w:tcPr>
          <w:p w:rsidR="00CE3792" w:rsidRPr="007449AA" w:rsidRDefault="00CE3792" w:rsidP="00B90B9B">
            <w:pPr>
              <w:spacing w:after="0" w:line="240" w:lineRule="auto"/>
              <w:rPr>
                <w:rFonts w:ascii="Arial" w:eastAsia="Times New Roman" w:hAnsi="Arial" w:cs="Arial"/>
                <w:b/>
                <w:bCs/>
                <w:color w:val="FFFFFF"/>
                <w:sz w:val="16"/>
                <w:szCs w:val="16"/>
              </w:rPr>
            </w:pP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7449AA" w:rsidRDefault="00CE3792" w:rsidP="00B90B9B">
            <w:pPr>
              <w:spacing w:after="0" w:line="240" w:lineRule="auto"/>
              <w:rPr>
                <w:rFonts w:ascii="Arial" w:eastAsia="Times New Roman" w:hAnsi="Arial" w:cs="Arial"/>
                <w:b/>
                <w:bCs/>
                <w:color w:val="FFFFFF"/>
                <w:sz w:val="16"/>
                <w:szCs w:val="16"/>
              </w:rPr>
            </w:pP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7449AA" w:rsidRDefault="00CE3792" w:rsidP="00B90B9B">
            <w:pPr>
              <w:spacing w:after="0" w:line="240" w:lineRule="auto"/>
              <w:rPr>
                <w:rFonts w:ascii="Arial" w:eastAsia="Times New Roman" w:hAnsi="Arial" w:cs="Arial"/>
                <w:b/>
                <w:bCs/>
                <w:color w:val="FFFFFF"/>
                <w:sz w:val="16"/>
                <w:szCs w:val="16"/>
              </w:rPr>
            </w:pP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1</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2</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3</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4</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5</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6</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7</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8</w:t>
            </w:r>
          </w:p>
        </w:tc>
        <w:tc>
          <w:tcPr>
            <w:tcW w:w="0" w:type="auto"/>
            <w:tcBorders>
              <w:top w:val="nil"/>
              <w:left w:val="nil"/>
              <w:bottom w:val="single" w:sz="4" w:space="0" w:color="auto"/>
              <w:right w:val="single" w:sz="4" w:space="0" w:color="FFFFFF"/>
            </w:tcBorders>
            <w:shd w:val="clear" w:color="000000" w:fill="1F497D"/>
            <w:noWrap/>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9</w:t>
            </w:r>
          </w:p>
        </w:tc>
        <w:tc>
          <w:tcPr>
            <w:tcW w:w="0" w:type="auto"/>
            <w:vMerge/>
            <w:tcBorders>
              <w:top w:val="single" w:sz="4" w:space="0" w:color="auto"/>
              <w:left w:val="single" w:sz="4" w:space="0" w:color="FFFFFF"/>
              <w:bottom w:val="single" w:sz="4" w:space="0" w:color="000000"/>
              <w:right w:val="single" w:sz="4" w:space="0" w:color="FFFFFF"/>
            </w:tcBorders>
            <w:vAlign w:val="center"/>
            <w:hideMark/>
          </w:tcPr>
          <w:p w:rsidR="00CE3792" w:rsidRPr="007449AA" w:rsidRDefault="00CE3792" w:rsidP="00B90B9B">
            <w:pPr>
              <w:spacing w:after="0" w:line="240" w:lineRule="auto"/>
              <w:rPr>
                <w:rFonts w:ascii="Arial" w:eastAsia="Times New Roman" w:hAnsi="Arial" w:cs="Arial"/>
                <w:b/>
                <w:bCs/>
                <w:color w:val="FFFFFF"/>
                <w:sz w:val="16"/>
                <w:szCs w:val="16"/>
              </w:rPr>
            </w:pPr>
          </w:p>
        </w:tc>
        <w:tc>
          <w:tcPr>
            <w:tcW w:w="0" w:type="auto"/>
            <w:tcBorders>
              <w:top w:val="nil"/>
              <w:left w:val="nil"/>
              <w:bottom w:val="single" w:sz="4" w:space="0" w:color="auto"/>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MPE</w:t>
            </w:r>
          </w:p>
        </w:tc>
        <w:tc>
          <w:tcPr>
            <w:tcW w:w="0" w:type="auto"/>
            <w:tcBorders>
              <w:top w:val="nil"/>
              <w:left w:val="nil"/>
              <w:bottom w:val="single" w:sz="4" w:space="0" w:color="auto"/>
              <w:right w:val="single" w:sz="4" w:space="0" w:color="FFFFFF"/>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MAPE</w:t>
            </w:r>
          </w:p>
        </w:tc>
        <w:tc>
          <w:tcPr>
            <w:tcW w:w="0" w:type="auto"/>
            <w:tcBorders>
              <w:top w:val="nil"/>
              <w:left w:val="nil"/>
              <w:bottom w:val="single" w:sz="4" w:space="0" w:color="auto"/>
              <w:right w:val="single" w:sz="4" w:space="0" w:color="auto"/>
            </w:tcBorders>
            <w:shd w:val="clear" w:color="000000" w:fill="1F497D"/>
            <w:vAlign w:val="center"/>
            <w:hideMark/>
          </w:tcPr>
          <w:p w:rsidR="00CE3792" w:rsidRPr="007449AA" w:rsidRDefault="00CE3792" w:rsidP="00B90B9B">
            <w:pPr>
              <w:spacing w:after="0" w:line="240" w:lineRule="auto"/>
              <w:jc w:val="center"/>
              <w:rPr>
                <w:rFonts w:ascii="Arial" w:eastAsia="Times New Roman" w:hAnsi="Arial" w:cs="Arial"/>
                <w:b/>
                <w:bCs/>
                <w:color w:val="FFFFFF"/>
                <w:sz w:val="16"/>
                <w:szCs w:val="16"/>
              </w:rPr>
            </w:pPr>
            <w:r w:rsidRPr="007449AA">
              <w:rPr>
                <w:rFonts w:ascii="Arial" w:eastAsia="Times New Roman" w:hAnsi="Arial" w:cs="Arial"/>
                <w:b/>
                <w:bCs/>
                <w:color w:val="FFFFFF"/>
                <w:sz w:val="16"/>
                <w:szCs w:val="16"/>
              </w:rPr>
              <w:t>CV RMSE</w:t>
            </w:r>
          </w:p>
        </w:tc>
      </w:tr>
      <w:tr w:rsidR="00CE3792" w:rsidRPr="007449AA" w:rsidTr="00B90B9B">
        <w:trPr>
          <w:trHeight w:val="225"/>
          <w:jc w:val="center"/>
        </w:trPr>
        <w:tc>
          <w:tcPr>
            <w:tcW w:w="0" w:type="auto"/>
            <w:gridSpan w:val="3"/>
            <w:tcBorders>
              <w:top w:val="nil"/>
              <w:left w:val="single" w:sz="4" w:space="0" w:color="auto"/>
              <w:bottom w:val="single" w:sz="4" w:space="0" w:color="auto"/>
              <w:right w:val="single" w:sz="4" w:space="0" w:color="auto"/>
            </w:tcBorders>
            <w:shd w:val="clear" w:color="000000" w:fill="FFFFFF"/>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Simulated Impact</w:t>
            </w:r>
          </w:p>
        </w:tc>
        <w:tc>
          <w:tcPr>
            <w:tcW w:w="0" w:type="auto"/>
            <w:gridSpan w:val="9"/>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 </w:t>
            </w:r>
          </w:p>
        </w:tc>
      </w:tr>
      <w:tr w:rsidR="00CE3792" w:rsidRPr="007449AA" w:rsidTr="00B90B9B">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Individual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Aggregator Choice</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9.4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12.5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-26.4%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26.4%</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0.297</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11.3%</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0.131</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11.1%</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0.129</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11.1%</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0.129</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11.1%</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0.129</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11.1%</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0.129</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11.1%</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0.129</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11.3%</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0.131</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9.4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12.5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-26.4%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26.4%</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0.297</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16.8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5.0%</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0.064</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5.7%</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0.074</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5.7%</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0.075</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5.8%</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0.075</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5.8%</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0.076</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5.8%</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0.076</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5.7%</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0.076</w:t>
            </w:r>
          </w:p>
        </w:tc>
      </w:tr>
      <w:tr w:rsidR="00CE3792" w:rsidRPr="007449AA" w:rsidTr="00B90B9B">
        <w:trPr>
          <w:trHeight w:val="22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Aggregate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Aggregator Choice</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9.4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12.5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-26.4%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26.4%</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0.297</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0.136</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0.136</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0.136</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0.136</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0.136</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0.136</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11.7%</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0.136</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Unadjusted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9.4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8.7</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12.5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11.0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-26.4%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26.4%</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0.297</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5.4%</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0.072</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5.3%</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0.072</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5.3%</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0.072</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5.3%</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0.072</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5.3%</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0.072</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2x</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5.3%</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0.072</w:t>
            </w:r>
          </w:p>
        </w:tc>
      </w:tr>
      <w:tr w:rsidR="00CE3792" w:rsidRPr="007449AA" w:rsidTr="00B90B9B">
        <w:trPr>
          <w:trHeight w:val="225"/>
          <w:jc w:val="center"/>
        </w:trPr>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E3792" w:rsidRPr="007449AA" w:rsidRDefault="00CE3792" w:rsidP="00B90B9B">
            <w:pPr>
              <w:spacing w:after="0" w:line="240" w:lineRule="auto"/>
              <w:rPr>
                <w:rFonts w:ascii="Arial" w:eastAsia="Times New Roman"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b/>
                <w:bCs/>
                <w:color w:val="000000"/>
                <w:sz w:val="16"/>
                <w:szCs w:val="16"/>
              </w:rPr>
            </w:pPr>
            <w:r w:rsidRPr="007449AA">
              <w:rPr>
                <w:rFonts w:ascii="Arial" w:eastAsia="Times New Roman" w:hAnsi="Arial" w:cs="Arial"/>
                <w:b/>
                <w:bCs/>
                <w:color w:val="000000"/>
                <w:sz w:val="16"/>
                <w:szCs w:val="16"/>
              </w:rPr>
              <w:t>Unlimited</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17.2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14.1</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15.4</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5.3%</w:t>
            </w:r>
          </w:p>
        </w:tc>
        <w:tc>
          <w:tcPr>
            <w:tcW w:w="0" w:type="auto"/>
            <w:tcBorders>
              <w:top w:val="nil"/>
              <w:left w:val="nil"/>
              <w:bottom w:val="single" w:sz="4" w:space="0" w:color="auto"/>
              <w:right w:val="single" w:sz="4" w:space="0" w:color="auto"/>
            </w:tcBorders>
            <w:shd w:val="clear" w:color="auto" w:fill="auto"/>
            <w:vAlign w:val="bottom"/>
            <w:hideMark/>
          </w:tcPr>
          <w:p w:rsidR="00CE3792" w:rsidRPr="007449AA" w:rsidRDefault="00CE3792" w:rsidP="00B90B9B">
            <w:pPr>
              <w:spacing w:after="0" w:line="240" w:lineRule="auto"/>
              <w:jc w:val="center"/>
              <w:rPr>
                <w:rFonts w:ascii="Arial" w:eastAsia="Times New Roman" w:hAnsi="Arial" w:cs="Arial"/>
                <w:color w:val="000000"/>
                <w:sz w:val="16"/>
                <w:szCs w:val="16"/>
              </w:rPr>
            </w:pPr>
            <w:r w:rsidRPr="007449AA">
              <w:rPr>
                <w:rFonts w:ascii="Arial" w:eastAsia="Times New Roman" w:hAnsi="Arial" w:cs="Arial"/>
                <w:color w:val="000000"/>
                <w:sz w:val="16"/>
                <w:szCs w:val="16"/>
              </w:rPr>
              <w:t>0.072</w:t>
            </w:r>
          </w:p>
        </w:tc>
      </w:tr>
    </w:tbl>
    <w:p w:rsidR="001566EC" w:rsidRDefault="001566EC" w:rsidP="001566EC">
      <w:pPr>
        <w:pStyle w:val="BodyParagraph"/>
      </w:pPr>
    </w:p>
    <w:p w:rsidR="00B073CB" w:rsidRDefault="00B073CB" w:rsidP="001566EC">
      <w:pPr>
        <w:pStyle w:val="BodyParagraph"/>
        <w:sectPr w:rsidR="00B073CB" w:rsidSect="00CC2233">
          <w:headerReference w:type="default" r:id="rId41"/>
          <w:pgSz w:w="15840" w:h="12240" w:orient="landscape"/>
          <w:pgMar w:top="1440" w:right="1440" w:bottom="1440" w:left="1440" w:header="720" w:footer="720" w:gutter="0"/>
          <w:cols w:space="720"/>
          <w:docGrid w:linePitch="360"/>
        </w:sectPr>
      </w:pPr>
    </w:p>
    <w:p w:rsidR="00B073CB" w:rsidRDefault="00B073CB" w:rsidP="00B073CB">
      <w:pPr>
        <w:pStyle w:val="Heading2"/>
      </w:pPr>
      <w:bookmarkStart w:id="128" w:name="_Toc318789299"/>
      <w:bookmarkStart w:id="129" w:name="_Toc324232572"/>
      <w:bookmarkStart w:id="130" w:name="_Toc326150817"/>
      <w:r>
        <w:lastRenderedPageBreak/>
        <w:t>SDG&amp;E Settlement Baseline Analysis</w:t>
      </w:r>
      <w:bookmarkEnd w:id="127"/>
      <w:bookmarkEnd w:id="128"/>
      <w:bookmarkEnd w:id="129"/>
      <w:bookmarkEnd w:id="130"/>
    </w:p>
    <w:p w:rsidR="00B073CB" w:rsidRDefault="00B073CB" w:rsidP="00D813F6">
      <w:pPr>
        <w:pStyle w:val="BodyParagraph"/>
      </w:pPr>
      <w:r>
        <w:t xml:space="preserve">Figure </w:t>
      </w:r>
      <w:r w:rsidR="00B36ECE">
        <w:t>3</w:t>
      </w:r>
      <w:r>
        <w:t xml:space="preserve">-5 shows the extent to which each baseline </w:t>
      </w:r>
      <w:r w:rsidR="00B36ECE">
        <w:t xml:space="preserve">method </w:t>
      </w:r>
      <w:r>
        <w:t xml:space="preserve">underestimates </w:t>
      </w:r>
      <w:r w:rsidR="00B36ECE">
        <w:t xml:space="preserve">or overestimates </w:t>
      </w:r>
      <w:r>
        <w:t xml:space="preserve">demand reductions for SDG&amp;E’s </w:t>
      </w:r>
      <w:r w:rsidR="00B36ECE">
        <w:t xml:space="preserve">CBP program </w:t>
      </w:r>
      <w:r>
        <w:t>for both the</w:t>
      </w:r>
      <w:r w:rsidR="00B36ECE">
        <w:t xml:space="preserve"> </w:t>
      </w:r>
      <w:r w:rsidR="00E535D9">
        <w:t>day-of</w:t>
      </w:r>
      <w:r w:rsidR="00B36ECE">
        <w:t xml:space="preserve"> and </w:t>
      </w:r>
      <w:r w:rsidR="00E535D9">
        <w:t>day-ahead</w:t>
      </w:r>
      <w:r>
        <w:t xml:space="preserve"> </w:t>
      </w:r>
      <w:r w:rsidR="00B36ECE">
        <w:t>resources</w:t>
      </w:r>
      <w:r>
        <w:t xml:space="preserve">. </w:t>
      </w:r>
      <w:r w:rsidR="00B36ECE">
        <w:t xml:space="preserve"> </w:t>
      </w:r>
      <w:r>
        <w:t xml:space="preserve">Table </w:t>
      </w:r>
      <w:r w:rsidR="00B36ECE">
        <w:t>3-15</w:t>
      </w:r>
      <w:r>
        <w:t xml:space="preserve"> sho</w:t>
      </w:r>
      <w:r w:rsidR="00B36ECE">
        <w:t>ws the same information in tabular</w:t>
      </w:r>
      <w:r>
        <w:t xml:space="preserve"> form. </w:t>
      </w:r>
      <w:r w:rsidR="00B36ECE">
        <w:t xml:space="preserve"> </w:t>
      </w:r>
      <w:r>
        <w:t xml:space="preserve">Loosening the adjustment cap reduces bias for both </w:t>
      </w:r>
      <w:r w:rsidR="00B36ECE">
        <w:t>resource options</w:t>
      </w:r>
      <w:r>
        <w:t>.</w:t>
      </w:r>
      <w:r w:rsidR="00D813F6">
        <w:t xml:space="preserve">   </w:t>
      </w:r>
      <w:r w:rsidR="00D813F6" w:rsidRPr="00D813F6">
        <w:t xml:space="preserve">For the day-ahead customers the unadjusted baseline has a negative bias and underestimates </w:t>
      </w:r>
      <w:r w:rsidR="00D813F6">
        <w:t>reductions by nearly 40%</w:t>
      </w:r>
      <w:r w:rsidR="00D813F6" w:rsidRPr="00D813F6">
        <w:t xml:space="preserve">. </w:t>
      </w:r>
      <w:r w:rsidR="00D813F6">
        <w:t xml:space="preserve"> Applying adjustments on a universal basis decreases the bias substantially.  However, loosening the cap too much leads to overestimation of the reductions.  </w:t>
      </w:r>
      <w:r w:rsidR="001566EC">
        <w:t xml:space="preserve">Making the adjustment mandatory </w:t>
      </w:r>
      <w:r w:rsidR="00CE3792">
        <w:t>decreases</w:t>
      </w:r>
      <w:r w:rsidR="00D813F6">
        <w:t xml:space="preserve"> bias for</w:t>
      </w:r>
      <w:r>
        <w:t xml:space="preserve"> both </w:t>
      </w:r>
      <w:r w:rsidR="00B36ECE">
        <w:t>resource options</w:t>
      </w:r>
      <w:r w:rsidR="00D813F6">
        <w:t xml:space="preserve">.  While aggregators and direct participant can elect to apply same day adjustments (in advance), </w:t>
      </w:r>
      <w:r w:rsidR="00CE3792">
        <w:t>several choose</w:t>
      </w:r>
      <w:r>
        <w:t xml:space="preserve"> </w:t>
      </w:r>
      <w:r w:rsidR="00D813F6">
        <w:t xml:space="preserve">not </w:t>
      </w:r>
      <w:r>
        <w:t xml:space="preserve">to apply the adjustment. </w:t>
      </w:r>
      <w:r w:rsidR="00B36ECE">
        <w:t xml:space="preserve"> </w:t>
      </w:r>
      <w:r>
        <w:t xml:space="preserve">It is clearly in the interest of </w:t>
      </w:r>
      <w:r w:rsidR="00CE3792">
        <w:t>aggregators</w:t>
      </w:r>
      <w:r>
        <w:t xml:space="preserve"> to </w:t>
      </w:r>
      <w:r w:rsidR="00D813F6">
        <w:t xml:space="preserve">elect to </w:t>
      </w:r>
      <w:r>
        <w:t xml:space="preserve">apply the </w:t>
      </w:r>
      <w:r w:rsidR="00CE3792">
        <w:t>adjustment since</w:t>
      </w:r>
      <w:r w:rsidR="00D813F6">
        <w:t xml:space="preserve"> it </w:t>
      </w:r>
      <w:r>
        <w:t>reduce</w:t>
      </w:r>
      <w:r w:rsidR="00D813F6">
        <w:t>s</w:t>
      </w:r>
      <w:r>
        <w:t xml:space="preserve"> the amount of load reduction underestimation.</w:t>
      </w:r>
    </w:p>
    <w:p w:rsidR="00B073CB" w:rsidRPr="00B36945" w:rsidRDefault="00B36ECE" w:rsidP="00B073CB">
      <w:pPr>
        <w:pStyle w:val="TableFigureCaption"/>
      </w:pPr>
      <w:r>
        <w:t>Figure 3</w:t>
      </w:r>
      <w:r w:rsidR="00B073CB">
        <w:t>-5: Bias by Baseline Type</w:t>
      </w:r>
      <w:r>
        <w:t xml:space="preserve"> SDG&amp;E’s CBP Program</w:t>
      </w:r>
    </w:p>
    <w:p w:rsidR="001566EC" w:rsidRDefault="008B5314" w:rsidP="001566EC">
      <w:pPr>
        <w:pStyle w:val="BodyParagraph"/>
      </w:pPr>
      <w:r>
        <w:rPr>
          <w:noProof/>
        </w:rPr>
        <w:drawing>
          <wp:inline distT="0" distB="0" distL="0" distR="0">
            <wp:extent cx="5943600" cy="2966720"/>
            <wp:effectExtent l="19050" t="0" r="19050" b="5080"/>
            <wp:docPr id="3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566EC" w:rsidRDefault="001566EC" w:rsidP="001566EC">
      <w:pPr>
        <w:pStyle w:val="BodyParagraph"/>
      </w:pPr>
    </w:p>
    <w:p w:rsidR="00B073CB" w:rsidRDefault="00B073CB" w:rsidP="00B073CB">
      <w:pPr>
        <w:rPr>
          <w:rFonts w:ascii="Arial" w:hAnsi="Arial"/>
          <w:b/>
        </w:rPr>
      </w:pPr>
      <w:r>
        <w:br w:type="page"/>
      </w:r>
    </w:p>
    <w:p w:rsidR="00B073CB" w:rsidRDefault="00B36ECE" w:rsidP="00B073CB">
      <w:pPr>
        <w:pStyle w:val="TableFigureCaption"/>
      </w:pPr>
      <w:r>
        <w:lastRenderedPageBreak/>
        <w:t>Table 3-15</w:t>
      </w:r>
      <w:r w:rsidR="00B073CB">
        <w:t>: Bias by Baseline Type</w:t>
      </w:r>
      <w:r>
        <w:t xml:space="preserve"> for SDG&amp;E’s CBP Program</w:t>
      </w:r>
    </w:p>
    <w:tbl>
      <w:tblPr>
        <w:tblW w:w="7000" w:type="dxa"/>
        <w:jc w:val="center"/>
        <w:tblInd w:w="108" w:type="dxa"/>
        <w:tblLook w:val="04A0"/>
      </w:tblPr>
      <w:tblGrid>
        <w:gridCol w:w="1196"/>
        <w:gridCol w:w="1206"/>
        <w:gridCol w:w="1206"/>
        <w:gridCol w:w="1077"/>
        <w:gridCol w:w="948"/>
        <w:gridCol w:w="1077"/>
        <w:gridCol w:w="948"/>
      </w:tblGrid>
      <w:tr w:rsidR="00B073CB" w:rsidRPr="00286EDA" w:rsidTr="00F87EC6">
        <w:trPr>
          <w:trHeight w:val="300"/>
          <w:jc w:val="center"/>
        </w:trPr>
        <w:tc>
          <w:tcPr>
            <w:tcW w:w="1078" w:type="dxa"/>
            <w:vMerge w:val="restart"/>
            <w:tcBorders>
              <w:top w:val="single" w:sz="4" w:space="0" w:color="auto"/>
              <w:left w:val="single" w:sz="4" w:space="0" w:color="auto"/>
              <w:bottom w:val="single" w:sz="4" w:space="0" w:color="FFFFFF"/>
              <w:right w:val="single" w:sz="4" w:space="0" w:color="FFFFFF"/>
            </w:tcBorders>
            <w:shd w:val="clear" w:color="000000" w:fill="376091"/>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r w:rsidRPr="00286EDA">
              <w:rPr>
                <w:rFonts w:ascii="Arial" w:eastAsia="Times New Roman" w:hAnsi="Arial" w:cs="Arial"/>
                <w:b/>
                <w:bCs/>
                <w:color w:val="FFFFFF"/>
                <w:sz w:val="18"/>
                <w:szCs w:val="18"/>
              </w:rPr>
              <w:t>Application of Baselines</w:t>
            </w:r>
          </w:p>
        </w:tc>
        <w:tc>
          <w:tcPr>
            <w:tcW w:w="1036" w:type="dxa"/>
            <w:vMerge w:val="restart"/>
            <w:tcBorders>
              <w:top w:val="single" w:sz="4" w:space="0" w:color="auto"/>
              <w:left w:val="single" w:sz="4" w:space="0" w:color="FFFFFF"/>
              <w:bottom w:val="single" w:sz="4" w:space="0" w:color="FFFFFF"/>
              <w:right w:val="single" w:sz="4" w:space="0" w:color="FFFFFF"/>
            </w:tcBorders>
            <w:shd w:val="clear" w:color="000000" w:fill="376091"/>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r w:rsidRPr="00286EDA">
              <w:rPr>
                <w:rFonts w:ascii="Arial" w:eastAsia="Times New Roman" w:hAnsi="Arial" w:cs="Arial"/>
                <w:b/>
                <w:bCs/>
                <w:color w:val="FFFFFF"/>
                <w:sz w:val="18"/>
                <w:szCs w:val="18"/>
              </w:rPr>
              <w:t>Adjustment Option</w:t>
            </w:r>
          </w:p>
        </w:tc>
        <w:tc>
          <w:tcPr>
            <w:tcW w:w="1000" w:type="dxa"/>
            <w:vMerge w:val="restart"/>
            <w:tcBorders>
              <w:top w:val="single" w:sz="4" w:space="0" w:color="auto"/>
              <w:left w:val="single" w:sz="4" w:space="0" w:color="FFFFFF"/>
              <w:bottom w:val="single" w:sz="4" w:space="0" w:color="FFFFFF"/>
              <w:right w:val="single" w:sz="4" w:space="0" w:color="FFFFFF"/>
            </w:tcBorders>
            <w:shd w:val="clear" w:color="000000" w:fill="376091"/>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r w:rsidRPr="00286EDA">
              <w:rPr>
                <w:rFonts w:ascii="Arial" w:eastAsia="Times New Roman" w:hAnsi="Arial" w:cs="Arial"/>
                <w:b/>
                <w:bCs/>
                <w:color w:val="FFFFFF"/>
                <w:sz w:val="18"/>
                <w:szCs w:val="18"/>
              </w:rPr>
              <w:t>Adjustment Cap</w:t>
            </w:r>
          </w:p>
        </w:tc>
        <w:tc>
          <w:tcPr>
            <w:tcW w:w="3886" w:type="dxa"/>
            <w:gridSpan w:val="4"/>
            <w:tcBorders>
              <w:top w:val="single" w:sz="4" w:space="0" w:color="auto"/>
              <w:left w:val="nil"/>
              <w:bottom w:val="single" w:sz="4" w:space="0" w:color="FFFFFF"/>
              <w:right w:val="single" w:sz="4" w:space="0" w:color="auto"/>
            </w:tcBorders>
            <w:shd w:val="clear" w:color="000000" w:fill="376091"/>
            <w:noWrap/>
            <w:vAlign w:val="center"/>
            <w:hideMark/>
          </w:tcPr>
          <w:p w:rsidR="00B073CB" w:rsidRPr="00286EDA" w:rsidRDefault="00B073CB" w:rsidP="00CC2233">
            <w:pPr>
              <w:spacing w:after="0" w:line="240" w:lineRule="auto"/>
              <w:jc w:val="center"/>
              <w:rPr>
                <w:rFonts w:ascii="Arial" w:eastAsia="Times New Roman" w:hAnsi="Arial" w:cs="Arial"/>
                <w:b/>
                <w:bCs/>
                <w:color w:val="FFFFFF"/>
                <w:sz w:val="20"/>
                <w:szCs w:val="20"/>
              </w:rPr>
            </w:pPr>
            <w:r w:rsidRPr="00286EDA">
              <w:rPr>
                <w:rFonts w:ascii="Arial" w:eastAsia="Times New Roman" w:hAnsi="Arial" w:cs="Arial"/>
                <w:b/>
                <w:bCs/>
                <w:color w:val="FFFFFF"/>
                <w:sz w:val="20"/>
                <w:szCs w:val="20"/>
              </w:rPr>
              <w:t>Capacity Bidding Program</w:t>
            </w:r>
          </w:p>
        </w:tc>
      </w:tr>
      <w:tr w:rsidR="00B073CB" w:rsidRPr="00286EDA" w:rsidTr="00F87EC6">
        <w:trPr>
          <w:trHeight w:val="300"/>
          <w:jc w:val="center"/>
        </w:trPr>
        <w:tc>
          <w:tcPr>
            <w:tcW w:w="1078" w:type="dxa"/>
            <w:vMerge/>
            <w:tcBorders>
              <w:top w:val="nil"/>
              <w:left w:val="single" w:sz="4" w:space="0" w:color="auto"/>
              <w:bottom w:val="single" w:sz="4" w:space="0" w:color="FFFFFF"/>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1036" w:type="dxa"/>
            <w:vMerge/>
            <w:tcBorders>
              <w:top w:val="nil"/>
              <w:left w:val="single" w:sz="4" w:space="0" w:color="FFFFFF"/>
              <w:bottom w:val="single" w:sz="4" w:space="0" w:color="FFFFFF"/>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1000" w:type="dxa"/>
            <w:vMerge/>
            <w:tcBorders>
              <w:top w:val="nil"/>
              <w:left w:val="single" w:sz="4" w:space="0" w:color="FFFFFF"/>
              <w:bottom w:val="single" w:sz="4" w:space="0" w:color="FFFFFF"/>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1943" w:type="dxa"/>
            <w:gridSpan w:val="2"/>
            <w:tcBorders>
              <w:top w:val="single" w:sz="4" w:space="0" w:color="FFFFFF"/>
              <w:left w:val="nil"/>
              <w:bottom w:val="single" w:sz="4" w:space="0" w:color="FFFFFF"/>
              <w:right w:val="single" w:sz="4" w:space="0" w:color="FFFFFF"/>
            </w:tcBorders>
            <w:shd w:val="clear" w:color="000000" w:fill="376091"/>
            <w:noWrap/>
            <w:vAlign w:val="center"/>
            <w:hideMark/>
          </w:tcPr>
          <w:p w:rsidR="00B073CB" w:rsidRPr="00286EDA" w:rsidRDefault="00147ADF" w:rsidP="00CC223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Day-o</w:t>
            </w:r>
            <w:r w:rsidR="00B073CB" w:rsidRPr="00286EDA">
              <w:rPr>
                <w:rFonts w:ascii="Arial" w:eastAsia="Times New Roman" w:hAnsi="Arial" w:cs="Arial"/>
                <w:b/>
                <w:bCs/>
                <w:color w:val="FFFFFF"/>
                <w:sz w:val="18"/>
                <w:szCs w:val="18"/>
              </w:rPr>
              <w:t>f</w:t>
            </w:r>
          </w:p>
        </w:tc>
        <w:tc>
          <w:tcPr>
            <w:tcW w:w="1943" w:type="dxa"/>
            <w:gridSpan w:val="2"/>
            <w:tcBorders>
              <w:top w:val="single" w:sz="4" w:space="0" w:color="FFFFFF"/>
              <w:left w:val="nil"/>
              <w:bottom w:val="single" w:sz="4" w:space="0" w:color="FFFFFF"/>
              <w:right w:val="single" w:sz="4" w:space="0" w:color="auto"/>
            </w:tcBorders>
            <w:shd w:val="clear" w:color="000000" w:fill="376091"/>
            <w:noWrap/>
            <w:vAlign w:val="center"/>
            <w:hideMark/>
          </w:tcPr>
          <w:p w:rsidR="00B073CB" w:rsidRPr="00286EDA" w:rsidRDefault="00B073CB" w:rsidP="00147ADF">
            <w:pPr>
              <w:spacing w:after="0" w:line="240" w:lineRule="auto"/>
              <w:jc w:val="center"/>
              <w:rPr>
                <w:rFonts w:ascii="Arial" w:eastAsia="Times New Roman" w:hAnsi="Arial" w:cs="Arial"/>
                <w:b/>
                <w:bCs/>
                <w:color w:val="FFFFFF"/>
                <w:sz w:val="18"/>
                <w:szCs w:val="18"/>
              </w:rPr>
            </w:pPr>
            <w:r w:rsidRPr="00286EDA">
              <w:rPr>
                <w:rFonts w:ascii="Arial" w:eastAsia="Times New Roman" w:hAnsi="Arial" w:cs="Arial"/>
                <w:b/>
                <w:bCs/>
                <w:color w:val="FFFFFF"/>
                <w:sz w:val="18"/>
                <w:szCs w:val="18"/>
              </w:rPr>
              <w:t>Day-</w:t>
            </w:r>
            <w:r w:rsidR="00147ADF">
              <w:rPr>
                <w:rFonts w:ascii="Arial" w:eastAsia="Times New Roman" w:hAnsi="Arial" w:cs="Arial"/>
                <w:b/>
                <w:bCs/>
                <w:color w:val="FFFFFF"/>
                <w:sz w:val="18"/>
                <w:szCs w:val="18"/>
              </w:rPr>
              <w:t>a</w:t>
            </w:r>
            <w:r w:rsidRPr="00286EDA">
              <w:rPr>
                <w:rFonts w:ascii="Arial" w:eastAsia="Times New Roman" w:hAnsi="Arial" w:cs="Arial"/>
                <w:b/>
                <w:bCs/>
                <w:color w:val="FFFFFF"/>
                <w:sz w:val="18"/>
                <w:szCs w:val="18"/>
              </w:rPr>
              <w:t>head</w:t>
            </w:r>
          </w:p>
        </w:tc>
      </w:tr>
      <w:tr w:rsidR="00B073CB" w:rsidRPr="00286EDA" w:rsidTr="00F87EC6">
        <w:trPr>
          <w:trHeight w:val="300"/>
          <w:jc w:val="center"/>
        </w:trPr>
        <w:tc>
          <w:tcPr>
            <w:tcW w:w="1078" w:type="dxa"/>
            <w:vMerge/>
            <w:tcBorders>
              <w:top w:val="nil"/>
              <w:left w:val="single" w:sz="4" w:space="0" w:color="auto"/>
              <w:bottom w:val="single" w:sz="4" w:space="0" w:color="FFFFFF"/>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1036" w:type="dxa"/>
            <w:vMerge/>
            <w:tcBorders>
              <w:top w:val="nil"/>
              <w:left w:val="single" w:sz="4" w:space="0" w:color="FFFFFF"/>
              <w:bottom w:val="single" w:sz="4" w:space="0" w:color="FFFFFF"/>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1000" w:type="dxa"/>
            <w:vMerge/>
            <w:tcBorders>
              <w:top w:val="nil"/>
              <w:left w:val="single" w:sz="4" w:space="0" w:color="FFFFFF"/>
              <w:bottom w:val="single" w:sz="4" w:space="0" w:color="FFFFFF"/>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995" w:type="dxa"/>
            <w:vMerge w:val="restart"/>
            <w:tcBorders>
              <w:top w:val="nil"/>
              <w:left w:val="single" w:sz="4" w:space="0" w:color="FFFFFF"/>
              <w:bottom w:val="single" w:sz="4" w:space="0" w:color="FFFFFF"/>
              <w:right w:val="single" w:sz="4" w:space="0" w:color="FFFFFF"/>
            </w:tcBorders>
            <w:shd w:val="clear" w:color="000000" w:fill="376091"/>
            <w:vAlign w:val="center"/>
            <w:hideMark/>
          </w:tcPr>
          <w:p w:rsidR="00B073CB" w:rsidRPr="00286EDA" w:rsidRDefault="00B073CB" w:rsidP="00147ADF">
            <w:pPr>
              <w:spacing w:after="0" w:line="240" w:lineRule="auto"/>
              <w:jc w:val="center"/>
              <w:rPr>
                <w:rFonts w:ascii="Arial" w:eastAsia="Times New Roman" w:hAnsi="Arial" w:cs="Arial"/>
                <w:b/>
                <w:bCs/>
                <w:color w:val="FFFFFF"/>
                <w:sz w:val="18"/>
                <w:szCs w:val="18"/>
              </w:rPr>
            </w:pPr>
            <w:r w:rsidRPr="00286EDA">
              <w:rPr>
                <w:rFonts w:ascii="Arial" w:eastAsia="Times New Roman" w:hAnsi="Arial" w:cs="Arial"/>
                <w:b/>
                <w:bCs/>
                <w:color w:val="FFFFFF"/>
                <w:sz w:val="18"/>
                <w:szCs w:val="18"/>
              </w:rPr>
              <w:t>Est</w:t>
            </w:r>
            <w:r w:rsidR="00147ADF">
              <w:rPr>
                <w:rFonts w:ascii="Arial" w:eastAsia="Times New Roman" w:hAnsi="Arial" w:cs="Arial"/>
                <w:b/>
                <w:bCs/>
                <w:color w:val="FFFFFF"/>
                <w:sz w:val="18"/>
                <w:szCs w:val="18"/>
              </w:rPr>
              <w:t>imated</w:t>
            </w:r>
            <w:r w:rsidRPr="00286EDA">
              <w:rPr>
                <w:rFonts w:ascii="Arial" w:eastAsia="Times New Roman" w:hAnsi="Arial" w:cs="Arial"/>
                <w:b/>
                <w:bCs/>
                <w:color w:val="FFFFFF"/>
                <w:sz w:val="18"/>
                <w:szCs w:val="18"/>
              </w:rPr>
              <w:t xml:space="preserve"> Impacts</w:t>
            </w:r>
          </w:p>
        </w:tc>
        <w:tc>
          <w:tcPr>
            <w:tcW w:w="948" w:type="dxa"/>
            <w:vMerge w:val="restart"/>
            <w:tcBorders>
              <w:top w:val="nil"/>
              <w:left w:val="single" w:sz="4" w:space="0" w:color="FFFFFF"/>
              <w:bottom w:val="nil"/>
              <w:right w:val="single" w:sz="4" w:space="0" w:color="FFFFFF"/>
            </w:tcBorders>
            <w:shd w:val="clear" w:color="000000" w:fill="376091"/>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r w:rsidRPr="00286EDA">
              <w:rPr>
                <w:rFonts w:ascii="Arial" w:eastAsia="Times New Roman" w:hAnsi="Arial" w:cs="Arial"/>
                <w:b/>
                <w:bCs/>
                <w:color w:val="FFFFFF"/>
                <w:sz w:val="18"/>
                <w:szCs w:val="18"/>
              </w:rPr>
              <w:t>Error (MPE)</w:t>
            </w:r>
          </w:p>
        </w:tc>
        <w:tc>
          <w:tcPr>
            <w:tcW w:w="995" w:type="dxa"/>
            <w:vMerge w:val="restart"/>
            <w:tcBorders>
              <w:top w:val="nil"/>
              <w:left w:val="single" w:sz="4" w:space="0" w:color="FFFFFF"/>
              <w:bottom w:val="single" w:sz="4" w:space="0" w:color="FFFFFF"/>
              <w:right w:val="single" w:sz="4" w:space="0" w:color="FFFFFF"/>
            </w:tcBorders>
            <w:shd w:val="clear" w:color="000000" w:fill="376091"/>
            <w:vAlign w:val="center"/>
            <w:hideMark/>
          </w:tcPr>
          <w:p w:rsidR="00B073CB" w:rsidRPr="00286EDA" w:rsidRDefault="00B073CB" w:rsidP="00147ADF">
            <w:pPr>
              <w:spacing w:after="0" w:line="240" w:lineRule="auto"/>
              <w:jc w:val="center"/>
              <w:rPr>
                <w:rFonts w:ascii="Arial" w:eastAsia="Times New Roman" w:hAnsi="Arial" w:cs="Arial"/>
                <w:b/>
                <w:bCs/>
                <w:color w:val="FFFFFF"/>
                <w:sz w:val="18"/>
                <w:szCs w:val="18"/>
              </w:rPr>
            </w:pPr>
            <w:r w:rsidRPr="00286EDA">
              <w:rPr>
                <w:rFonts w:ascii="Arial" w:eastAsia="Times New Roman" w:hAnsi="Arial" w:cs="Arial"/>
                <w:b/>
                <w:bCs/>
                <w:color w:val="FFFFFF"/>
                <w:sz w:val="18"/>
                <w:szCs w:val="18"/>
              </w:rPr>
              <w:t>Est</w:t>
            </w:r>
            <w:r w:rsidR="00147ADF">
              <w:rPr>
                <w:rFonts w:ascii="Arial" w:eastAsia="Times New Roman" w:hAnsi="Arial" w:cs="Arial"/>
                <w:b/>
                <w:bCs/>
                <w:color w:val="FFFFFF"/>
                <w:sz w:val="18"/>
                <w:szCs w:val="18"/>
              </w:rPr>
              <w:t>imated</w:t>
            </w:r>
            <w:r w:rsidRPr="00286EDA">
              <w:rPr>
                <w:rFonts w:ascii="Arial" w:eastAsia="Times New Roman" w:hAnsi="Arial" w:cs="Arial"/>
                <w:b/>
                <w:bCs/>
                <w:color w:val="FFFFFF"/>
                <w:sz w:val="18"/>
                <w:szCs w:val="18"/>
              </w:rPr>
              <w:t xml:space="preserve"> Impacts</w:t>
            </w:r>
          </w:p>
        </w:tc>
        <w:tc>
          <w:tcPr>
            <w:tcW w:w="948" w:type="dxa"/>
            <w:vMerge w:val="restart"/>
            <w:tcBorders>
              <w:top w:val="nil"/>
              <w:left w:val="single" w:sz="4" w:space="0" w:color="FFFFFF"/>
              <w:bottom w:val="nil"/>
              <w:right w:val="single" w:sz="4" w:space="0" w:color="auto"/>
            </w:tcBorders>
            <w:shd w:val="clear" w:color="000000" w:fill="376091"/>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r w:rsidRPr="00286EDA">
              <w:rPr>
                <w:rFonts w:ascii="Arial" w:eastAsia="Times New Roman" w:hAnsi="Arial" w:cs="Arial"/>
                <w:b/>
                <w:bCs/>
                <w:color w:val="FFFFFF"/>
                <w:sz w:val="18"/>
                <w:szCs w:val="18"/>
              </w:rPr>
              <w:t>Error (MPE)</w:t>
            </w:r>
          </w:p>
        </w:tc>
      </w:tr>
      <w:tr w:rsidR="00B073CB" w:rsidRPr="00286EDA" w:rsidTr="00F87EC6">
        <w:trPr>
          <w:trHeight w:val="300"/>
          <w:jc w:val="center"/>
        </w:trPr>
        <w:tc>
          <w:tcPr>
            <w:tcW w:w="1078" w:type="dxa"/>
            <w:vMerge/>
            <w:tcBorders>
              <w:top w:val="nil"/>
              <w:left w:val="single" w:sz="4" w:space="0" w:color="auto"/>
              <w:bottom w:val="single" w:sz="4" w:space="0" w:color="FFFFFF"/>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1036" w:type="dxa"/>
            <w:vMerge/>
            <w:tcBorders>
              <w:top w:val="nil"/>
              <w:left w:val="single" w:sz="4" w:space="0" w:color="FFFFFF"/>
              <w:bottom w:val="single" w:sz="4" w:space="0" w:color="FFFFFF"/>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1000" w:type="dxa"/>
            <w:vMerge/>
            <w:tcBorders>
              <w:top w:val="nil"/>
              <w:left w:val="single" w:sz="4" w:space="0" w:color="FFFFFF"/>
              <w:bottom w:val="single" w:sz="4" w:space="0" w:color="FFFFFF"/>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995" w:type="dxa"/>
            <w:vMerge/>
            <w:tcBorders>
              <w:top w:val="nil"/>
              <w:left w:val="single" w:sz="4" w:space="0" w:color="FFFFFF"/>
              <w:bottom w:val="single" w:sz="4" w:space="0" w:color="FFFFFF"/>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948" w:type="dxa"/>
            <w:vMerge/>
            <w:tcBorders>
              <w:top w:val="nil"/>
              <w:left w:val="single" w:sz="4" w:space="0" w:color="FFFFFF"/>
              <w:bottom w:val="nil"/>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995" w:type="dxa"/>
            <w:vMerge/>
            <w:tcBorders>
              <w:top w:val="nil"/>
              <w:left w:val="single" w:sz="4" w:space="0" w:color="FFFFFF"/>
              <w:bottom w:val="single" w:sz="4" w:space="0" w:color="FFFFFF"/>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948" w:type="dxa"/>
            <w:vMerge/>
            <w:tcBorders>
              <w:top w:val="nil"/>
              <w:left w:val="single" w:sz="4" w:space="0" w:color="FFFFFF"/>
              <w:bottom w:val="nil"/>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r>
      <w:tr w:rsidR="00B073CB" w:rsidRPr="00286EDA" w:rsidTr="00F87EC6">
        <w:trPr>
          <w:trHeight w:val="300"/>
          <w:jc w:val="center"/>
        </w:trPr>
        <w:tc>
          <w:tcPr>
            <w:tcW w:w="1078" w:type="dxa"/>
            <w:vMerge/>
            <w:tcBorders>
              <w:top w:val="nil"/>
              <w:left w:val="single" w:sz="4" w:space="0" w:color="auto"/>
              <w:bottom w:val="single" w:sz="4" w:space="0" w:color="auto"/>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1036" w:type="dxa"/>
            <w:vMerge/>
            <w:tcBorders>
              <w:top w:val="nil"/>
              <w:left w:val="single" w:sz="4" w:space="0" w:color="FFFFFF"/>
              <w:bottom w:val="single" w:sz="4" w:space="0" w:color="auto"/>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1000" w:type="dxa"/>
            <w:vMerge/>
            <w:tcBorders>
              <w:top w:val="nil"/>
              <w:left w:val="single" w:sz="4" w:space="0" w:color="FFFFFF"/>
              <w:bottom w:val="single" w:sz="4" w:space="0" w:color="auto"/>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995" w:type="dxa"/>
            <w:vMerge/>
            <w:tcBorders>
              <w:top w:val="nil"/>
              <w:left w:val="single" w:sz="4" w:space="0" w:color="FFFFFF"/>
              <w:bottom w:val="single" w:sz="4" w:space="0" w:color="auto"/>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948" w:type="dxa"/>
            <w:vMerge/>
            <w:tcBorders>
              <w:top w:val="nil"/>
              <w:left w:val="single" w:sz="4" w:space="0" w:color="FFFFFF"/>
              <w:bottom w:val="single" w:sz="4" w:space="0" w:color="auto"/>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995" w:type="dxa"/>
            <w:vMerge/>
            <w:tcBorders>
              <w:top w:val="nil"/>
              <w:left w:val="single" w:sz="4" w:space="0" w:color="FFFFFF"/>
              <w:bottom w:val="single" w:sz="4" w:space="0" w:color="auto"/>
              <w:right w:val="single" w:sz="4" w:space="0" w:color="FFFFFF"/>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c>
          <w:tcPr>
            <w:tcW w:w="948" w:type="dxa"/>
            <w:vMerge/>
            <w:tcBorders>
              <w:top w:val="nil"/>
              <w:left w:val="single" w:sz="4" w:space="0" w:color="FFFFFF"/>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b/>
                <w:bCs/>
                <w:color w:val="FFFFFF"/>
                <w:sz w:val="18"/>
                <w:szCs w:val="18"/>
              </w:rPr>
            </w:pPr>
          </w:p>
        </w:tc>
      </w:tr>
      <w:tr w:rsidR="00B073CB" w:rsidRPr="00286EDA" w:rsidTr="00F87EC6">
        <w:trPr>
          <w:trHeight w:val="300"/>
          <w:jc w:val="center"/>
        </w:trPr>
        <w:tc>
          <w:tcPr>
            <w:tcW w:w="311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073CB" w:rsidRPr="00286EDA" w:rsidRDefault="000A214D" w:rsidP="00CC2233">
            <w:pPr>
              <w:spacing w:after="0" w:line="240" w:lineRule="auto"/>
              <w:jc w:val="center"/>
              <w:rPr>
                <w:rFonts w:ascii="Arial" w:eastAsia="Times New Roman" w:hAnsi="Arial" w:cs="Arial"/>
                <w:sz w:val="18"/>
                <w:szCs w:val="18"/>
              </w:rPr>
            </w:pPr>
            <w:r>
              <w:rPr>
                <w:rFonts w:ascii="Arial" w:eastAsia="Times New Roman" w:hAnsi="Arial" w:cs="Arial"/>
                <w:sz w:val="18"/>
                <w:szCs w:val="18"/>
              </w:rPr>
              <w:t>Simulated</w:t>
            </w:r>
            <w:r w:rsidRPr="00286EDA">
              <w:rPr>
                <w:rFonts w:ascii="Arial" w:eastAsia="Times New Roman" w:hAnsi="Arial" w:cs="Arial"/>
                <w:sz w:val="18"/>
                <w:szCs w:val="18"/>
              </w:rPr>
              <w:t xml:space="preserve"> </w:t>
            </w:r>
            <w:r w:rsidR="00B073CB" w:rsidRPr="00286EDA">
              <w:rPr>
                <w:rFonts w:ascii="Arial" w:eastAsia="Times New Roman" w:hAnsi="Arial" w:cs="Arial"/>
                <w:sz w:val="18"/>
                <w:szCs w:val="18"/>
              </w:rPr>
              <w:t>Impact</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8.7</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6.2</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r>
      <w:tr w:rsidR="00B073CB" w:rsidRPr="00286EDA" w:rsidTr="00CC2233">
        <w:trPr>
          <w:trHeight w:val="300"/>
          <w:jc w:val="center"/>
        </w:trPr>
        <w:tc>
          <w:tcPr>
            <w:tcW w:w="10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Individual</w:t>
            </w:r>
          </w:p>
        </w:tc>
        <w:tc>
          <w:tcPr>
            <w:tcW w:w="1036" w:type="dxa"/>
            <w:vMerge w:val="restart"/>
            <w:tcBorders>
              <w:top w:val="nil"/>
              <w:left w:val="single" w:sz="4" w:space="0" w:color="auto"/>
              <w:bottom w:val="single" w:sz="4" w:space="0" w:color="auto"/>
              <w:right w:val="single" w:sz="4" w:space="0" w:color="auto"/>
            </w:tcBorders>
            <w:shd w:val="clear" w:color="auto" w:fill="auto"/>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Aggregator Choice</w:t>
            </w: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Unadj</w:t>
            </w:r>
            <w:r w:rsidR="00B36ECE">
              <w:rPr>
                <w:rFonts w:ascii="Arial" w:eastAsia="Times New Roman" w:hAnsi="Arial" w:cs="Arial"/>
                <w:color w:val="000000"/>
                <w:sz w:val="18"/>
                <w:szCs w:val="18"/>
              </w:rPr>
              <w:t>usted</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4.9</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-44.5%</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6.2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-22.9%</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-18.0%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7.1</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-12.5%</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30%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-17.3%</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-11.3%</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35%</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-17.2%</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-11.0%</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-17.2%</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-10.7%</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50%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-17.2%</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-10.3%</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2x</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-17.1%</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-9.6%</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Unlim</w:t>
            </w:r>
            <w:r w:rsidR="00B36ECE">
              <w:rPr>
                <w:rFonts w:ascii="Arial" w:eastAsia="Times New Roman" w:hAnsi="Arial" w:cs="Arial"/>
                <w:color w:val="000000"/>
                <w:sz w:val="18"/>
                <w:szCs w:val="18"/>
              </w:rPr>
              <w:t>ited</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-9.6%</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Universal</w:t>
            </w: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Unadj</w:t>
            </w:r>
            <w:r w:rsidR="00B36ECE">
              <w:rPr>
                <w:rFonts w:ascii="Arial" w:eastAsia="Times New Roman" w:hAnsi="Arial" w:cs="Arial"/>
                <w:color w:val="000000"/>
                <w:sz w:val="18"/>
                <w:szCs w:val="18"/>
              </w:rPr>
              <w:t>usted</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4.9</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-44.5%</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6.2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-22.9%</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8.0</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-9.1%</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7.7</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-4.6%</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30%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8.0</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-0.5%</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35%</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-7.9%</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1.5%</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-7.8%</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2.7%</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50%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-7.8%</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8.4</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4.0%</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2x</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-7.6%</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8.7</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7.5%</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Unlim</w:t>
            </w:r>
            <w:r w:rsidR="00B36ECE">
              <w:rPr>
                <w:rFonts w:ascii="Arial" w:eastAsia="Times New Roman" w:hAnsi="Arial" w:cs="Arial"/>
                <w:color w:val="000000"/>
                <w:sz w:val="18"/>
                <w:szCs w:val="18"/>
              </w:rPr>
              <w:t>ited</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-7.6%</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8.7</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r>
      <w:tr w:rsidR="00B073CB" w:rsidRPr="00286EDA" w:rsidTr="00CC2233">
        <w:trPr>
          <w:trHeight w:val="300"/>
          <w:jc w:val="center"/>
        </w:trPr>
        <w:tc>
          <w:tcPr>
            <w:tcW w:w="10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Aggregate</w:t>
            </w:r>
          </w:p>
        </w:tc>
        <w:tc>
          <w:tcPr>
            <w:tcW w:w="1036" w:type="dxa"/>
            <w:vMerge w:val="restart"/>
            <w:tcBorders>
              <w:top w:val="nil"/>
              <w:left w:val="single" w:sz="4" w:space="0" w:color="auto"/>
              <w:bottom w:val="single" w:sz="4" w:space="0" w:color="auto"/>
              <w:right w:val="single" w:sz="4" w:space="0" w:color="auto"/>
            </w:tcBorders>
            <w:shd w:val="clear" w:color="auto" w:fill="auto"/>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Aggregator Choice</w:t>
            </w: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Unadj</w:t>
            </w:r>
            <w:r w:rsidR="00B36ECE">
              <w:rPr>
                <w:rFonts w:ascii="Arial" w:eastAsia="Times New Roman" w:hAnsi="Arial" w:cs="Arial"/>
                <w:color w:val="000000"/>
                <w:sz w:val="18"/>
                <w:szCs w:val="18"/>
              </w:rPr>
              <w:t>usted</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4.9</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-44.5%</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6.2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-22.9%</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-17.6%</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-9.8%</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30%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-17.6%</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-9.6%</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35%</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-17.6%</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-9.6%</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-17.6%</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-9.6%</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50%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-17.6%</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-9.6%</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2x</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-17.6%</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-9.6%</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Unlim</w:t>
            </w:r>
            <w:r w:rsidR="00B36ECE">
              <w:rPr>
                <w:rFonts w:ascii="Arial" w:eastAsia="Times New Roman" w:hAnsi="Arial" w:cs="Arial"/>
                <w:color w:val="000000"/>
                <w:sz w:val="18"/>
                <w:szCs w:val="18"/>
              </w:rPr>
              <w:t>ited</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-17.6%</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7.3</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-9.6%</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Universal</w:t>
            </w: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Unadj</w:t>
            </w:r>
            <w:r w:rsidR="00B36ECE">
              <w:rPr>
                <w:rFonts w:ascii="Arial" w:eastAsia="Times New Roman" w:hAnsi="Arial" w:cs="Arial"/>
                <w:color w:val="000000"/>
                <w:sz w:val="18"/>
                <w:szCs w:val="18"/>
              </w:rPr>
              <w:t>usted</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4.9</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-44.5%</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6.2</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-22.9%</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8.0</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0.0%</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30%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8.0</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8.5</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4.6%</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35%</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8.0</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8.6</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6.4%</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40%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8.0</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8.7</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7.5%</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50%</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8.0</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8.7</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7.9%</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2x</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8.0</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8.7</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7.9%</w:t>
            </w:r>
          </w:p>
        </w:tc>
      </w:tr>
      <w:tr w:rsidR="00B073CB" w:rsidRPr="00286EDA" w:rsidTr="00CC2233">
        <w:trPr>
          <w:trHeight w:val="300"/>
          <w:jc w:val="center"/>
        </w:trPr>
        <w:tc>
          <w:tcPr>
            <w:tcW w:w="1078"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36" w:type="dxa"/>
            <w:vMerge/>
            <w:tcBorders>
              <w:top w:val="nil"/>
              <w:left w:val="single" w:sz="4" w:space="0" w:color="auto"/>
              <w:bottom w:val="single" w:sz="4" w:space="0" w:color="auto"/>
              <w:right w:val="single" w:sz="4" w:space="0" w:color="auto"/>
            </w:tcBorders>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Unlim</w:t>
            </w:r>
            <w:r w:rsidR="00B36ECE">
              <w:rPr>
                <w:rFonts w:ascii="Arial" w:eastAsia="Times New Roman" w:hAnsi="Arial" w:cs="Arial"/>
                <w:color w:val="000000"/>
                <w:sz w:val="18"/>
                <w:szCs w:val="18"/>
              </w:rPr>
              <w:t>ited</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8.0</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-8.1%</w:t>
            </w:r>
          </w:p>
        </w:tc>
        <w:tc>
          <w:tcPr>
            <w:tcW w:w="995"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8.7</w:t>
            </w:r>
          </w:p>
        </w:tc>
        <w:tc>
          <w:tcPr>
            <w:tcW w:w="948" w:type="dxa"/>
            <w:tcBorders>
              <w:top w:val="nil"/>
              <w:left w:val="nil"/>
              <w:bottom w:val="single" w:sz="4" w:space="0" w:color="auto"/>
              <w:right w:val="single" w:sz="4" w:space="0" w:color="auto"/>
            </w:tcBorders>
            <w:shd w:val="clear" w:color="auto" w:fill="auto"/>
            <w:noWrap/>
            <w:vAlign w:val="center"/>
            <w:hideMark/>
          </w:tcPr>
          <w:p w:rsidR="00B073CB" w:rsidRPr="00286EDA" w:rsidRDefault="00B073CB" w:rsidP="00CC2233">
            <w:pPr>
              <w:spacing w:after="0" w:line="240" w:lineRule="auto"/>
              <w:jc w:val="center"/>
              <w:rPr>
                <w:rFonts w:ascii="Arial" w:eastAsia="Times New Roman" w:hAnsi="Arial" w:cs="Arial"/>
                <w:color w:val="000000"/>
                <w:sz w:val="18"/>
                <w:szCs w:val="18"/>
              </w:rPr>
            </w:pPr>
            <w:r w:rsidRPr="00286EDA">
              <w:rPr>
                <w:rFonts w:ascii="Arial" w:eastAsia="Times New Roman" w:hAnsi="Arial" w:cs="Arial"/>
                <w:color w:val="000000"/>
                <w:sz w:val="18"/>
                <w:szCs w:val="18"/>
              </w:rPr>
              <w:t>7.9%</w:t>
            </w:r>
          </w:p>
        </w:tc>
      </w:tr>
    </w:tbl>
    <w:p w:rsidR="00B073CB" w:rsidRDefault="00B073CB" w:rsidP="00B073CB">
      <w:pPr>
        <w:pStyle w:val="BodyParagraph"/>
      </w:pPr>
    </w:p>
    <w:p w:rsidR="00B073CB" w:rsidRPr="00932B71" w:rsidRDefault="00B073CB" w:rsidP="00B073CB">
      <w:pPr>
        <w:pStyle w:val="BodyParagraph"/>
      </w:pPr>
    </w:p>
    <w:p w:rsidR="00B073CB" w:rsidRDefault="00B073CB" w:rsidP="00B073CB">
      <w:pPr>
        <w:pStyle w:val="Heading3"/>
      </w:pPr>
      <w:bookmarkStart w:id="131" w:name="_Toc318472359"/>
      <w:bookmarkStart w:id="132" w:name="_Toc318789300"/>
      <w:bookmarkStart w:id="133" w:name="_Toc324232573"/>
      <w:bookmarkStart w:id="134" w:name="_Toc326150818"/>
      <w:r>
        <w:lastRenderedPageBreak/>
        <w:t>Detailed Results</w:t>
      </w:r>
      <w:bookmarkEnd w:id="131"/>
      <w:bookmarkEnd w:id="132"/>
      <w:r w:rsidR="00B36ECE">
        <w:t xml:space="preserve"> for SDG&amp;E’s CBP Program</w:t>
      </w:r>
      <w:bookmarkEnd w:id="133"/>
      <w:bookmarkEnd w:id="134"/>
    </w:p>
    <w:p w:rsidR="00B073CB" w:rsidRDefault="00B36ECE" w:rsidP="00B073CB">
      <w:pPr>
        <w:pStyle w:val="BodyParagraph"/>
      </w:pPr>
      <w:r>
        <w:t>Table 3-16</w:t>
      </w:r>
      <w:r w:rsidR="00B073CB">
        <w:t xml:space="preserve"> </w:t>
      </w:r>
      <w:r>
        <w:t xml:space="preserve">compares </w:t>
      </w:r>
      <w:r w:rsidR="00B073CB">
        <w:t xml:space="preserve">the estimated reductions for each proxy event day </w:t>
      </w:r>
      <w:r>
        <w:t xml:space="preserve">with the simulated impacts </w:t>
      </w:r>
      <w:r w:rsidR="00B073CB">
        <w:t xml:space="preserve">by baseline </w:t>
      </w:r>
      <w:r>
        <w:t xml:space="preserve">method </w:t>
      </w:r>
      <w:r w:rsidR="00B073CB">
        <w:t xml:space="preserve">for SDG&amp;E’s CBP </w:t>
      </w:r>
      <w:r w:rsidR="00E535D9">
        <w:t>day-ahead</w:t>
      </w:r>
      <w:r w:rsidR="00B073CB">
        <w:t xml:space="preserve"> </w:t>
      </w:r>
      <w:r>
        <w:t>resource</w:t>
      </w:r>
      <w:r w:rsidR="00B073CB">
        <w:t xml:space="preserve">. </w:t>
      </w:r>
      <w:r>
        <w:t xml:space="preserve"> </w:t>
      </w:r>
      <w:r w:rsidR="00CE3792">
        <w:t>Bias is reduced by loosening the adjustment cap, by applying the adjustment on the aggregate level, and by making the adjustment universal.  While bias is reduced by loosening the adjustment cap on the individual level, goodness of fit does not improve very much when the adjustment cap is loosened.  There</w:t>
      </w:r>
      <w:r w:rsidR="00B073CB">
        <w:t xml:space="preserve"> is considerable volatility between proxy event days; the baseline performs much better on certain days than it does on others.</w:t>
      </w:r>
    </w:p>
    <w:p w:rsidR="00B073CB" w:rsidRDefault="00B073CB" w:rsidP="00B073CB">
      <w:pPr>
        <w:pStyle w:val="BodyParagraph"/>
        <w:sectPr w:rsidR="00B073CB" w:rsidSect="00CC2233">
          <w:pgSz w:w="12240" w:h="15840"/>
          <w:pgMar w:top="1440" w:right="1440" w:bottom="1440" w:left="1440" w:header="720" w:footer="720" w:gutter="0"/>
          <w:cols w:space="720"/>
          <w:docGrid w:linePitch="360"/>
        </w:sectPr>
      </w:pPr>
      <w:r>
        <w:t xml:space="preserve">Table </w:t>
      </w:r>
      <w:r w:rsidR="00B36ECE">
        <w:t>3-17</w:t>
      </w:r>
      <w:r>
        <w:t xml:space="preserve"> shows the </w:t>
      </w:r>
      <w:r w:rsidR="00B36ECE">
        <w:t xml:space="preserve">assessment </w:t>
      </w:r>
      <w:r>
        <w:t xml:space="preserve">for SDG&amp;E’s CBP </w:t>
      </w:r>
      <w:r w:rsidR="00E535D9">
        <w:t>day-of</w:t>
      </w:r>
      <w:r>
        <w:t xml:space="preserve"> </w:t>
      </w:r>
      <w:r w:rsidR="00B36ECE">
        <w:t>resource</w:t>
      </w:r>
      <w:r>
        <w:t xml:space="preserve">. </w:t>
      </w:r>
      <w:r w:rsidR="00B36ECE">
        <w:t xml:space="preserve"> </w:t>
      </w:r>
      <w:r>
        <w:t xml:space="preserve">CBP </w:t>
      </w:r>
      <w:r w:rsidR="00E535D9">
        <w:t>day-of</w:t>
      </w:r>
      <w:r>
        <w:t xml:space="preserve"> baselines are most improved by making the adjustment mandatory because most settlement portfolios do not already apply the same-day adjustment. Otherwise, loosening the adjustment cap has limited effects because the adjustment ratio already falls below successively higher adjustment caps.</w:t>
      </w:r>
    </w:p>
    <w:p w:rsidR="00B073CB" w:rsidRPr="00B36945" w:rsidRDefault="00B8552D" w:rsidP="00B073CB">
      <w:pPr>
        <w:pStyle w:val="TableFigureCaption"/>
      </w:pPr>
      <w:r>
        <w:lastRenderedPageBreak/>
        <w:t>Table 3-16: Daily Impacts and Errors by Baseline Type, SDG&amp;E CBP Day-ahead</w:t>
      </w:r>
    </w:p>
    <w:tbl>
      <w:tblPr>
        <w:tblW w:w="10098" w:type="dxa"/>
        <w:jc w:val="center"/>
        <w:tblLayout w:type="fixed"/>
        <w:tblCellMar>
          <w:left w:w="72" w:type="dxa"/>
          <w:right w:w="72" w:type="dxa"/>
        </w:tblCellMar>
        <w:tblLook w:val="04A0"/>
      </w:tblPr>
      <w:tblGrid>
        <w:gridCol w:w="1332"/>
        <w:gridCol w:w="1350"/>
        <w:gridCol w:w="1080"/>
        <w:gridCol w:w="27"/>
        <w:gridCol w:w="513"/>
        <w:gridCol w:w="27"/>
        <w:gridCol w:w="513"/>
        <w:gridCol w:w="27"/>
        <w:gridCol w:w="513"/>
        <w:gridCol w:w="27"/>
        <w:gridCol w:w="513"/>
        <w:gridCol w:w="27"/>
        <w:gridCol w:w="423"/>
        <w:gridCol w:w="489"/>
        <w:gridCol w:w="528"/>
        <w:gridCol w:w="540"/>
        <w:gridCol w:w="720"/>
        <w:gridCol w:w="720"/>
        <w:gridCol w:w="729"/>
      </w:tblGrid>
      <w:tr w:rsidR="00B8552D" w:rsidRPr="00EB1F15" w:rsidTr="004B1D37">
        <w:trPr>
          <w:trHeight w:val="825"/>
          <w:jc w:val="center"/>
        </w:trPr>
        <w:tc>
          <w:tcPr>
            <w:tcW w:w="1332" w:type="dxa"/>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B073CB" w:rsidRPr="00EB1F15" w:rsidRDefault="00B073CB" w:rsidP="004B1D37">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Application of Baselines</w:t>
            </w:r>
          </w:p>
        </w:tc>
        <w:tc>
          <w:tcPr>
            <w:tcW w:w="135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Adjustment Option</w:t>
            </w:r>
          </w:p>
        </w:tc>
        <w:tc>
          <w:tcPr>
            <w:tcW w:w="1107" w:type="dxa"/>
            <w:gridSpan w:val="2"/>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Adjustment Cap</w:t>
            </w:r>
          </w:p>
        </w:tc>
        <w:tc>
          <w:tcPr>
            <w:tcW w:w="3600" w:type="dxa"/>
            <w:gridSpan w:val="11"/>
            <w:tcBorders>
              <w:top w:val="single" w:sz="4" w:space="0" w:color="auto"/>
              <w:left w:val="nil"/>
              <w:bottom w:val="single" w:sz="4" w:space="0" w:color="FFFFFF"/>
              <w:right w:val="single" w:sz="4" w:space="0" w:color="FFFFFF"/>
            </w:tcBorders>
            <w:shd w:val="clear" w:color="000000" w:fill="1F497D"/>
            <w:noWrap/>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Impact (MW) by Proxy Event Day</w:t>
            </w:r>
          </w:p>
        </w:tc>
        <w:tc>
          <w:tcPr>
            <w:tcW w:w="54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Avg</w:t>
            </w:r>
            <w:r>
              <w:rPr>
                <w:rFonts w:ascii="Arial" w:eastAsia="Times New Roman" w:hAnsi="Arial" w:cs="Arial"/>
                <w:b/>
                <w:bCs/>
                <w:color w:val="FFFFFF"/>
                <w:sz w:val="16"/>
                <w:szCs w:val="16"/>
              </w:rPr>
              <w:t>.</w:t>
            </w:r>
          </w:p>
        </w:tc>
        <w:tc>
          <w:tcPr>
            <w:tcW w:w="720" w:type="dxa"/>
            <w:tcBorders>
              <w:top w:val="single" w:sz="4" w:space="0" w:color="auto"/>
              <w:left w:val="nil"/>
              <w:bottom w:val="single" w:sz="4" w:space="0" w:color="FFFFFF"/>
              <w:right w:val="single" w:sz="4" w:space="0" w:color="FFFFFF"/>
            </w:tcBorders>
            <w:shd w:val="clear" w:color="000000" w:fill="1F497D"/>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Bias</w:t>
            </w:r>
          </w:p>
        </w:tc>
        <w:tc>
          <w:tcPr>
            <w:tcW w:w="1449" w:type="dxa"/>
            <w:gridSpan w:val="2"/>
            <w:tcBorders>
              <w:top w:val="single" w:sz="4" w:space="0" w:color="auto"/>
              <w:left w:val="nil"/>
              <w:bottom w:val="single" w:sz="4" w:space="0" w:color="FFFFFF"/>
              <w:right w:val="single" w:sz="4" w:space="0" w:color="000000"/>
            </w:tcBorders>
            <w:shd w:val="clear" w:color="000000" w:fill="1F497D"/>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Goodness-of-</w:t>
            </w:r>
            <w:r w:rsidR="00147ADF">
              <w:rPr>
                <w:rFonts w:ascii="Arial" w:eastAsia="Times New Roman" w:hAnsi="Arial" w:cs="Arial"/>
                <w:b/>
                <w:bCs/>
                <w:color w:val="FFFFFF"/>
                <w:sz w:val="16"/>
                <w:szCs w:val="16"/>
              </w:rPr>
              <w:t>f</w:t>
            </w:r>
            <w:r w:rsidRPr="00EB1F15">
              <w:rPr>
                <w:rFonts w:ascii="Arial" w:eastAsia="Times New Roman" w:hAnsi="Arial" w:cs="Arial"/>
                <w:b/>
                <w:bCs/>
                <w:color w:val="FFFFFF"/>
                <w:sz w:val="16"/>
                <w:szCs w:val="16"/>
              </w:rPr>
              <w:t>it</w:t>
            </w:r>
          </w:p>
        </w:tc>
      </w:tr>
      <w:tr w:rsidR="00D42F67" w:rsidRPr="00EB1F15" w:rsidTr="004B1D37">
        <w:trPr>
          <w:trHeight w:val="225"/>
          <w:jc w:val="center"/>
        </w:trPr>
        <w:tc>
          <w:tcPr>
            <w:tcW w:w="1332" w:type="dxa"/>
            <w:vMerge/>
            <w:tcBorders>
              <w:top w:val="single" w:sz="4" w:space="0" w:color="auto"/>
              <w:left w:val="single" w:sz="4" w:space="0" w:color="auto"/>
              <w:bottom w:val="single" w:sz="4" w:space="0" w:color="000000"/>
              <w:right w:val="single" w:sz="4" w:space="0" w:color="FFFFFF"/>
            </w:tcBorders>
            <w:vAlign w:val="center"/>
            <w:hideMark/>
          </w:tcPr>
          <w:p w:rsidR="008B5314" w:rsidRDefault="008B5314">
            <w:pPr>
              <w:spacing w:after="0" w:line="240" w:lineRule="auto"/>
              <w:jc w:val="center"/>
              <w:rPr>
                <w:rFonts w:ascii="Arial" w:eastAsia="Times New Roman" w:hAnsi="Arial" w:cs="Arial"/>
                <w:b/>
                <w:bCs/>
                <w:color w:val="FFFFFF"/>
                <w:sz w:val="16"/>
                <w:szCs w:val="16"/>
              </w:rPr>
            </w:pPr>
          </w:p>
        </w:tc>
        <w:tc>
          <w:tcPr>
            <w:tcW w:w="1350" w:type="dxa"/>
            <w:vMerge/>
            <w:tcBorders>
              <w:top w:val="single" w:sz="4" w:space="0" w:color="auto"/>
              <w:left w:val="single" w:sz="4" w:space="0" w:color="FFFFFF"/>
              <w:bottom w:val="single" w:sz="4" w:space="0" w:color="000000"/>
              <w:right w:val="single" w:sz="4" w:space="0" w:color="FFFFFF"/>
            </w:tcBorders>
            <w:vAlign w:val="center"/>
            <w:hideMark/>
          </w:tcPr>
          <w:p w:rsidR="008B5314" w:rsidRDefault="008B5314">
            <w:pPr>
              <w:spacing w:after="0" w:line="240" w:lineRule="auto"/>
              <w:jc w:val="center"/>
              <w:rPr>
                <w:rFonts w:ascii="Arial" w:eastAsia="Times New Roman" w:hAnsi="Arial" w:cs="Arial"/>
                <w:b/>
                <w:bCs/>
                <w:color w:val="FFFFFF"/>
                <w:sz w:val="16"/>
                <w:szCs w:val="16"/>
              </w:rPr>
            </w:pPr>
          </w:p>
        </w:tc>
        <w:tc>
          <w:tcPr>
            <w:tcW w:w="1107" w:type="dxa"/>
            <w:gridSpan w:val="2"/>
            <w:vMerge/>
            <w:tcBorders>
              <w:top w:val="single" w:sz="4" w:space="0" w:color="auto"/>
              <w:left w:val="single" w:sz="4" w:space="0" w:color="FFFFFF"/>
              <w:bottom w:val="single" w:sz="4" w:space="0" w:color="000000"/>
              <w:right w:val="single" w:sz="4" w:space="0" w:color="FFFFFF"/>
            </w:tcBorders>
            <w:vAlign w:val="center"/>
            <w:hideMark/>
          </w:tcPr>
          <w:p w:rsidR="008B5314" w:rsidRDefault="008B5314">
            <w:pPr>
              <w:spacing w:after="0" w:line="240" w:lineRule="auto"/>
              <w:jc w:val="center"/>
              <w:rPr>
                <w:rFonts w:ascii="Arial" w:eastAsia="Times New Roman" w:hAnsi="Arial" w:cs="Arial"/>
                <w:b/>
                <w:bCs/>
                <w:color w:val="FFFFFF"/>
                <w:sz w:val="16"/>
                <w:szCs w:val="16"/>
              </w:rPr>
            </w:pPr>
          </w:p>
        </w:tc>
        <w:tc>
          <w:tcPr>
            <w:tcW w:w="540" w:type="dxa"/>
            <w:gridSpan w:val="2"/>
            <w:tcBorders>
              <w:top w:val="nil"/>
              <w:left w:val="nil"/>
              <w:bottom w:val="single" w:sz="4" w:space="0" w:color="auto"/>
              <w:right w:val="single" w:sz="4" w:space="0" w:color="FFFFFF"/>
            </w:tcBorders>
            <w:shd w:val="clear" w:color="000000" w:fill="1F497D"/>
            <w:noWrap/>
            <w:vAlign w:val="center"/>
            <w:hideMark/>
          </w:tcPr>
          <w:p w:rsidR="00B073CB" w:rsidRPr="00EB1F15" w:rsidRDefault="00B073CB" w:rsidP="004B1D37">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1</w:t>
            </w:r>
          </w:p>
        </w:tc>
        <w:tc>
          <w:tcPr>
            <w:tcW w:w="540" w:type="dxa"/>
            <w:gridSpan w:val="2"/>
            <w:tcBorders>
              <w:top w:val="nil"/>
              <w:left w:val="nil"/>
              <w:bottom w:val="single" w:sz="4" w:space="0" w:color="auto"/>
              <w:right w:val="single" w:sz="4" w:space="0" w:color="FFFFFF"/>
            </w:tcBorders>
            <w:shd w:val="clear" w:color="000000" w:fill="1F497D"/>
            <w:noWrap/>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2</w:t>
            </w:r>
          </w:p>
        </w:tc>
        <w:tc>
          <w:tcPr>
            <w:tcW w:w="540" w:type="dxa"/>
            <w:gridSpan w:val="2"/>
            <w:tcBorders>
              <w:top w:val="nil"/>
              <w:left w:val="nil"/>
              <w:bottom w:val="single" w:sz="4" w:space="0" w:color="auto"/>
              <w:right w:val="single" w:sz="4" w:space="0" w:color="FFFFFF"/>
            </w:tcBorders>
            <w:shd w:val="clear" w:color="000000" w:fill="1F497D"/>
            <w:noWrap/>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3</w:t>
            </w:r>
          </w:p>
        </w:tc>
        <w:tc>
          <w:tcPr>
            <w:tcW w:w="540" w:type="dxa"/>
            <w:gridSpan w:val="2"/>
            <w:tcBorders>
              <w:top w:val="nil"/>
              <w:left w:val="nil"/>
              <w:bottom w:val="single" w:sz="4" w:space="0" w:color="auto"/>
              <w:right w:val="single" w:sz="4" w:space="0" w:color="FFFFFF"/>
            </w:tcBorders>
            <w:shd w:val="clear" w:color="000000" w:fill="1F497D"/>
            <w:noWrap/>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4</w:t>
            </w:r>
          </w:p>
        </w:tc>
        <w:tc>
          <w:tcPr>
            <w:tcW w:w="423" w:type="dxa"/>
            <w:tcBorders>
              <w:top w:val="nil"/>
              <w:left w:val="nil"/>
              <w:bottom w:val="single" w:sz="4" w:space="0" w:color="auto"/>
              <w:right w:val="single" w:sz="4" w:space="0" w:color="FFFFFF"/>
            </w:tcBorders>
            <w:shd w:val="clear" w:color="000000" w:fill="1F497D"/>
            <w:noWrap/>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5</w:t>
            </w:r>
          </w:p>
        </w:tc>
        <w:tc>
          <w:tcPr>
            <w:tcW w:w="489" w:type="dxa"/>
            <w:tcBorders>
              <w:top w:val="nil"/>
              <w:left w:val="nil"/>
              <w:bottom w:val="single" w:sz="4" w:space="0" w:color="auto"/>
              <w:right w:val="single" w:sz="4" w:space="0" w:color="FFFFFF"/>
            </w:tcBorders>
            <w:shd w:val="clear" w:color="000000" w:fill="1F497D"/>
            <w:noWrap/>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6</w:t>
            </w:r>
          </w:p>
        </w:tc>
        <w:tc>
          <w:tcPr>
            <w:tcW w:w="528" w:type="dxa"/>
            <w:tcBorders>
              <w:top w:val="nil"/>
              <w:left w:val="nil"/>
              <w:bottom w:val="single" w:sz="4" w:space="0" w:color="auto"/>
              <w:right w:val="single" w:sz="4" w:space="0" w:color="FFFFFF"/>
            </w:tcBorders>
            <w:shd w:val="clear" w:color="000000" w:fill="1F497D"/>
            <w:noWrap/>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7</w:t>
            </w:r>
          </w:p>
        </w:tc>
        <w:tc>
          <w:tcPr>
            <w:tcW w:w="540" w:type="dxa"/>
            <w:vMerge/>
            <w:tcBorders>
              <w:top w:val="single" w:sz="4" w:space="0" w:color="auto"/>
              <w:left w:val="single" w:sz="4" w:space="0" w:color="FFFFFF"/>
              <w:bottom w:val="single" w:sz="4" w:space="0" w:color="000000"/>
              <w:right w:val="single" w:sz="4" w:space="0" w:color="FFFFFF"/>
            </w:tcBorders>
            <w:vAlign w:val="center"/>
            <w:hideMark/>
          </w:tcPr>
          <w:p w:rsidR="008B5314" w:rsidRDefault="008B5314">
            <w:pPr>
              <w:spacing w:after="0" w:line="240" w:lineRule="auto"/>
              <w:jc w:val="center"/>
              <w:rPr>
                <w:rFonts w:ascii="Arial" w:eastAsia="Times New Roman" w:hAnsi="Arial" w:cs="Arial"/>
                <w:b/>
                <w:bCs/>
                <w:color w:val="FFFFFF"/>
                <w:sz w:val="16"/>
                <w:szCs w:val="16"/>
              </w:rPr>
            </w:pPr>
          </w:p>
        </w:tc>
        <w:tc>
          <w:tcPr>
            <w:tcW w:w="720" w:type="dxa"/>
            <w:tcBorders>
              <w:top w:val="nil"/>
              <w:left w:val="nil"/>
              <w:bottom w:val="single" w:sz="4" w:space="0" w:color="auto"/>
              <w:right w:val="single" w:sz="4" w:space="0" w:color="FFFFFF"/>
            </w:tcBorders>
            <w:shd w:val="clear" w:color="000000" w:fill="1F497D"/>
            <w:vAlign w:val="center"/>
            <w:hideMark/>
          </w:tcPr>
          <w:p w:rsidR="00B073CB" w:rsidRPr="00EB1F15" w:rsidRDefault="00B073CB" w:rsidP="004B1D37">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MPE</w:t>
            </w:r>
          </w:p>
        </w:tc>
        <w:tc>
          <w:tcPr>
            <w:tcW w:w="720" w:type="dxa"/>
            <w:tcBorders>
              <w:top w:val="nil"/>
              <w:left w:val="nil"/>
              <w:bottom w:val="single" w:sz="4" w:space="0" w:color="auto"/>
              <w:right w:val="single" w:sz="4" w:space="0" w:color="FFFFFF"/>
            </w:tcBorders>
            <w:shd w:val="clear" w:color="000000" w:fill="1F497D"/>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MAPE</w:t>
            </w:r>
          </w:p>
        </w:tc>
        <w:tc>
          <w:tcPr>
            <w:tcW w:w="729" w:type="dxa"/>
            <w:tcBorders>
              <w:top w:val="nil"/>
              <w:left w:val="nil"/>
              <w:bottom w:val="single" w:sz="4" w:space="0" w:color="auto"/>
              <w:right w:val="single" w:sz="4" w:space="0" w:color="auto"/>
            </w:tcBorders>
            <w:shd w:val="clear" w:color="000000" w:fill="1F497D"/>
            <w:vAlign w:val="center"/>
            <w:hideMark/>
          </w:tcPr>
          <w:p w:rsidR="00D42F67" w:rsidRDefault="00B073CB">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CV RMSE</w:t>
            </w:r>
          </w:p>
        </w:tc>
      </w:tr>
      <w:tr w:rsidR="00B8552D" w:rsidRPr="00EB1F15" w:rsidTr="004B1D37">
        <w:trPr>
          <w:trHeight w:val="288"/>
          <w:jc w:val="center"/>
        </w:trPr>
        <w:tc>
          <w:tcPr>
            <w:tcW w:w="3762" w:type="dxa"/>
            <w:gridSpan w:val="3"/>
            <w:tcBorders>
              <w:top w:val="nil"/>
              <w:left w:val="single" w:sz="4" w:space="0" w:color="auto"/>
              <w:bottom w:val="single" w:sz="4" w:space="0" w:color="auto"/>
              <w:right w:val="single" w:sz="4" w:space="0" w:color="auto"/>
            </w:tcBorders>
            <w:shd w:val="clear" w:color="000000" w:fill="FFFFFF"/>
            <w:tcMar>
              <w:left w:w="43" w:type="dxa"/>
              <w:right w:w="43" w:type="dxa"/>
            </w:tcMar>
            <w:vAlign w:val="center"/>
            <w:hideMark/>
          </w:tcPr>
          <w:p w:rsidR="00B073CB" w:rsidRPr="00EB1F15" w:rsidRDefault="00CE3792" w:rsidP="004B1D37">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Simulated</w:t>
            </w:r>
            <w:r w:rsidR="00C67FD8">
              <w:rPr>
                <w:rFonts w:ascii="Arial" w:eastAsia="Times New Roman" w:hAnsi="Arial" w:cs="Arial"/>
                <w:b/>
                <w:bCs/>
                <w:color w:val="000000"/>
                <w:sz w:val="16"/>
                <w:szCs w:val="16"/>
              </w:rPr>
              <w:t xml:space="preserve"> Impact</w:t>
            </w:r>
          </w:p>
        </w:tc>
        <w:tc>
          <w:tcPr>
            <w:tcW w:w="3627" w:type="dxa"/>
            <w:gridSpan w:val="1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D42F67">
            <w:pPr>
              <w:spacing w:after="0" w:line="240" w:lineRule="auto"/>
              <w:jc w:val="center"/>
              <w:rPr>
                <w:rFonts w:ascii="Arial" w:eastAsia="Times New Roman"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D42F67">
            <w:pPr>
              <w:spacing w:after="0" w:line="240" w:lineRule="auto"/>
              <w:jc w:val="center"/>
              <w:rPr>
                <w:rFonts w:ascii="Arial" w:eastAsia="Times New Roman"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D42F67">
            <w:pPr>
              <w:spacing w:after="0" w:line="240" w:lineRule="auto"/>
              <w:jc w:val="center"/>
              <w:rPr>
                <w:rFonts w:ascii="Arial" w:eastAsia="Times New Roman" w:hAnsi="Arial" w:cs="Arial"/>
                <w:color w:val="000000"/>
                <w:sz w:val="16"/>
                <w:szCs w:val="16"/>
              </w:rPr>
            </w:pP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D42F67">
            <w:pPr>
              <w:spacing w:after="0" w:line="240" w:lineRule="auto"/>
              <w:jc w:val="center"/>
              <w:rPr>
                <w:rFonts w:ascii="Arial" w:eastAsia="Times New Roman" w:hAnsi="Arial" w:cs="Arial"/>
                <w:color w:val="000000"/>
                <w:sz w:val="16"/>
                <w:szCs w:val="16"/>
              </w:rPr>
            </w:pPr>
          </w:p>
        </w:tc>
      </w:tr>
      <w:tr w:rsidR="00B8552D" w:rsidRPr="00EB1F15" w:rsidTr="004B1D37">
        <w:trPr>
          <w:trHeight w:val="288"/>
          <w:jc w:val="center"/>
        </w:trPr>
        <w:tc>
          <w:tcPr>
            <w:tcW w:w="1332"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Individual</w:t>
            </w:r>
          </w:p>
        </w:tc>
        <w:tc>
          <w:tcPr>
            <w:tcW w:w="1350" w:type="dxa"/>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Aggregator Choice</w:t>
            </w: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Unadjusted</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2.7</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6.2</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-22.9%</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33.0%</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0.370</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11.3</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6.4</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6.9</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8.8</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3.7</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7.1</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-12.5%</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26.3%</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0.300</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11.3</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9.0</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3.8</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25.9%</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0.294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11.3</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9.1</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3.9</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-11.0%</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25.7%</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0.291</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40%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9.1</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3.9</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-10.7%</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25.5%</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0.288</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50%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9.2</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4.0</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-10.3%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25.3%</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0.284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2x</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4.1</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25.5%</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0.284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Unlimited</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4.1</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25.5%</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0.284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CE3792" w:rsidP="004B1D37">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Unadjusted</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2.7</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6.2</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-22.9%</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33.0%</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0.370</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10.5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7.8</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8.2</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5.3</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-4.6%</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14.0%</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0.198</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9.8</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6.2</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-0.5%</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12.5%</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0.154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9.4</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8.6</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8.2</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1.5%</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12.3%</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0.139</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40%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8.8</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8.8</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6.9</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2.7%</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12.6%</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0.136</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50%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9.1</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8.8</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9.2</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4.0%</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12.6%</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2x</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9.7</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8.2</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13.1%</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0.148</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Unlimited</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9.7</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8.2</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12.8%</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0.147</w:t>
            </w:r>
          </w:p>
        </w:tc>
      </w:tr>
      <w:tr w:rsidR="00B8552D" w:rsidRPr="00EB1F15" w:rsidTr="004B1D37">
        <w:trPr>
          <w:trHeight w:val="288"/>
          <w:jc w:val="center"/>
        </w:trPr>
        <w:tc>
          <w:tcPr>
            <w:tcW w:w="1332"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Aggregate</w:t>
            </w:r>
          </w:p>
        </w:tc>
        <w:tc>
          <w:tcPr>
            <w:tcW w:w="1350" w:type="dxa"/>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Aggregator Choice</w:t>
            </w: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Unadjusted</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2.7</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6.2</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-22.9%</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33.0%</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0.370</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9.4</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4.1</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-9.8%</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25.3%</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0.283</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4.1</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25.6%</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0.284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4.1</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25.6%</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0.284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40%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4.1</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25.6%</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0.284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50%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4.1</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25.6%</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0.284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2x</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4.1</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25.6%</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0.284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Unlimited</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4.1</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25.6%</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0.284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CE3792" w:rsidP="004B1D37">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Unadjusted</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5.1</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2.7</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6.2</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-22.9%</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33.0%</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0.370</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9.4</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8.2</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9.2</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5.8</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0.0%</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11.9%</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0.144</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6.7</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4.6%</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13.4%</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0.137</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35%</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9.4</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8.6</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6.4%</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13.6%</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0.139</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40%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7.6</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13.1%</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0.138</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50%</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7.8</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12.7%</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0.137</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2x</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7.8</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12.7%</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0.137</w:t>
            </w:r>
          </w:p>
        </w:tc>
      </w:tr>
      <w:tr w:rsidR="00B8552D" w:rsidRPr="00EB1F15" w:rsidTr="004B1D37">
        <w:trPr>
          <w:trHeight w:val="288"/>
          <w:jc w:val="center"/>
        </w:trPr>
        <w:tc>
          <w:tcPr>
            <w:tcW w:w="133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350"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08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B073CB" w:rsidRPr="00EB1F15" w:rsidRDefault="00B073CB"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Unlimited</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54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450" w:type="dxa"/>
            <w:gridSpan w:val="2"/>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4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7.8</w:t>
            </w:r>
          </w:p>
        </w:tc>
        <w:tc>
          <w:tcPr>
            <w:tcW w:w="54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72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12.7%</w:t>
            </w:r>
          </w:p>
        </w:tc>
        <w:tc>
          <w:tcPr>
            <w:tcW w:w="729" w:type="dxa"/>
            <w:tcBorders>
              <w:top w:val="nil"/>
              <w:left w:val="nil"/>
              <w:bottom w:val="single" w:sz="4" w:space="0" w:color="auto"/>
              <w:right w:val="single" w:sz="4" w:space="0" w:color="auto"/>
            </w:tcBorders>
            <w:shd w:val="clear" w:color="auto" w:fill="auto"/>
            <w:tcMar>
              <w:left w:w="43" w:type="dxa"/>
              <w:right w:w="43" w:type="dxa"/>
            </w:tcMar>
            <w:vAlign w:val="center"/>
            <w:hideMark/>
          </w:tcPr>
          <w:p w:rsidR="00D42F67" w:rsidRDefault="00B073CB">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0.137</w:t>
            </w:r>
          </w:p>
        </w:tc>
      </w:tr>
    </w:tbl>
    <w:p w:rsidR="00147ADF" w:rsidRDefault="00147ADF" w:rsidP="00B073CB">
      <w:pPr>
        <w:pStyle w:val="TableFigureCaption"/>
      </w:pPr>
    </w:p>
    <w:p w:rsidR="00147ADF" w:rsidRDefault="00147ADF" w:rsidP="00147ADF">
      <w:pPr>
        <w:pStyle w:val="BodyParaAfterTableFigure"/>
      </w:pPr>
      <w:r>
        <w:br w:type="page"/>
      </w:r>
    </w:p>
    <w:p w:rsidR="00B073CB" w:rsidRDefault="00B36ECE" w:rsidP="00B073CB">
      <w:pPr>
        <w:pStyle w:val="TableFigureCaption"/>
      </w:pPr>
      <w:r>
        <w:lastRenderedPageBreak/>
        <w:t>Table 3-17</w:t>
      </w:r>
      <w:r w:rsidR="00B073CB">
        <w:t xml:space="preserve">: Daily Impacts and Errors by Baseline Type, SDG&amp;E CBP, </w:t>
      </w:r>
      <w:r w:rsidR="00E535D9">
        <w:t>Day-of</w:t>
      </w:r>
    </w:p>
    <w:tbl>
      <w:tblPr>
        <w:tblW w:w="9880" w:type="dxa"/>
        <w:jc w:val="center"/>
        <w:tblCellMar>
          <w:left w:w="72" w:type="dxa"/>
          <w:right w:w="72" w:type="dxa"/>
        </w:tblCellMar>
        <w:tblLook w:val="04A0"/>
      </w:tblPr>
      <w:tblGrid>
        <w:gridCol w:w="1120"/>
        <w:gridCol w:w="1140"/>
        <w:gridCol w:w="1160"/>
        <w:gridCol w:w="500"/>
        <w:gridCol w:w="500"/>
        <w:gridCol w:w="500"/>
        <w:gridCol w:w="500"/>
        <w:gridCol w:w="500"/>
        <w:gridCol w:w="500"/>
        <w:gridCol w:w="500"/>
        <w:gridCol w:w="500"/>
        <w:gridCol w:w="700"/>
        <w:gridCol w:w="700"/>
        <w:gridCol w:w="1060"/>
      </w:tblGrid>
      <w:tr w:rsidR="00CE3792" w:rsidRPr="00EB1F15" w:rsidTr="004B1D37">
        <w:trPr>
          <w:trHeight w:val="225"/>
          <w:jc w:val="center"/>
        </w:trPr>
        <w:tc>
          <w:tcPr>
            <w:tcW w:w="1120" w:type="dxa"/>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bookmarkEnd w:id="0"/>
          <w:bookmarkEnd w:id="106"/>
          <w:p w:rsidR="00CE3792" w:rsidRPr="00EB1F15" w:rsidRDefault="00CE3792" w:rsidP="004B1D37">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Application of Baselines</w:t>
            </w:r>
          </w:p>
        </w:tc>
        <w:tc>
          <w:tcPr>
            <w:tcW w:w="114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Adjustment Option</w:t>
            </w:r>
          </w:p>
        </w:tc>
        <w:tc>
          <w:tcPr>
            <w:tcW w:w="116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Adjustment Cap</w:t>
            </w:r>
          </w:p>
        </w:tc>
        <w:tc>
          <w:tcPr>
            <w:tcW w:w="3500" w:type="dxa"/>
            <w:gridSpan w:val="7"/>
            <w:tcBorders>
              <w:top w:val="single" w:sz="4" w:space="0" w:color="auto"/>
              <w:left w:val="nil"/>
              <w:bottom w:val="single" w:sz="4" w:space="0" w:color="FFFFFF"/>
              <w:right w:val="single" w:sz="4" w:space="0" w:color="FFFFFF"/>
            </w:tcBorders>
            <w:shd w:val="clear" w:color="000000" w:fill="1F497D"/>
            <w:noWrap/>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Impact (MW) by Proxy Event Day</w:t>
            </w:r>
          </w:p>
        </w:tc>
        <w:tc>
          <w:tcPr>
            <w:tcW w:w="50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Avg</w:t>
            </w:r>
          </w:p>
        </w:tc>
        <w:tc>
          <w:tcPr>
            <w:tcW w:w="700" w:type="dxa"/>
            <w:tcBorders>
              <w:top w:val="single" w:sz="4" w:space="0" w:color="auto"/>
              <w:left w:val="nil"/>
              <w:bottom w:val="single" w:sz="4" w:space="0" w:color="FFFFFF"/>
              <w:right w:val="single" w:sz="4" w:space="0" w:color="FFFFFF"/>
            </w:tcBorders>
            <w:shd w:val="clear" w:color="000000" w:fill="1F497D"/>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Bias</w:t>
            </w:r>
          </w:p>
        </w:tc>
        <w:tc>
          <w:tcPr>
            <w:tcW w:w="1760" w:type="dxa"/>
            <w:gridSpan w:val="2"/>
            <w:tcBorders>
              <w:top w:val="single" w:sz="4" w:space="0" w:color="auto"/>
              <w:left w:val="nil"/>
              <w:bottom w:val="single" w:sz="4" w:space="0" w:color="FFFFFF"/>
              <w:right w:val="single" w:sz="4" w:space="0" w:color="000000"/>
            </w:tcBorders>
            <w:shd w:val="clear" w:color="000000" w:fill="1F497D"/>
            <w:vAlign w:val="center"/>
            <w:hideMark/>
          </w:tcPr>
          <w:p w:rsidR="00D42F67" w:rsidRDefault="00CE3792">
            <w:pPr>
              <w:spacing w:after="0" w:line="240" w:lineRule="auto"/>
              <w:jc w:val="center"/>
              <w:rPr>
                <w:rFonts w:ascii="Arial" w:eastAsia="Times New Roman" w:hAnsi="Arial" w:cs="Arial"/>
                <w:b/>
                <w:bCs/>
                <w:color w:val="FFFFFF"/>
                <w:sz w:val="16"/>
                <w:szCs w:val="16"/>
              </w:rPr>
            </w:pPr>
            <w:r>
              <w:rPr>
                <w:rFonts w:ascii="Arial" w:eastAsia="Times New Roman" w:hAnsi="Arial" w:cs="Arial"/>
                <w:b/>
                <w:bCs/>
                <w:color w:val="FFFFFF"/>
                <w:sz w:val="16"/>
                <w:szCs w:val="16"/>
              </w:rPr>
              <w:t>Goodness-of-f</w:t>
            </w:r>
            <w:r w:rsidRPr="00EB1F15">
              <w:rPr>
                <w:rFonts w:ascii="Arial" w:eastAsia="Times New Roman" w:hAnsi="Arial" w:cs="Arial"/>
                <w:b/>
                <w:bCs/>
                <w:color w:val="FFFFFF"/>
                <w:sz w:val="16"/>
                <w:szCs w:val="16"/>
              </w:rPr>
              <w:t>it</w:t>
            </w:r>
          </w:p>
        </w:tc>
      </w:tr>
      <w:tr w:rsidR="00D42F67" w:rsidRPr="00EB1F15" w:rsidTr="004B1D37">
        <w:trPr>
          <w:trHeight w:val="435"/>
          <w:jc w:val="center"/>
        </w:trPr>
        <w:tc>
          <w:tcPr>
            <w:tcW w:w="1120" w:type="dxa"/>
            <w:vMerge/>
            <w:tcBorders>
              <w:top w:val="single" w:sz="4" w:space="0" w:color="auto"/>
              <w:left w:val="single" w:sz="4" w:space="0" w:color="auto"/>
              <w:bottom w:val="single" w:sz="4" w:space="0" w:color="000000"/>
              <w:right w:val="single" w:sz="4" w:space="0" w:color="FFFFFF"/>
            </w:tcBorders>
            <w:vAlign w:val="center"/>
            <w:hideMark/>
          </w:tcPr>
          <w:p w:rsidR="008B5314" w:rsidRDefault="008B5314">
            <w:pPr>
              <w:spacing w:after="0" w:line="240" w:lineRule="auto"/>
              <w:jc w:val="center"/>
              <w:rPr>
                <w:rFonts w:ascii="Arial" w:eastAsia="Times New Roman" w:hAnsi="Arial" w:cs="Arial"/>
                <w:b/>
                <w:bCs/>
                <w:color w:val="FFFFFF"/>
                <w:sz w:val="16"/>
                <w:szCs w:val="16"/>
              </w:rPr>
            </w:pPr>
          </w:p>
        </w:tc>
        <w:tc>
          <w:tcPr>
            <w:tcW w:w="1140" w:type="dxa"/>
            <w:vMerge/>
            <w:tcBorders>
              <w:top w:val="single" w:sz="4" w:space="0" w:color="auto"/>
              <w:left w:val="single" w:sz="4" w:space="0" w:color="FFFFFF"/>
              <w:bottom w:val="single" w:sz="4" w:space="0" w:color="000000"/>
              <w:right w:val="single" w:sz="4" w:space="0" w:color="FFFFFF"/>
            </w:tcBorders>
            <w:vAlign w:val="center"/>
            <w:hideMark/>
          </w:tcPr>
          <w:p w:rsidR="008B5314" w:rsidRDefault="008B5314">
            <w:pPr>
              <w:spacing w:after="0" w:line="240" w:lineRule="auto"/>
              <w:jc w:val="center"/>
              <w:rPr>
                <w:rFonts w:ascii="Arial" w:eastAsia="Times New Roman" w:hAnsi="Arial" w:cs="Arial"/>
                <w:b/>
                <w:bCs/>
                <w:color w:val="FFFFFF"/>
                <w:sz w:val="16"/>
                <w:szCs w:val="16"/>
              </w:rPr>
            </w:pPr>
          </w:p>
        </w:tc>
        <w:tc>
          <w:tcPr>
            <w:tcW w:w="1160" w:type="dxa"/>
            <w:vMerge/>
            <w:tcBorders>
              <w:top w:val="single" w:sz="4" w:space="0" w:color="auto"/>
              <w:left w:val="single" w:sz="4" w:space="0" w:color="FFFFFF"/>
              <w:bottom w:val="single" w:sz="4" w:space="0" w:color="000000"/>
              <w:right w:val="single" w:sz="4" w:space="0" w:color="FFFFFF"/>
            </w:tcBorders>
            <w:vAlign w:val="center"/>
            <w:hideMark/>
          </w:tcPr>
          <w:p w:rsidR="008B5314" w:rsidRDefault="008B5314">
            <w:pPr>
              <w:spacing w:after="0" w:line="240" w:lineRule="auto"/>
              <w:jc w:val="center"/>
              <w:rPr>
                <w:rFonts w:ascii="Arial" w:eastAsia="Times New Roman" w:hAnsi="Arial" w:cs="Arial"/>
                <w:b/>
                <w:bCs/>
                <w:color w:val="FFFFFF"/>
                <w:sz w:val="16"/>
                <w:szCs w:val="16"/>
              </w:rPr>
            </w:pPr>
          </w:p>
        </w:tc>
        <w:tc>
          <w:tcPr>
            <w:tcW w:w="500" w:type="dxa"/>
            <w:tcBorders>
              <w:top w:val="nil"/>
              <w:left w:val="nil"/>
              <w:bottom w:val="single" w:sz="4" w:space="0" w:color="auto"/>
              <w:right w:val="single" w:sz="4" w:space="0" w:color="FFFFFF"/>
            </w:tcBorders>
            <w:shd w:val="clear" w:color="000000" w:fill="1F497D"/>
            <w:noWrap/>
            <w:vAlign w:val="center"/>
            <w:hideMark/>
          </w:tcPr>
          <w:p w:rsidR="00CE3792" w:rsidRPr="00EB1F15" w:rsidRDefault="00CE3792" w:rsidP="004B1D37">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1</w:t>
            </w:r>
          </w:p>
        </w:tc>
        <w:tc>
          <w:tcPr>
            <w:tcW w:w="500" w:type="dxa"/>
            <w:tcBorders>
              <w:top w:val="nil"/>
              <w:left w:val="nil"/>
              <w:bottom w:val="single" w:sz="4" w:space="0" w:color="auto"/>
              <w:right w:val="single" w:sz="4" w:space="0" w:color="FFFFFF"/>
            </w:tcBorders>
            <w:shd w:val="clear" w:color="000000" w:fill="1F497D"/>
            <w:noWrap/>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2</w:t>
            </w:r>
          </w:p>
        </w:tc>
        <w:tc>
          <w:tcPr>
            <w:tcW w:w="500" w:type="dxa"/>
            <w:tcBorders>
              <w:top w:val="nil"/>
              <w:left w:val="nil"/>
              <w:bottom w:val="single" w:sz="4" w:space="0" w:color="auto"/>
              <w:right w:val="single" w:sz="4" w:space="0" w:color="FFFFFF"/>
            </w:tcBorders>
            <w:shd w:val="clear" w:color="000000" w:fill="1F497D"/>
            <w:noWrap/>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3</w:t>
            </w:r>
          </w:p>
        </w:tc>
        <w:tc>
          <w:tcPr>
            <w:tcW w:w="500" w:type="dxa"/>
            <w:tcBorders>
              <w:top w:val="nil"/>
              <w:left w:val="nil"/>
              <w:bottom w:val="single" w:sz="4" w:space="0" w:color="auto"/>
              <w:right w:val="single" w:sz="4" w:space="0" w:color="FFFFFF"/>
            </w:tcBorders>
            <w:shd w:val="clear" w:color="000000" w:fill="1F497D"/>
            <w:noWrap/>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4</w:t>
            </w:r>
          </w:p>
        </w:tc>
        <w:tc>
          <w:tcPr>
            <w:tcW w:w="500" w:type="dxa"/>
            <w:tcBorders>
              <w:top w:val="nil"/>
              <w:left w:val="nil"/>
              <w:bottom w:val="single" w:sz="4" w:space="0" w:color="auto"/>
              <w:right w:val="single" w:sz="4" w:space="0" w:color="FFFFFF"/>
            </w:tcBorders>
            <w:shd w:val="clear" w:color="000000" w:fill="1F497D"/>
            <w:noWrap/>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5</w:t>
            </w:r>
          </w:p>
        </w:tc>
        <w:tc>
          <w:tcPr>
            <w:tcW w:w="500" w:type="dxa"/>
            <w:tcBorders>
              <w:top w:val="nil"/>
              <w:left w:val="nil"/>
              <w:bottom w:val="single" w:sz="4" w:space="0" w:color="auto"/>
              <w:right w:val="single" w:sz="4" w:space="0" w:color="FFFFFF"/>
            </w:tcBorders>
            <w:shd w:val="clear" w:color="000000" w:fill="1F497D"/>
            <w:noWrap/>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6</w:t>
            </w:r>
          </w:p>
        </w:tc>
        <w:tc>
          <w:tcPr>
            <w:tcW w:w="500" w:type="dxa"/>
            <w:tcBorders>
              <w:top w:val="nil"/>
              <w:left w:val="nil"/>
              <w:bottom w:val="single" w:sz="4" w:space="0" w:color="auto"/>
              <w:right w:val="single" w:sz="4" w:space="0" w:color="FFFFFF"/>
            </w:tcBorders>
            <w:shd w:val="clear" w:color="000000" w:fill="1F497D"/>
            <w:noWrap/>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7</w:t>
            </w:r>
          </w:p>
        </w:tc>
        <w:tc>
          <w:tcPr>
            <w:tcW w:w="500" w:type="dxa"/>
            <w:vMerge/>
            <w:tcBorders>
              <w:top w:val="single" w:sz="4" w:space="0" w:color="auto"/>
              <w:left w:val="single" w:sz="4" w:space="0" w:color="FFFFFF"/>
              <w:bottom w:val="single" w:sz="4" w:space="0" w:color="000000"/>
              <w:right w:val="single" w:sz="4" w:space="0" w:color="FFFFFF"/>
            </w:tcBorders>
            <w:vAlign w:val="center"/>
            <w:hideMark/>
          </w:tcPr>
          <w:p w:rsidR="008B5314" w:rsidRDefault="008B5314">
            <w:pPr>
              <w:spacing w:after="0" w:line="240" w:lineRule="auto"/>
              <w:jc w:val="center"/>
              <w:rPr>
                <w:rFonts w:ascii="Arial" w:eastAsia="Times New Roman" w:hAnsi="Arial" w:cs="Arial"/>
                <w:b/>
                <w:bCs/>
                <w:color w:val="FFFFFF"/>
                <w:sz w:val="16"/>
                <w:szCs w:val="16"/>
              </w:rPr>
            </w:pPr>
          </w:p>
        </w:tc>
        <w:tc>
          <w:tcPr>
            <w:tcW w:w="700" w:type="dxa"/>
            <w:tcBorders>
              <w:top w:val="nil"/>
              <w:left w:val="nil"/>
              <w:bottom w:val="single" w:sz="4" w:space="0" w:color="auto"/>
              <w:right w:val="single" w:sz="4" w:space="0" w:color="FFFFFF"/>
            </w:tcBorders>
            <w:shd w:val="clear" w:color="000000" w:fill="1F497D"/>
            <w:vAlign w:val="center"/>
            <w:hideMark/>
          </w:tcPr>
          <w:p w:rsidR="00CE3792" w:rsidRPr="00EB1F15" w:rsidRDefault="00CE3792" w:rsidP="004B1D37">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MPE</w:t>
            </w:r>
          </w:p>
        </w:tc>
        <w:tc>
          <w:tcPr>
            <w:tcW w:w="700" w:type="dxa"/>
            <w:tcBorders>
              <w:top w:val="nil"/>
              <w:left w:val="nil"/>
              <w:bottom w:val="single" w:sz="4" w:space="0" w:color="auto"/>
              <w:right w:val="single" w:sz="4" w:space="0" w:color="FFFFFF"/>
            </w:tcBorders>
            <w:shd w:val="clear" w:color="000000" w:fill="1F497D"/>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MAPE</w:t>
            </w:r>
          </w:p>
        </w:tc>
        <w:tc>
          <w:tcPr>
            <w:tcW w:w="1060" w:type="dxa"/>
            <w:tcBorders>
              <w:top w:val="nil"/>
              <w:left w:val="nil"/>
              <w:bottom w:val="single" w:sz="4" w:space="0" w:color="auto"/>
              <w:right w:val="single" w:sz="4" w:space="0" w:color="auto"/>
            </w:tcBorders>
            <w:shd w:val="clear" w:color="000000" w:fill="1F497D"/>
            <w:vAlign w:val="center"/>
            <w:hideMark/>
          </w:tcPr>
          <w:p w:rsidR="00D42F67" w:rsidRDefault="00CE3792">
            <w:pPr>
              <w:spacing w:after="0" w:line="240" w:lineRule="auto"/>
              <w:jc w:val="center"/>
              <w:rPr>
                <w:rFonts w:ascii="Arial" w:eastAsia="Times New Roman" w:hAnsi="Arial" w:cs="Arial"/>
                <w:b/>
                <w:bCs/>
                <w:color w:val="FFFFFF"/>
                <w:sz w:val="16"/>
                <w:szCs w:val="16"/>
              </w:rPr>
            </w:pPr>
            <w:r w:rsidRPr="00EB1F15">
              <w:rPr>
                <w:rFonts w:ascii="Arial" w:eastAsia="Times New Roman" w:hAnsi="Arial" w:cs="Arial"/>
                <w:b/>
                <w:bCs/>
                <w:color w:val="FFFFFF"/>
                <w:sz w:val="16"/>
                <w:szCs w:val="16"/>
              </w:rPr>
              <w:t>CV RMSE</w:t>
            </w:r>
          </w:p>
        </w:tc>
      </w:tr>
      <w:tr w:rsidR="00CE3792" w:rsidRPr="00EB1F15" w:rsidTr="004B1D37">
        <w:trPr>
          <w:trHeight w:val="288"/>
          <w:jc w:val="center"/>
        </w:trPr>
        <w:tc>
          <w:tcPr>
            <w:tcW w:w="3420" w:type="dxa"/>
            <w:gridSpan w:val="3"/>
            <w:tcBorders>
              <w:top w:val="nil"/>
              <w:left w:val="single" w:sz="4" w:space="0" w:color="auto"/>
              <w:bottom w:val="single" w:sz="4" w:space="0" w:color="auto"/>
              <w:right w:val="single" w:sz="4" w:space="0" w:color="auto"/>
            </w:tcBorders>
            <w:shd w:val="clear" w:color="000000" w:fill="FFFFFF"/>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Simulated Impact</w:t>
            </w:r>
          </w:p>
        </w:tc>
        <w:tc>
          <w:tcPr>
            <w:tcW w:w="3500" w:type="dxa"/>
            <w:gridSpan w:val="7"/>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D42F67">
            <w:pPr>
              <w:spacing w:after="0" w:line="240" w:lineRule="auto"/>
              <w:jc w:val="center"/>
              <w:rPr>
                <w:rFonts w:ascii="Arial" w:eastAsia="Times New Roman" w:hAnsi="Arial" w:cs="Arial"/>
                <w:color w:val="000000"/>
                <w:sz w:val="16"/>
                <w:szCs w:val="16"/>
              </w:rPr>
            </w:pP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D42F67">
            <w:pPr>
              <w:spacing w:after="0" w:line="240" w:lineRule="auto"/>
              <w:jc w:val="center"/>
              <w:rPr>
                <w:rFonts w:ascii="Arial" w:eastAsia="Times New Roman" w:hAnsi="Arial" w:cs="Arial"/>
                <w:color w:val="000000"/>
                <w:sz w:val="16"/>
                <w:szCs w:val="16"/>
              </w:rPr>
            </w:pP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D42F67">
            <w:pPr>
              <w:spacing w:after="0" w:line="240" w:lineRule="auto"/>
              <w:jc w:val="center"/>
              <w:rPr>
                <w:rFonts w:ascii="Arial" w:eastAsia="Times New Roman" w:hAnsi="Arial" w:cs="Arial"/>
                <w:color w:val="000000"/>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rsidR="00D42F67" w:rsidRDefault="00D42F67">
            <w:pPr>
              <w:spacing w:after="0" w:line="240" w:lineRule="auto"/>
              <w:jc w:val="center"/>
              <w:rPr>
                <w:rFonts w:ascii="Arial" w:eastAsia="Times New Roman" w:hAnsi="Arial" w:cs="Arial"/>
                <w:color w:val="000000"/>
                <w:sz w:val="16"/>
                <w:szCs w:val="16"/>
              </w:rPr>
            </w:pPr>
          </w:p>
        </w:tc>
      </w:tr>
      <w:tr w:rsidR="00CE3792" w:rsidRPr="00EB1F15" w:rsidTr="004B1D37">
        <w:trPr>
          <w:trHeight w:val="288"/>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Individual</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Aggregator Choice</w:t>
            </w:r>
          </w:p>
        </w:tc>
        <w:tc>
          <w:tcPr>
            <w:tcW w:w="116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4.9</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-44.5%</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44.5%</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0.475</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-18.0%</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18.0%</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0.219</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-17.3%</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17.3%</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0.211</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17.2%</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0.210</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17.2%</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0.210</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17.2%</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0.210</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17.1%</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0.208</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7.3</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-17.0%</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17.0%</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0.207</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16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4.9</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-44.5%</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44.5%</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0.475</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10.8%</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0.150</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8.6</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10.0%</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0.140</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8.6</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9.8%</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0.139</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8.6</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-7.8%</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9.7%</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0.138</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8.6</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-7.8%</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9.7%</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0.138</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8.6</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-7.6%</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9.6%</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0.135</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7.6</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8.6</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-7.6%</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9.5%</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0.133</w:t>
            </w:r>
          </w:p>
        </w:tc>
      </w:tr>
      <w:tr w:rsidR="00CE3792" w:rsidRPr="00EB1F15" w:rsidTr="004B1D37">
        <w:trPr>
          <w:trHeight w:val="288"/>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Aggregate</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Aggregator Choice</w:t>
            </w:r>
          </w:p>
        </w:tc>
        <w:tc>
          <w:tcPr>
            <w:tcW w:w="116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4.9</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-44.5%</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44.5%</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0.475</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0.213</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0.213</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0.213</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0.213</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0.213</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0.213</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8.4</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7.2</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17.6%</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0.213</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Universal</w:t>
            </w:r>
          </w:p>
        </w:tc>
        <w:tc>
          <w:tcPr>
            <w:tcW w:w="116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Unadjusted</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4.2</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5.7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2.8</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4.9</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-44.5%</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44.5%</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0.475</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0.139</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0.139</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0.139</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40%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0.139</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50%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0.139</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2x</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0.139</w:t>
            </w:r>
          </w:p>
        </w:tc>
      </w:tr>
      <w:tr w:rsidR="00CE3792" w:rsidRPr="00EB1F15" w:rsidTr="004B1D37">
        <w:trPr>
          <w:trHeight w:val="288"/>
          <w:jc w:val="center"/>
        </w:trPr>
        <w:tc>
          <w:tcPr>
            <w:tcW w:w="112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40" w:type="dxa"/>
            <w:vMerge/>
            <w:tcBorders>
              <w:top w:val="nil"/>
              <w:left w:val="single" w:sz="4" w:space="0" w:color="auto"/>
              <w:bottom w:val="single" w:sz="4" w:space="0" w:color="auto"/>
              <w:right w:val="single" w:sz="4" w:space="0" w:color="auto"/>
            </w:tcBorders>
            <w:vAlign w:val="center"/>
            <w:hideMark/>
          </w:tcPr>
          <w:p w:rsidR="008B5314" w:rsidRDefault="008B5314">
            <w:pPr>
              <w:spacing w:after="0" w:line="240" w:lineRule="auto"/>
              <w:jc w:val="center"/>
              <w:rPr>
                <w:rFonts w:ascii="Arial" w:eastAsia="Times New Roman" w:hAnsi="Arial" w:cs="Arial"/>
                <w:b/>
                <w:bCs/>
                <w:color w:val="000000"/>
                <w:sz w:val="16"/>
                <w:szCs w:val="16"/>
              </w:rPr>
            </w:pPr>
          </w:p>
        </w:tc>
        <w:tc>
          <w:tcPr>
            <w:tcW w:w="1160" w:type="dxa"/>
            <w:tcBorders>
              <w:top w:val="nil"/>
              <w:left w:val="nil"/>
              <w:bottom w:val="single" w:sz="4" w:space="0" w:color="auto"/>
              <w:right w:val="single" w:sz="4" w:space="0" w:color="auto"/>
            </w:tcBorders>
            <w:shd w:val="clear" w:color="auto" w:fill="auto"/>
            <w:noWrap/>
            <w:vAlign w:val="center"/>
            <w:hideMark/>
          </w:tcPr>
          <w:p w:rsidR="00CE3792" w:rsidRPr="00EB1F15" w:rsidRDefault="00CE3792" w:rsidP="004B1D37">
            <w:pPr>
              <w:spacing w:after="0" w:line="240" w:lineRule="auto"/>
              <w:jc w:val="center"/>
              <w:rPr>
                <w:rFonts w:ascii="Arial" w:eastAsia="Times New Roman" w:hAnsi="Arial" w:cs="Arial"/>
                <w:b/>
                <w:bCs/>
                <w:color w:val="000000"/>
                <w:sz w:val="16"/>
                <w:szCs w:val="16"/>
              </w:rPr>
            </w:pPr>
            <w:r w:rsidRPr="00EB1F15">
              <w:rPr>
                <w:rFonts w:ascii="Arial" w:eastAsia="Times New Roman" w:hAnsi="Arial" w:cs="Arial"/>
                <w:b/>
                <w:bCs/>
                <w:color w:val="000000"/>
                <w:sz w:val="16"/>
                <w:szCs w:val="16"/>
              </w:rPr>
              <w:t>Unlimited</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7.9</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8.5</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8.3</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8.7</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6.0</w:t>
            </w:r>
          </w:p>
        </w:tc>
        <w:tc>
          <w:tcPr>
            <w:tcW w:w="5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8.0</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-8.1%</w:t>
            </w:r>
          </w:p>
        </w:tc>
        <w:tc>
          <w:tcPr>
            <w:tcW w:w="700" w:type="dxa"/>
            <w:tcBorders>
              <w:top w:val="nil"/>
              <w:left w:val="nil"/>
              <w:bottom w:val="single" w:sz="4" w:space="0" w:color="auto"/>
              <w:right w:val="single" w:sz="4" w:space="0" w:color="auto"/>
            </w:tcBorders>
            <w:shd w:val="clear" w:color="auto" w:fill="auto"/>
            <w:noWrap/>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vAlign w:val="center"/>
            <w:hideMark/>
          </w:tcPr>
          <w:p w:rsidR="00D42F67" w:rsidRDefault="00CE3792">
            <w:pPr>
              <w:spacing w:after="0" w:line="240" w:lineRule="auto"/>
              <w:jc w:val="center"/>
              <w:rPr>
                <w:rFonts w:ascii="Arial" w:eastAsia="Times New Roman" w:hAnsi="Arial" w:cs="Arial"/>
                <w:color w:val="000000"/>
                <w:sz w:val="16"/>
                <w:szCs w:val="16"/>
              </w:rPr>
            </w:pPr>
            <w:r w:rsidRPr="00EB1F15">
              <w:rPr>
                <w:rFonts w:ascii="Arial" w:eastAsia="Times New Roman" w:hAnsi="Arial" w:cs="Arial"/>
                <w:color w:val="000000"/>
                <w:sz w:val="16"/>
                <w:szCs w:val="16"/>
              </w:rPr>
              <w:t>0.139</w:t>
            </w:r>
          </w:p>
        </w:tc>
      </w:tr>
    </w:tbl>
    <w:p w:rsidR="001566EC" w:rsidRDefault="001566EC" w:rsidP="001566EC">
      <w:pPr>
        <w:pStyle w:val="BodyParagraph"/>
      </w:pPr>
    </w:p>
    <w:p w:rsidR="00B97F1F" w:rsidRDefault="00B97F1F">
      <w:pPr>
        <w:rPr>
          <w:rFonts w:ascii="Arial Black" w:eastAsia="Times New Roman" w:hAnsi="Arial Black" w:cs="Times New Roman"/>
          <w:color w:val="433B67"/>
          <w:sz w:val="28"/>
          <w:szCs w:val="28"/>
        </w:rPr>
      </w:pPr>
      <w:r>
        <w:rPr>
          <w:b/>
        </w:rPr>
        <w:br w:type="page"/>
      </w:r>
    </w:p>
    <w:p w:rsidR="004143B6" w:rsidRDefault="004143B6" w:rsidP="004143B6">
      <w:pPr>
        <w:pStyle w:val="Heading1"/>
      </w:pPr>
      <w:bookmarkStart w:id="135" w:name="_Toc326150819"/>
      <w:r>
        <w:lastRenderedPageBreak/>
        <w:t>Recommendations</w:t>
      </w:r>
      <w:bookmarkEnd w:id="135"/>
    </w:p>
    <w:p w:rsidR="006134FA" w:rsidRDefault="004143B6" w:rsidP="004143B6">
      <w:pPr>
        <w:pStyle w:val="BodyParagraph"/>
      </w:pPr>
      <w:r>
        <w:t xml:space="preserve">The analysis in this report tested the effect of various potential modifications to the settlement baseline rules, including calculating baseline in aggregate rather individually, universal application of same-day adjustments, and various same-day adjustment caps.  </w:t>
      </w:r>
    </w:p>
    <w:p w:rsidR="004143B6" w:rsidRDefault="004143B6" w:rsidP="004143B6">
      <w:pPr>
        <w:pStyle w:val="BodyParagraph"/>
      </w:pPr>
      <w:r>
        <w:t>Based on the evidence, we recommend the following:</w:t>
      </w:r>
    </w:p>
    <w:p w:rsidR="004143B6" w:rsidRDefault="004143B6" w:rsidP="004143B6">
      <w:pPr>
        <w:pStyle w:val="Bullets"/>
      </w:pPr>
      <w:r w:rsidRPr="006806AA">
        <w:rPr>
          <w:i/>
        </w:rPr>
        <w:t>Make same day adjustment</w:t>
      </w:r>
      <w:r>
        <w:rPr>
          <w:i/>
        </w:rPr>
        <w:t>s</w:t>
      </w:r>
      <w:r w:rsidRPr="006806AA">
        <w:rPr>
          <w:i/>
        </w:rPr>
        <w:t xml:space="preserve"> the default option for settlement baselines</w:t>
      </w:r>
      <w:r>
        <w:t xml:space="preserve">.  Currently, aggregators can elect to apply same-day adjustments but must take proactive action to do so.  Making the same-day adjustment the default ensures aggregators retain an element of choice, but at the same time guides them towards the option that is known to produce the most accurate results. </w:t>
      </w:r>
    </w:p>
    <w:p w:rsidR="004143B6" w:rsidRDefault="004143B6" w:rsidP="004143B6">
      <w:pPr>
        <w:pStyle w:val="Bullets"/>
      </w:pPr>
      <w:r w:rsidRPr="006D2C67">
        <w:rPr>
          <w:i/>
        </w:rPr>
        <w:t>Increas</w:t>
      </w:r>
      <w:r>
        <w:rPr>
          <w:i/>
        </w:rPr>
        <w:t>e</w:t>
      </w:r>
      <w:r w:rsidRPr="006D2C67">
        <w:rPr>
          <w:i/>
        </w:rPr>
        <w:t xml:space="preserve"> the adjustment cap </w:t>
      </w:r>
      <w:r>
        <w:rPr>
          <w:i/>
        </w:rPr>
        <w:t xml:space="preserve">to ±30%. </w:t>
      </w:r>
      <w:r w:rsidRPr="00FC5FAB">
        <w:t>Increasing the same day adjustment cap generally improves the accuracy of the results, though for some program options, it makes no or little difference.  When it does affects accuracy, a higher adjustment cap typically leads to more accurate results.  However, we advise against removing the adjustment cap altogether it can cause extreme adjustments for some customers that are large enough to affect the overall program results.</w:t>
      </w:r>
      <w:r>
        <w:t xml:space="preserve">  We do not recommend higher adjustment caps of ±40% or ±50% for two reasons: relatively few accounts require large adjustments; and customers that require large adjustment are less predictable and instead should be encouraged to enroll in DR programs that do not rely on a baseline for settlement. </w:t>
      </w:r>
    </w:p>
    <w:p w:rsidR="006134FA" w:rsidRDefault="006134FA" w:rsidP="006134FA">
      <w:pPr>
        <w:pStyle w:val="Bullets"/>
        <w:numPr>
          <w:ilvl w:val="0"/>
          <w:numId w:val="0"/>
        </w:numPr>
        <w:ind w:left="720"/>
        <w:rPr>
          <w:i/>
        </w:rPr>
      </w:pPr>
    </w:p>
    <w:p w:rsidR="006134FA" w:rsidRDefault="006134FA" w:rsidP="006134FA">
      <w:pPr>
        <w:pStyle w:val="BodyParagraph"/>
        <w:rPr>
          <w:szCs w:val="18"/>
        </w:rPr>
      </w:pPr>
      <w:r>
        <w:rPr>
          <w:szCs w:val="18"/>
        </w:rPr>
        <w:t>I</w:t>
      </w:r>
      <w:r w:rsidRPr="008259F2">
        <w:t>mproving settlement accuracy is not just a function of the settlement baseline rules</w:t>
      </w:r>
      <w:r>
        <w:t xml:space="preserve"> but of the degree to which aggregators aggregate and manage their portfolios</w:t>
      </w:r>
      <w:r w:rsidRPr="008259F2">
        <w:t>.</w:t>
      </w:r>
      <w:r>
        <w:t xml:space="preserve">  The higher the number of accounts in a portfolio, the less volatile and more predictable the loads become.  It is much easier to estimate accurate baselines for large, aggregated groups of customers than it to accurately estimate baselines for individual customers or small settlement portfolios.  Likewise, baselines are more accurate for portfolios that deliver larger percent demand reductions.  No single change in baseline rules improves accuracy for settlement portfolios with a small number of customers and/or small percent reductions.  Aggregators can improve the accuracy of the impact estimates used for settlement </w:t>
      </w:r>
      <w:r w:rsidRPr="008259F2">
        <w:t>by</w:t>
      </w:r>
      <w:r>
        <w:t xml:space="preserve"> a</w:t>
      </w:r>
      <w:r w:rsidRPr="008259F2">
        <w:t>pply</w:t>
      </w:r>
      <w:r>
        <w:t>ing</w:t>
      </w:r>
      <w:r w:rsidRPr="008259F2">
        <w:t xml:space="preserve"> same day adjustment</w:t>
      </w:r>
      <w:r>
        <w:t xml:space="preserve">s universally, </w:t>
      </w:r>
      <w:r w:rsidRPr="008259F2">
        <w:t>aggregating across more accounts and procuring customer</w:t>
      </w:r>
      <w:r>
        <w:t>s</w:t>
      </w:r>
      <w:r w:rsidRPr="008259F2">
        <w:t xml:space="preserve"> </w:t>
      </w:r>
      <w:r>
        <w:t>who</w:t>
      </w:r>
      <w:r w:rsidRPr="008259F2">
        <w:t xml:space="preserve"> reduce a large share of their loads</w:t>
      </w:r>
      <w:r>
        <w:rPr>
          <w:szCs w:val="18"/>
        </w:rPr>
        <w:t xml:space="preserve">.  </w:t>
      </w:r>
    </w:p>
    <w:p w:rsidR="008B5314" w:rsidRDefault="009C597C" w:rsidP="00F85449">
      <w:pPr>
        <w:pStyle w:val="AppendixHeading"/>
      </w:pPr>
      <w:r>
        <w:br w:type="column"/>
      </w:r>
      <w:bookmarkStart w:id="136" w:name="_Toc326150820"/>
      <w:r w:rsidR="00DA218F">
        <w:lastRenderedPageBreak/>
        <w:t>Other Factors Influencing Impact Error</w:t>
      </w:r>
      <w:bookmarkEnd w:id="136"/>
    </w:p>
    <w:p w:rsidR="00F85449" w:rsidRDefault="00F85449" w:rsidP="00F85449">
      <w:pPr>
        <w:pStyle w:val="BodyParagraph"/>
      </w:pPr>
      <w:r>
        <w:t xml:space="preserve">In addition to choosing a different baseline methodology, two other factors can help to reduce impact error.  All </w:t>
      </w:r>
      <w:r w:rsidR="00412C23">
        <w:t>else</w:t>
      </w:r>
      <w:r>
        <w:t xml:space="preserve"> </w:t>
      </w:r>
      <w:r w:rsidR="000D3BE1">
        <w:t xml:space="preserve">being </w:t>
      </w:r>
      <w:r>
        <w:t xml:space="preserve">equal, </w:t>
      </w:r>
      <w:r w:rsidR="000D3BE1">
        <w:t xml:space="preserve">settlement </w:t>
      </w:r>
      <w:r w:rsidR="00412C23">
        <w:t xml:space="preserve">portfolios </w:t>
      </w:r>
      <w:r>
        <w:t xml:space="preserve">with many customers tend to have smaller errors than </w:t>
      </w:r>
      <w:r w:rsidR="000D3BE1">
        <w:t xml:space="preserve">settlement </w:t>
      </w:r>
      <w:r w:rsidR="00412C23">
        <w:t xml:space="preserve">portfolios </w:t>
      </w:r>
      <w:r>
        <w:t xml:space="preserve">with fewer customers.  This intuition is confirmed in Figure A-1.  The figure shows the percent error for each proxy event day and </w:t>
      </w:r>
      <w:r w:rsidR="000D3BE1">
        <w:t xml:space="preserve">settlement </w:t>
      </w:r>
      <w:r w:rsidR="00412C23">
        <w:t>portfolio</w:t>
      </w:r>
      <w:r>
        <w:t xml:space="preserve"> at each of the three utilities.  As discussed earlier, to estimate accuracy, the correct answer needs to be known.  This accomplished though simulating impacts – based on the demand </w:t>
      </w:r>
      <w:bookmarkStart w:id="137" w:name="_GoBack"/>
      <w:bookmarkEnd w:id="137"/>
      <w:r>
        <w:t xml:space="preserve">reductions observed for each customer during </w:t>
      </w:r>
      <w:r w:rsidR="000D3BE1">
        <w:t xml:space="preserve">historical </w:t>
      </w:r>
      <w:r>
        <w:t xml:space="preserve">events – during hot non-event days.  As can be seen, the errors are more pronounced for </w:t>
      </w:r>
      <w:r w:rsidR="000D3BE1">
        <w:t xml:space="preserve">settlement </w:t>
      </w:r>
      <w:r w:rsidR="00412C23">
        <w:t>portfolios</w:t>
      </w:r>
      <w:r>
        <w:t xml:space="preserve"> with fewer customers and more accurate for those with more customers.   </w:t>
      </w:r>
    </w:p>
    <w:p w:rsidR="00F85449" w:rsidRDefault="00F85449" w:rsidP="00F85449">
      <w:pPr>
        <w:pStyle w:val="TableFigureCaption"/>
      </w:pPr>
      <w:r>
        <w:t xml:space="preserve">Figure A-1: </w:t>
      </w:r>
      <w:r w:rsidR="000D3BE1">
        <w:t xml:space="preserve">Individual Event Day </w:t>
      </w:r>
      <w:r>
        <w:t>Error by</w:t>
      </w:r>
      <w:r w:rsidR="000D3BE1">
        <w:t xml:space="preserve"> </w:t>
      </w:r>
      <w:r>
        <w:t>Size</w:t>
      </w:r>
      <w:r w:rsidR="000D3BE1">
        <w:t xml:space="preserve"> of Settlement Portfolios</w:t>
      </w:r>
    </w:p>
    <w:p w:rsidR="00F85449" w:rsidRDefault="006134FA" w:rsidP="00F85449">
      <w:pPr>
        <w:pStyle w:val="BodyParagraph"/>
        <w:jc w:val="center"/>
      </w:pPr>
      <w:r>
        <w:rPr>
          <w:noProof/>
        </w:rPr>
        <w:drawing>
          <wp:inline distT="0" distB="0" distL="0" distR="0">
            <wp:extent cx="5570220" cy="3741420"/>
            <wp:effectExtent l="0" t="0" r="0" b="0"/>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5570220" cy="3741420"/>
                    </a:xfrm>
                    <a:prstGeom prst="rect">
                      <a:avLst/>
                    </a:prstGeom>
                    <a:noFill/>
                    <a:ln w="9525">
                      <a:noFill/>
                      <a:miter lim="800000"/>
                      <a:headEnd/>
                      <a:tailEnd/>
                    </a:ln>
                  </pic:spPr>
                </pic:pic>
              </a:graphicData>
            </a:graphic>
          </wp:inline>
        </w:drawing>
      </w:r>
      <w:r w:rsidR="003512E0" w:rsidRPr="003512E0" w:rsidDel="003512E0">
        <w:t xml:space="preserve"> </w:t>
      </w:r>
    </w:p>
    <w:p w:rsidR="00F85449" w:rsidRDefault="00F85449" w:rsidP="00F85449">
      <w:pPr>
        <w:pStyle w:val="BodyParagraph"/>
      </w:pPr>
      <w:r>
        <w:t xml:space="preserve">A second factor that helps to reduce impact error is the magnitude of the impacts.  All </w:t>
      </w:r>
      <w:r w:rsidR="00412C23">
        <w:t>else</w:t>
      </w:r>
      <w:r>
        <w:t xml:space="preserve"> equal, a </w:t>
      </w:r>
      <w:r w:rsidR="000D3BE1">
        <w:t xml:space="preserve">settlement </w:t>
      </w:r>
      <w:r w:rsidR="00412C23">
        <w:t xml:space="preserve">portfolio </w:t>
      </w:r>
      <w:r>
        <w:t xml:space="preserve">that delivers a larger percent demand reduction has lower errors than a </w:t>
      </w:r>
      <w:r w:rsidR="000D3BE1">
        <w:t xml:space="preserve">settlement </w:t>
      </w:r>
      <w:r w:rsidR="00094FFB">
        <w:t xml:space="preserve">portfolio </w:t>
      </w:r>
      <w:r>
        <w:t>that delivers a smaller percent reduction.  This relationship is clearly expressed by the following equation:</w:t>
      </w:r>
    </w:p>
    <w:p w:rsidR="00F85449" w:rsidRDefault="00F85449" w:rsidP="00F85449">
      <w:pPr>
        <w:pStyle w:val="BodyParagraph"/>
        <w:rPr>
          <w:rFonts w:eastAsiaTheme="minorEastAsia"/>
        </w:rPr>
      </w:pPr>
      <m:oMathPara>
        <m:oMath>
          <m:r>
            <w:rPr>
              <w:rFonts w:ascii="Cambria Math" w:hAnsi="Cambria Math"/>
            </w:rPr>
            <m:t>% Impact Error=</m:t>
          </m:r>
          <m:f>
            <m:fPr>
              <m:ctrlPr>
                <w:rPr>
                  <w:rFonts w:ascii="Cambria Math" w:hAnsi="Cambria Math"/>
                  <w:i/>
                </w:rPr>
              </m:ctrlPr>
            </m:fPr>
            <m:num>
              <m:r>
                <w:rPr>
                  <w:rFonts w:ascii="Cambria Math" w:hAnsi="Cambria Math"/>
                </w:rPr>
                <m:t>% Baseline Error</m:t>
              </m:r>
            </m:num>
            <m:den>
              <m:r>
                <w:rPr>
                  <w:rFonts w:ascii="Cambria Math" w:hAnsi="Cambria Math"/>
                </w:rPr>
                <m:t>% True Load Reduction</m:t>
              </m:r>
            </m:den>
          </m:f>
        </m:oMath>
      </m:oMathPara>
    </w:p>
    <w:p w:rsidR="00F85449" w:rsidRDefault="00F85449" w:rsidP="00F85449">
      <w:pPr>
        <w:pStyle w:val="BodyParagraph"/>
        <w:rPr>
          <w:rFonts w:eastAsiaTheme="minorEastAsia"/>
        </w:rPr>
      </w:pPr>
      <w:r>
        <w:rPr>
          <w:rFonts w:eastAsiaTheme="minorEastAsia"/>
        </w:rPr>
        <w:t xml:space="preserve">Increasing the load reduction relative to the counterfactual reduces impact error.  Figure A-2 shows empirical evidence of this.  Again, each dot represents the percent error for </w:t>
      </w:r>
      <w:r w:rsidR="000D3BE1">
        <w:rPr>
          <w:rFonts w:eastAsiaTheme="minorEastAsia"/>
        </w:rPr>
        <w:t>each settlement</w:t>
      </w:r>
      <w:r>
        <w:rPr>
          <w:rFonts w:eastAsiaTheme="minorEastAsia"/>
        </w:rPr>
        <w:t xml:space="preserve"> </w:t>
      </w:r>
      <w:r w:rsidR="00412C23">
        <w:rPr>
          <w:rFonts w:eastAsiaTheme="minorEastAsia"/>
        </w:rPr>
        <w:t>portfolio</w:t>
      </w:r>
      <w:r>
        <w:rPr>
          <w:rFonts w:eastAsiaTheme="minorEastAsia"/>
        </w:rPr>
        <w:t xml:space="preserve"> on </w:t>
      </w:r>
      <w:r w:rsidR="000D3BE1">
        <w:rPr>
          <w:rFonts w:eastAsiaTheme="minorEastAsia"/>
        </w:rPr>
        <w:t>each</w:t>
      </w:r>
      <w:r>
        <w:rPr>
          <w:rFonts w:eastAsiaTheme="minorEastAsia"/>
        </w:rPr>
        <w:t xml:space="preserve"> proxy event day.  </w:t>
      </w:r>
      <w:r>
        <w:t xml:space="preserve">The figure summarizes all </w:t>
      </w:r>
      <w:r w:rsidR="000D3BE1">
        <w:t xml:space="preserve">settlement </w:t>
      </w:r>
      <w:r w:rsidR="00412C23">
        <w:t>portfolios</w:t>
      </w:r>
      <w:r w:rsidR="00094FFB">
        <w:t xml:space="preserve"> </w:t>
      </w:r>
      <w:r w:rsidR="000D3BE1">
        <w:t xml:space="preserve">across all </w:t>
      </w:r>
      <w:r>
        <w:t>three utilities.</w:t>
      </w:r>
    </w:p>
    <w:p w:rsidR="00F85449" w:rsidRDefault="00F85449" w:rsidP="00F85449">
      <w:pPr>
        <w:pStyle w:val="BodyParagraph"/>
        <w:rPr>
          <w:rFonts w:eastAsiaTheme="minorEastAsia"/>
        </w:rPr>
      </w:pPr>
    </w:p>
    <w:p w:rsidR="00F85449" w:rsidRDefault="00F85449" w:rsidP="00F85449">
      <w:pPr>
        <w:pStyle w:val="TableFigureCaption"/>
      </w:pPr>
      <w:r>
        <w:t xml:space="preserve">Figure A-2: </w:t>
      </w:r>
      <w:r w:rsidR="003512E0">
        <w:t xml:space="preserve">Individual Event Day </w:t>
      </w:r>
      <w:r>
        <w:t xml:space="preserve">Error by </w:t>
      </w:r>
      <w:r w:rsidR="003512E0">
        <w:t>Percent Demand Reduction</w:t>
      </w:r>
    </w:p>
    <w:p w:rsidR="00F85449" w:rsidRDefault="003512E0" w:rsidP="00F85449">
      <w:pPr>
        <w:pStyle w:val="BodyParagraph"/>
        <w:jc w:val="center"/>
      </w:pPr>
      <w:r>
        <w:rPr>
          <w:noProof/>
        </w:rPr>
        <w:drawing>
          <wp:inline distT="0" distB="0" distL="0" distR="0">
            <wp:extent cx="5570220" cy="374142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570220" cy="3741420"/>
                    </a:xfrm>
                    <a:prstGeom prst="rect">
                      <a:avLst/>
                    </a:prstGeom>
                    <a:noFill/>
                    <a:ln w="9525">
                      <a:noFill/>
                      <a:miter lim="800000"/>
                      <a:headEnd/>
                      <a:tailEnd/>
                    </a:ln>
                  </pic:spPr>
                </pic:pic>
              </a:graphicData>
            </a:graphic>
          </wp:inline>
        </w:drawing>
      </w:r>
      <w:r w:rsidRPr="003512E0" w:rsidDel="003512E0">
        <w:t xml:space="preserve"> </w:t>
      </w:r>
    </w:p>
    <w:p w:rsidR="00F85449" w:rsidRDefault="00F85449" w:rsidP="00F85449">
      <w:pPr>
        <w:pStyle w:val="BodyParagraph"/>
      </w:pPr>
      <w:r>
        <w:t>While choosing a different baseline methodology may help to reduce event impact errors, encouraging aggregators to increase the number of customers per</w:t>
      </w:r>
      <w:r w:rsidR="00412C23">
        <w:t xml:space="preserve"> </w:t>
      </w:r>
      <w:r w:rsidR="000D3BE1">
        <w:t xml:space="preserve">settlement </w:t>
      </w:r>
      <w:r w:rsidR="00412C23">
        <w:t>portfolio</w:t>
      </w:r>
      <w:r>
        <w:t xml:space="preserve"> and percent load reductions can also reduce impact errors considerably.</w:t>
      </w:r>
    </w:p>
    <w:p w:rsidR="00F85449" w:rsidRPr="00F85449" w:rsidRDefault="00F85449" w:rsidP="00F85449">
      <w:pPr>
        <w:pStyle w:val="BodyParagraph"/>
      </w:pPr>
    </w:p>
    <w:sectPr w:rsidR="00F85449" w:rsidRPr="00F85449" w:rsidSect="00F7630F">
      <w:headerReference w:type="default" r:id="rId4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F47" w:rsidRDefault="00F71F47" w:rsidP="00DB35F9">
      <w:pPr>
        <w:spacing w:after="0" w:line="240" w:lineRule="auto"/>
      </w:pPr>
      <w:r>
        <w:separator/>
      </w:r>
    </w:p>
  </w:endnote>
  <w:endnote w:type="continuationSeparator" w:id="0">
    <w:p w:rsidR="00F71F47" w:rsidRDefault="00F71F47" w:rsidP="00DB35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tilliumText22L Rg">
    <w:altName w:val="Arial"/>
    <w:panose1 w:val="00000000000000000000"/>
    <w:charset w:val="00"/>
    <w:family w:val="modern"/>
    <w:notTrueType/>
    <w:pitch w:val="variable"/>
    <w:sig w:usb0="00000001" w:usb1="0000004B" w:usb2="00000000" w:usb3="00000000" w:csb0="00000193"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TitilliumText22L Xb">
    <w:altName w:val="Arial"/>
    <w:panose1 w:val="00000000000000000000"/>
    <w:charset w:val="00"/>
    <w:family w:val="modern"/>
    <w:notTrueType/>
    <w:pitch w:val="variable"/>
    <w:sig w:usb0="00000001" w:usb1="0000004B" w:usb2="00000000" w:usb3="00000000" w:csb0="000001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0466886"/>
      <w:docPartObj>
        <w:docPartGallery w:val="Page Numbers (Bottom of Page)"/>
        <w:docPartUnique/>
      </w:docPartObj>
    </w:sdtPr>
    <w:sdtContent>
      <w:p w:rsidR="004D6CC3" w:rsidRDefault="008E540D" w:rsidP="00DB35F9">
        <w:pPr>
          <w:pStyle w:val="Footer"/>
          <w:jc w:val="right"/>
        </w:pPr>
      </w:p>
    </w:sdtContent>
  </w:sdt>
  <w:p w:rsidR="004D6CC3" w:rsidRDefault="004D6C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Pr="00321715" w:rsidRDefault="004D6CC3" w:rsidP="00B50663">
    <w:pPr>
      <w:pStyle w:val="Footer"/>
      <w:jc w:val="right"/>
      <w:rPr>
        <w:sz w:val="20"/>
        <w:szCs w:val="20"/>
      </w:rPr>
    </w:pPr>
  </w:p>
  <w:p w:rsidR="004D6CC3" w:rsidRDefault="004D6C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tilliumText22L Xb" w:hAnsi="TitilliumText22L Xb"/>
      </w:rPr>
      <w:id w:val="1666982383"/>
      <w:docPartObj>
        <w:docPartGallery w:val="Page Numbers (Bottom of Page)"/>
        <w:docPartUnique/>
      </w:docPartObj>
    </w:sdtPr>
    <w:sdtContent>
      <w:p w:rsidR="004D6CC3" w:rsidRPr="0036226B" w:rsidRDefault="004D6CC3" w:rsidP="00DB35F9">
        <w:pPr>
          <w:pStyle w:val="Footer"/>
          <w:jc w:val="right"/>
          <w:rPr>
            <w:rFonts w:ascii="TitilliumText22L Xb" w:hAnsi="TitilliumText22L Xb"/>
          </w:rPr>
        </w:pPr>
        <w:r>
          <w:rPr>
            <w:rFonts w:ascii="Arial Black" w:hAnsi="Arial Black"/>
            <w:noProof/>
            <w:color w:val="808080" w:themeColor="background1" w:themeShade="80"/>
          </w:rPr>
          <w:drawing>
            <wp:anchor distT="0" distB="0" distL="114300" distR="114300" simplePos="0" relativeHeight="251660288" behindDoc="0" locked="0" layoutInCell="1" allowOverlap="1">
              <wp:simplePos x="0" y="0"/>
              <wp:positionH relativeFrom="column">
                <wp:posOffset>-133350</wp:posOffset>
              </wp:positionH>
              <wp:positionV relativeFrom="paragraph">
                <wp:posOffset>-97790</wp:posOffset>
              </wp:positionV>
              <wp:extent cx="2052320" cy="419100"/>
              <wp:effectExtent l="19050" t="0" r="5080" b="0"/>
              <wp:wrapNone/>
              <wp:docPr id="7" name="Picture 3"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 Logo NEW PURPLE 2007"/>
                      <pic:cNvPicPr>
                        <a:picLocks noChangeAspect="1" noChangeArrowheads="1"/>
                      </pic:cNvPicPr>
                    </pic:nvPicPr>
                    <pic:blipFill>
                      <a:blip r:embed="rId1"/>
                      <a:srcRect/>
                      <a:stretch>
                        <a:fillRect/>
                      </a:stretch>
                    </pic:blipFill>
                    <pic:spPr bwMode="auto">
                      <a:xfrm>
                        <a:off x="0" y="0"/>
                        <a:ext cx="2052320" cy="419100"/>
                      </a:xfrm>
                      <a:prstGeom prst="rect">
                        <a:avLst/>
                      </a:prstGeom>
                      <a:noFill/>
                    </pic:spPr>
                  </pic:pic>
                </a:graphicData>
              </a:graphic>
            </wp:anchor>
          </w:drawing>
        </w:r>
        <w:r w:rsidR="008E540D" w:rsidRPr="00464E41">
          <w:rPr>
            <w:rFonts w:ascii="Arial Black" w:hAnsi="Arial Black"/>
            <w:color w:val="808080" w:themeColor="background1" w:themeShade="80"/>
          </w:rPr>
          <w:fldChar w:fldCharType="begin"/>
        </w:r>
        <w:r w:rsidRPr="00464E41">
          <w:rPr>
            <w:rFonts w:ascii="Arial Black" w:hAnsi="Arial Black"/>
            <w:color w:val="808080" w:themeColor="background1" w:themeShade="80"/>
          </w:rPr>
          <w:instrText xml:space="preserve"> PAGE   \* MERGEFORMAT </w:instrText>
        </w:r>
        <w:r w:rsidR="008E540D" w:rsidRPr="00464E41">
          <w:rPr>
            <w:rFonts w:ascii="Arial Black" w:hAnsi="Arial Black"/>
            <w:color w:val="808080" w:themeColor="background1" w:themeShade="80"/>
          </w:rPr>
          <w:fldChar w:fldCharType="separate"/>
        </w:r>
        <w:r w:rsidR="00FB7104" w:rsidRPr="00FB7104">
          <w:rPr>
            <w:noProof/>
            <w:color w:val="808080" w:themeColor="background1" w:themeShade="80"/>
          </w:rPr>
          <w:t>i</w:t>
        </w:r>
        <w:r w:rsidR="008E540D" w:rsidRPr="00464E41">
          <w:rPr>
            <w:rFonts w:ascii="Arial Black" w:hAnsi="Arial Black"/>
            <w:color w:val="808080" w:themeColor="background1" w:themeShade="80"/>
          </w:rPr>
          <w:fldChar w:fldCharType="end"/>
        </w:r>
      </w:p>
    </w:sdtContent>
  </w:sdt>
  <w:p w:rsidR="004D6CC3" w:rsidRDefault="004D6CC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Pr="00321715" w:rsidRDefault="008E540D" w:rsidP="00B50663">
    <w:pPr>
      <w:pStyle w:val="Footer"/>
      <w:jc w:val="right"/>
      <w:rPr>
        <w:sz w:val="20"/>
        <w:szCs w:val="20"/>
      </w:rPr>
    </w:pPr>
    <w:r w:rsidRPr="009D111C">
      <w:rPr>
        <w:rStyle w:val="PageNumber"/>
        <w:sz w:val="20"/>
        <w:szCs w:val="20"/>
      </w:rPr>
      <w:fldChar w:fldCharType="begin"/>
    </w:r>
    <w:r w:rsidR="004D6CC3" w:rsidRPr="009D111C">
      <w:rPr>
        <w:rStyle w:val="PageNumber"/>
        <w:sz w:val="20"/>
        <w:szCs w:val="20"/>
      </w:rPr>
      <w:instrText xml:space="preserve">PAGE  </w:instrText>
    </w:r>
    <w:r w:rsidRPr="009D111C">
      <w:rPr>
        <w:rStyle w:val="PageNumber"/>
        <w:sz w:val="20"/>
        <w:szCs w:val="20"/>
      </w:rPr>
      <w:fldChar w:fldCharType="separate"/>
    </w:r>
    <w:r w:rsidR="004D6CC3">
      <w:rPr>
        <w:rStyle w:val="PageNumber"/>
        <w:noProof/>
        <w:sz w:val="20"/>
        <w:szCs w:val="20"/>
      </w:rPr>
      <w:t>58</w:t>
    </w:r>
    <w:r w:rsidRPr="009D111C">
      <w:rPr>
        <w:rStyle w:val="PageNumber"/>
        <w:sz w:val="20"/>
        <w:szCs w:val="20"/>
      </w:rPr>
      <w:fldChar w:fldCharType="end"/>
    </w:r>
  </w:p>
  <w:p w:rsidR="004D6CC3" w:rsidRDefault="004D6C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F47" w:rsidRDefault="00F71F47" w:rsidP="00DB35F9">
      <w:pPr>
        <w:spacing w:after="0" w:line="240" w:lineRule="auto"/>
      </w:pPr>
      <w:r>
        <w:separator/>
      </w:r>
    </w:p>
  </w:footnote>
  <w:footnote w:type="continuationSeparator" w:id="0">
    <w:p w:rsidR="00F71F47" w:rsidRDefault="00F71F47" w:rsidP="00DB35F9">
      <w:pPr>
        <w:spacing w:after="0" w:line="240" w:lineRule="auto"/>
      </w:pPr>
      <w:r>
        <w:continuationSeparator/>
      </w:r>
    </w:p>
  </w:footnote>
  <w:footnote w:id="1">
    <w:p w:rsidR="004D6CC3" w:rsidRDefault="004D6CC3" w:rsidP="00416FD7">
      <w:pPr>
        <w:pStyle w:val="Footnote"/>
      </w:pPr>
      <w:r>
        <w:rPr>
          <w:rStyle w:val="FootnoteReference"/>
        </w:rPr>
        <w:footnoteRef/>
      </w:r>
      <w:r>
        <w:t xml:space="preserve"> This approach is also sometimes referred to as the “representative day approach” or as a “day-matching baseline.”  For simplicity we refer to them as “baselines” throughout this report. </w:t>
      </w:r>
    </w:p>
    <w:p w:rsidR="004D6CC3" w:rsidRDefault="004D6CC3" w:rsidP="00416FD7">
      <w:pPr>
        <w:pStyle w:val="Footnote"/>
      </w:pPr>
    </w:p>
  </w:footnote>
  <w:footnote w:id="2">
    <w:p w:rsidR="004D6CC3" w:rsidRDefault="004D6CC3" w:rsidP="00416FD7">
      <w:pPr>
        <w:pStyle w:val="Footnote"/>
      </w:pPr>
      <w:r>
        <w:rPr>
          <w:rStyle w:val="FootnoteReference"/>
        </w:rPr>
        <w:footnoteRef/>
      </w:r>
      <w:r>
        <w:rPr>
          <w:rFonts w:cs="Arial"/>
        </w:rPr>
        <w:t xml:space="preserve"> This report does not attempt to determine whether manipulation of baselines has or will occur and takes no position on the issue.  i.</w:t>
      </w:r>
    </w:p>
  </w:footnote>
  <w:footnote w:id="3">
    <w:p w:rsidR="004D6CC3" w:rsidRDefault="004D6CC3" w:rsidP="00416FD7">
      <w:pPr>
        <w:pStyle w:val="Footnote"/>
      </w:pPr>
      <w:r>
        <w:rPr>
          <w:rStyle w:val="FootnoteReference"/>
        </w:rPr>
        <w:footnoteRef/>
      </w:r>
      <w:r>
        <w:t xml:space="preserve"> The exception is one PG&amp;E aggregator contract that calculates the baseline based on the highest 3 of the past 10 non-event weekdays, without same-day adjustments. </w:t>
      </w:r>
    </w:p>
  </w:footnote>
  <w:footnote w:id="4">
    <w:p w:rsidR="004D6CC3" w:rsidRDefault="004D6CC3">
      <w:pPr>
        <w:pStyle w:val="Footnote"/>
      </w:pPr>
      <w:r>
        <w:rPr>
          <w:rStyle w:val="FootnoteReference"/>
        </w:rPr>
        <w:footnoteRef/>
      </w:r>
      <w:r>
        <w:t xml:space="preserve"> </w:t>
      </w:r>
      <w:r w:rsidRPr="00D25FDA">
        <w:rPr>
          <w:szCs w:val="18"/>
        </w:rPr>
        <w:t xml:space="preserve">KEMA, Inc. 2003.  </w:t>
      </w:r>
      <w:r w:rsidRPr="00D25FDA">
        <w:rPr>
          <w:i/>
          <w:szCs w:val="18"/>
        </w:rPr>
        <w:t>Protocol Development for Demand Response Calculation—Findings and Recommendations.</w:t>
      </w:r>
      <w:r w:rsidRPr="00D25FDA">
        <w:rPr>
          <w:szCs w:val="18"/>
        </w:rPr>
        <w:t xml:space="preserve">  Prepared for the California Energy Commission.  http://www.energy.ca.gov/reports/2003-03-10_400-02-017F.PDF</w:t>
      </w:r>
    </w:p>
  </w:footnote>
  <w:footnote w:id="5">
    <w:p w:rsidR="004D6CC3" w:rsidRDefault="004D6CC3">
      <w:pPr>
        <w:pStyle w:val="Footnote"/>
      </w:pPr>
      <w:r w:rsidRPr="005C28C4">
        <w:rPr>
          <w:rStyle w:val="FootnoteReference"/>
        </w:rPr>
        <w:footnoteRef/>
      </w:r>
      <w:r w:rsidRPr="005C28C4">
        <w:rPr>
          <w:vertAlign w:val="superscript"/>
        </w:rPr>
        <w:t xml:space="preserve"> </w:t>
      </w:r>
      <w:r>
        <w:t xml:space="preserve">Quantum Consulting, Inc. 2004.  </w:t>
      </w:r>
      <w:r>
        <w:rPr>
          <w:i/>
        </w:rPr>
        <w:t>Working Group 2 Demand Response Program Evaluation – Program Year 2004</w:t>
      </w:r>
      <w:r>
        <w:t xml:space="preserve">.  Prepared for the Working Group 2 Measurement and Evaluation Committee.  </w:t>
      </w:r>
      <w:r w:rsidRPr="007073F4">
        <w:t>http://calmac.org/publications/2004-12-21_WG2_2004_REPORT.pdf</w:t>
      </w:r>
    </w:p>
  </w:footnote>
  <w:footnote w:id="6">
    <w:p w:rsidR="004D6CC3" w:rsidRDefault="004D6CC3">
      <w:pPr>
        <w:pStyle w:val="Footnote"/>
      </w:pPr>
      <w:r>
        <w:rPr>
          <w:rStyle w:val="FootnoteReference"/>
        </w:rPr>
        <w:footnoteRef/>
      </w:r>
      <w:r>
        <w:t xml:space="preserve"> Christensen Associates Energy Consulting.  2010. </w:t>
      </w:r>
      <w:r>
        <w:rPr>
          <w:i/>
        </w:rPr>
        <w:t xml:space="preserve">Highly Volatile-Load Customer </w:t>
      </w:r>
      <w:r w:rsidRPr="005C28C4">
        <w:rPr>
          <w:i/>
        </w:rPr>
        <w:t>Study</w:t>
      </w:r>
      <w:r>
        <w:t xml:space="preserve">.  Prepared for Southern California Edison, Pacific Gas and Electric Company, and San Diego Gas &amp; Electric.  </w:t>
      </w:r>
      <w:r w:rsidRPr="005C28C4">
        <w:t>http://www3.sce.com/sscc/law/dis/dbattach3e.nsf/0/270D74C09E563CC2882577CE007D951A/$FILE/A.08-06-001+DR+App_Joint+Utilities+HVLC+Report+20101027+final.pdf</w:t>
      </w:r>
      <w:r>
        <w:t>.</w:t>
      </w:r>
    </w:p>
  </w:footnote>
  <w:footnote w:id="7">
    <w:p w:rsidR="004D6CC3" w:rsidRDefault="004D6CC3">
      <w:pPr>
        <w:pStyle w:val="Footnote"/>
      </w:pPr>
      <w:r>
        <w:rPr>
          <w:rStyle w:val="FootnoteReference"/>
        </w:rPr>
        <w:footnoteRef/>
      </w:r>
      <w:r>
        <w:t xml:space="preserve"> The inclusion of the “2x” cap recognizes that, in theory, “absolute” adjustments, such as “</w:t>
      </w:r>
      <w:r w:rsidRPr="00335FE3">
        <w:rPr>
          <w:rFonts w:eastAsia="Times New Roman"/>
        </w:rPr>
        <w:t>± 20%</w:t>
      </w:r>
      <w:r>
        <w:rPr>
          <w:rFonts w:eastAsia="Times New Roman"/>
        </w:rPr>
        <w:t xml:space="preserve">,” skew adjustments downward.  This is because baseline adjustments are calculated as ratios; thus, a cap of 50% limits ratio adjustments to 0.5 and 1.5, producing a downward adjustment of </w:t>
      </w:r>
      <w:r>
        <w:rPr>
          <w:rFonts w:eastAsia="Times New Roman"/>
          <w:i/>
        </w:rPr>
        <w:t>half</w:t>
      </w:r>
      <w:r>
        <w:rPr>
          <w:rFonts w:eastAsia="Times New Roman"/>
        </w:rPr>
        <w:t xml:space="preserve"> the original value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1-.5</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2</m:t>
            </m:r>
          </m:den>
        </m:f>
        <m:r>
          <w:rPr>
            <w:rFonts w:ascii="Cambria Math" w:eastAsia="Times New Roman" w:hAnsi="Cambria Math"/>
          </w:rPr>
          <m:t>)</m:t>
        </m:r>
      </m:oMath>
      <w:r>
        <w:rPr>
          <w:rFonts w:eastAsia="Times New Roman"/>
        </w:rPr>
        <w:t xml:space="preserve"> while producing an upward adjustment of only 50% (</w:t>
      </w:r>
      <m:oMath>
        <m:r>
          <w:rPr>
            <w:rFonts w:ascii="Cambria Math" w:eastAsia="Times New Roman" w:hAnsi="Cambria Math"/>
          </w:rPr>
          <m:t>1*</m:t>
        </m:r>
        <m:d>
          <m:dPr>
            <m:ctrlPr>
              <w:rPr>
                <w:rFonts w:ascii="Cambria Math" w:eastAsia="Times New Roman" w:hAnsi="Cambria Math"/>
                <w:i/>
              </w:rPr>
            </m:ctrlPr>
          </m:dPr>
          <m:e>
            <m:r>
              <w:rPr>
                <w:rFonts w:ascii="Cambria Math" w:eastAsia="Times New Roman" w:hAnsi="Cambria Math"/>
              </w:rPr>
              <m:t>1.5</m:t>
            </m:r>
          </m:e>
        </m:d>
        <m:r>
          <w:rPr>
            <w:rFonts w:ascii="Cambria Math" w:eastAsia="Times New Roman" w:hAnsi="Cambria Math"/>
          </w:rPr>
          <m:t>=1.5</m:t>
        </m:r>
      </m:oMath>
      <w:r>
        <w:rPr>
          <w:rFonts w:eastAsia="Times New Roman"/>
        </w:rPr>
        <w:t xml:space="preserve">).  This intuition is confirmed by considering a cap of 100%; this allows downward adjustments to turn an unadjusted baseline to 0 while limiting upward adjustments to twice the original baseline.  If applied symmetrically, a cap of 100% should yield unlimited upward adjustments: </w:t>
      </w:r>
      <m:oMath>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1-1</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0</m:t>
            </m:r>
          </m:den>
        </m:f>
        <m:r>
          <w:rPr>
            <w:rFonts w:ascii="Cambria Math" w:eastAsia="Times New Roman" w:hAnsi="Cambria Math"/>
          </w:rPr>
          <m:t>≈∞</m:t>
        </m:r>
      </m:oMath>
      <w:r>
        <w:rPr>
          <w:rFonts w:eastAsia="Times New Roman"/>
        </w:rPr>
        <w:t>.</w:t>
      </w:r>
    </w:p>
  </w:footnote>
  <w:footnote w:id="8">
    <w:p w:rsidR="004D6CC3" w:rsidRDefault="004D6CC3">
      <w:pPr>
        <w:pStyle w:val="Footnote"/>
      </w:pPr>
      <w:r>
        <w:rPr>
          <w:rStyle w:val="FootnoteReference"/>
        </w:rPr>
        <w:footnoteRef/>
      </w:r>
      <w:r>
        <w:t xml:space="preserve"> In addition to different baseline rules, two other factors that improve the accuracy are greater aggregation and greater demand reductions.  The effect of these two factors is discussed in Appendix A.</w:t>
      </w:r>
    </w:p>
  </w:footnote>
  <w:footnote w:id="9">
    <w:p w:rsidR="004D6CC3" w:rsidRDefault="004D6CC3" w:rsidP="004D6CC3">
      <w:pPr>
        <w:pStyle w:val="Footnote"/>
      </w:pPr>
      <w:r>
        <w:rPr>
          <w:rStyle w:val="FootnoteReference"/>
        </w:rPr>
        <w:footnoteRef/>
      </w:r>
      <w:r>
        <w:t xml:space="preserve"> To assess accuracy, it is necessary to know the correct demand reductions. We used a simulation based on actual load data and each customers demand reduction history precisely because the correct demand reductions amounts are known with a simulation. The process used to estimate the degree of bias (or lack thereof) in the baseline demand reduction calculations is detailed in Section 3.1 of this volume.  </w:t>
      </w:r>
    </w:p>
    <w:p w:rsidR="004D6CC3" w:rsidRDefault="004D6CC3" w:rsidP="004D6CC3">
      <w:pPr>
        <w:pStyle w:val="Footnote"/>
      </w:pPr>
    </w:p>
  </w:footnote>
  <w:footnote w:id="10">
    <w:p w:rsidR="004D6CC3" w:rsidRDefault="004D6CC3">
      <w:pPr>
        <w:pStyle w:val="Footnote"/>
      </w:pPr>
      <w:r>
        <w:rPr>
          <w:rStyle w:val="FootnoteReference"/>
        </w:rPr>
        <w:footnoteRef/>
      </w:r>
      <w:r>
        <w:t xml:space="preserve"> The “current b</w:t>
      </w:r>
      <w:r w:rsidRPr="00050374">
        <w:t>aseline</w:t>
      </w:r>
      <w:r>
        <w:t>” is</w:t>
      </w:r>
      <w:r w:rsidRPr="00050374">
        <w:t xml:space="preserve"> estimated based on the same-hour average of </w:t>
      </w:r>
      <w:r>
        <w:t>the 10</w:t>
      </w:r>
      <w:r w:rsidRPr="00050374">
        <w:t xml:space="preserve"> weekdays immediately preceding the </w:t>
      </w:r>
      <w:r>
        <w:t xml:space="preserve">curtailment </w:t>
      </w:r>
      <w:r w:rsidRPr="00050374">
        <w:t>event</w:t>
      </w:r>
      <w:r>
        <w:t xml:space="preserve"> in question</w:t>
      </w:r>
      <w:r w:rsidRPr="00050374">
        <w:t>, excluding other event day</w:t>
      </w:r>
      <w:r>
        <w:t>s</w:t>
      </w:r>
      <w:r w:rsidRPr="00050374">
        <w:t xml:space="preserve"> and holidays. </w:t>
      </w:r>
      <w:r>
        <w:t xml:space="preserve"> The baseline is calculated individually for each customer, the same-day adjustments and cap (</w:t>
      </w:r>
      <w:r>
        <w:rPr>
          <w:rFonts w:cstheme="minorHAnsi"/>
        </w:rPr>
        <w:t>±</w:t>
      </w:r>
      <w:r>
        <w:t>20%) is applied individually for each customer, and then the results for each customer are summed to obtain the result for the aggregator settlement portfolio.  The results reflect a</w:t>
      </w:r>
      <w:r w:rsidRPr="00050374">
        <w:t xml:space="preserve">ggregator </w:t>
      </w:r>
      <w:r>
        <w:t>decisions about whether or not</w:t>
      </w:r>
      <w:r w:rsidRPr="00050374">
        <w:t xml:space="preserve"> i</w:t>
      </w:r>
      <w:r>
        <w:t xml:space="preserve">n-day adjustments are applied, which are made in advance of events.  This baseline is used for all programs and aggregators, with the exception of one PG&amp;E aggregator under contract.  However, the table applies the same baseline to allow for a direct comparison. </w:t>
      </w:r>
    </w:p>
  </w:footnote>
  <w:footnote w:id="11">
    <w:p w:rsidR="004D6CC3" w:rsidRDefault="004D6CC3">
      <w:pPr>
        <w:pStyle w:val="Footnote"/>
      </w:pPr>
      <w:r>
        <w:rPr>
          <w:rStyle w:val="FootnoteReference"/>
        </w:rPr>
        <w:footnoteRef/>
      </w:r>
      <w:r>
        <w:t xml:space="preserve"> See Section 3 for details on this result.</w:t>
      </w:r>
    </w:p>
  </w:footnote>
  <w:footnote w:id="12">
    <w:p w:rsidR="004D6CC3" w:rsidRDefault="004D6CC3">
      <w:pPr>
        <w:pStyle w:val="Footnote"/>
      </w:pPr>
      <w:r>
        <w:rPr>
          <w:rStyle w:val="FootnoteReference"/>
        </w:rPr>
        <w:footnoteRef/>
      </w:r>
      <w:r>
        <w:t xml:space="preserve"> Ibid.</w:t>
      </w:r>
    </w:p>
  </w:footnote>
  <w:footnote w:id="13">
    <w:p w:rsidR="004D6CC3" w:rsidRDefault="004D6CC3">
      <w:pPr>
        <w:pStyle w:val="Footnote"/>
      </w:pPr>
      <w:r>
        <w:rPr>
          <w:rStyle w:val="FootnoteReference"/>
        </w:rPr>
        <w:footnoteRef/>
      </w:r>
      <w:r>
        <w:t xml:space="preserve"> Because SCE called as few as 2 or as many as 19 events for each program and DA/DO type, results are presented in a different format than for SDG&amp;E and PG&amp;E.  Each combination of program and DA/DO had nine proxy events, some of which were shared by each combination.</w:t>
      </w:r>
    </w:p>
  </w:footnote>
  <w:footnote w:id="14">
    <w:p w:rsidR="004D6CC3" w:rsidRDefault="004D6CC3">
      <w:pPr>
        <w:pStyle w:val="Footnote"/>
      </w:pPr>
      <w:r>
        <w:rPr>
          <w:rStyle w:val="FootnoteReference"/>
        </w:rPr>
        <w:footnoteRef/>
      </w:r>
      <w:r>
        <w:t xml:space="preserve"> Table 1-1 summarized the baseline options displayed in this and other figures and tables in this report section.  </w:t>
      </w:r>
    </w:p>
  </w:footnote>
  <w:footnote w:id="15">
    <w:p w:rsidR="004D6CC3" w:rsidRDefault="004D6CC3">
      <w:pPr>
        <w:pStyle w:val="Footnote"/>
      </w:pPr>
      <w:r>
        <w:rPr>
          <w:rStyle w:val="FootnoteReference"/>
        </w:rPr>
        <w:footnoteRef/>
      </w:r>
      <w:r>
        <w:t xml:space="preserve"> This is true as </w:t>
      </w:r>
      <w:r w:rsidRPr="00B523D8">
        <w:t>long</w:t>
      </w:r>
      <w:r>
        <w:t xml:space="preserve"> as customers do not shift load to pre-event hours or reduce load early – that is, if they do not perturb the loads during the period used to calculate the same-day adjustment.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4D6CC3" w:rsidP="00DB35F9">
    <w:pPr>
      <w:pStyle w:val="Header"/>
      <w:tabs>
        <w:tab w:val="left" w:pos="360"/>
        <w:tab w:val="left" w:pos="8910"/>
        <w:tab w:val="left" w:pos="9000"/>
      </w:tabs>
    </w:pPr>
    <w:r>
      <w:rPr>
        <w:noProof/>
      </w:rPr>
      <w:drawing>
        <wp:inline distT="0" distB="0" distL="0" distR="0">
          <wp:extent cx="4274185" cy="690880"/>
          <wp:effectExtent l="19050" t="0" r="0" b="0"/>
          <wp:docPr id="33" name="Picture 1"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NEW PURPLE 2007"/>
                  <pic:cNvPicPr>
                    <a:picLocks noChangeAspect="1" noChangeArrowheads="1"/>
                  </pic:cNvPicPr>
                </pic:nvPicPr>
                <pic:blipFill>
                  <a:blip r:embed="rId1" cstate="print"/>
                  <a:srcRect t="21506"/>
                  <a:stretch>
                    <a:fillRect/>
                  </a:stretch>
                </pic:blipFill>
                <pic:spPr bwMode="auto">
                  <a:xfrm>
                    <a:off x="0" y="0"/>
                    <a:ext cx="4274185" cy="690880"/>
                  </a:xfrm>
                  <a:prstGeom prst="rect">
                    <a:avLst/>
                  </a:prstGeom>
                  <a:noFill/>
                  <a:ln w="9525">
                    <a:noFill/>
                    <a:miter lim="800000"/>
                    <a:headEnd/>
                    <a:tailEnd/>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8E540D" w:rsidP="00DB35F9">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5" o:spid="_x0000_s4101" type="#_x0000_t32" style="width:467.1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" strokecolor="#5f497a [2407]">
          <w10:wrap type="none"/>
          <w10:anchorlock/>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8E540D">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4" o:spid="_x0000_s4100" type="#_x0000_t32" style="width:668.7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" strokecolor="#5f497a [2407]">
          <w10:wrap type="none"/>
          <w10:anchorlock/>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8E540D">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3" o:spid="_x0000_s4099" type="#_x0000_t32" style="width:467.1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" strokecolor="#5f497a [2407]">
          <w10:wrap type="none"/>
          <w10:anchorlock/>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8E540D">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2" o:spid="_x0000_s4098" type="#_x0000_t32" style="width:658.75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" strokecolor="#5f497a [2407]">
          <w10:wrap type="none"/>
          <w10:anchorlock/>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8E540D">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1" o:spid="_x0000_s4097" type="#_x0000_t32" style="width:467.1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" strokecolor="#5f497a [2407]">
          <w10:wrap type="none"/>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4D6CC3">
    <w:pPr>
      <w:pStyle w:val="Header"/>
    </w:pPr>
    <w:r>
      <w:rPr>
        <w:noProof/>
      </w:rPr>
      <w:drawing>
        <wp:anchor distT="0" distB="0" distL="114300" distR="114300" simplePos="0" relativeHeight="251667456" behindDoc="0" locked="0" layoutInCell="1" allowOverlap="1">
          <wp:simplePos x="0" y="0"/>
          <wp:positionH relativeFrom="column">
            <wp:posOffset>-733806</wp:posOffset>
          </wp:positionH>
          <wp:positionV relativeFrom="paragraph">
            <wp:posOffset>-67056</wp:posOffset>
          </wp:positionV>
          <wp:extent cx="4272534" cy="694944"/>
          <wp:effectExtent l="19050" t="0" r="0" b="0"/>
          <wp:wrapNone/>
          <wp:docPr id="34" name="Picture 1"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NEW PURPLE 2007"/>
                  <pic:cNvPicPr>
                    <a:picLocks noChangeAspect="1" noChangeArrowheads="1"/>
                  </pic:cNvPicPr>
                </pic:nvPicPr>
                <pic:blipFill>
                  <a:blip r:embed="rId1" cstate="print"/>
                  <a:srcRect t="21506"/>
                  <a:stretch>
                    <a:fillRect/>
                  </a:stretch>
                </pic:blipFill>
                <pic:spPr bwMode="auto">
                  <a:xfrm>
                    <a:off x="0" y="0"/>
                    <a:ext cx="4267835" cy="68834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8E540D" w:rsidP="00DB35F9">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_x0000_s4107" type="#_x0000_t32" style="width:473.85pt;height: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" strokecolor="#5f497a [2407]">
          <w10:wrap type="non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4D6CC3" w:rsidP="00B50663">
    <w:pPr>
      <w:pStyle w:val="Header"/>
      <w:jc w:val="center"/>
    </w:pPr>
    <w:r w:rsidRPr="00E92F4E">
      <w:rPr>
        <w:noProof/>
      </w:rPr>
      <w:drawing>
        <wp:inline distT="0" distB="0" distL="0" distR="0">
          <wp:extent cx="2243455" cy="999490"/>
          <wp:effectExtent l="19050" t="0" r="444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43455" cy="999490"/>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8E540D">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10" o:spid="_x0000_s4106" type="#_x0000_t32" style="width:673.95pt;height: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" strokecolor="#5f497a [2407]">
          <w10:wrap type="none"/>
          <w10:anchorlock/>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8E540D" w:rsidP="00DB35F9">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9" o:spid="_x0000_s4105" type="#_x0000_t32" style="width:467.1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" strokecolor="#5f497a [2407]">
          <w10:wrap type="none"/>
          <w10:anchorlock/>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8E540D">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8" o:spid="_x0000_s4104" type="#_x0000_t32" style="width:662.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" strokecolor="#5f497a [2407]">
          <w10:wrap type="none"/>
          <w10:anchorlock/>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8E540D">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7" o:spid="_x0000_s4103" type="#_x0000_t32" style="width:467.1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" strokecolor="#5f497a [2407]">
          <w10:wrap type="none"/>
          <w10:anchorlock/>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C3" w:rsidRDefault="008E540D">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6" o:spid="_x0000_s4102" type="#_x0000_t32" style="width:657.55pt;height: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" strokecolor="#5f497a [2407]">
          <w10:wrap type="non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F33D8"/>
    <w:multiLevelType w:val="hybridMultilevel"/>
    <w:tmpl w:val="61346B64"/>
    <w:lvl w:ilvl="0" w:tplc="FFFFFFFF">
      <w:start w:val="1"/>
      <w:numFmt w:val="bullet"/>
      <w:pStyle w:val="Bullet"/>
      <w:lvlText w:val=""/>
      <w:lvlJc w:val="left"/>
      <w:pPr>
        <w:tabs>
          <w:tab w:val="num" w:pos="720"/>
        </w:tabs>
        <w:ind w:left="720" w:hanging="360"/>
      </w:pPr>
      <w:rPr>
        <w:rFonts w:ascii="Wingdings" w:hAnsi="Wingdings" w:hint="default"/>
        <w:color w:val="433B6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2F5674"/>
    <w:multiLevelType w:val="hybridMultilevel"/>
    <w:tmpl w:val="652A9A1E"/>
    <w:lvl w:ilvl="0" w:tplc="F5241B0E">
      <w:start w:val="6"/>
      <w:numFmt w:val="decimal"/>
      <w:pStyle w:val="NumbersLa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63045"/>
    <w:multiLevelType w:val="hybridMultilevel"/>
    <w:tmpl w:val="F3B03B8E"/>
    <w:lvl w:ilvl="0" w:tplc="FD9E53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A593E"/>
    <w:multiLevelType w:val="hybridMultilevel"/>
    <w:tmpl w:val="BF0CB3C6"/>
    <w:lvl w:ilvl="0" w:tplc="4A6091AE">
      <w:start w:val="1"/>
      <w:numFmt w:val="bullet"/>
      <w:pStyle w:val="Bullets"/>
      <w:lvlText w:val=""/>
      <w:lvlJc w:val="left"/>
      <w:pPr>
        <w:tabs>
          <w:tab w:val="num" w:pos="720"/>
        </w:tabs>
        <w:ind w:left="720" w:hanging="360"/>
      </w:pPr>
      <w:rPr>
        <w:rFonts w:ascii="Wingdings" w:hAnsi="Wingdings" w:hint="default"/>
        <w:color w:val="433B6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7561E2"/>
    <w:multiLevelType w:val="hybridMultilevel"/>
    <w:tmpl w:val="6F6C1304"/>
    <w:lvl w:ilvl="0" w:tplc="FB1E35EA">
      <w:start w:val="1"/>
      <w:numFmt w:val="decimal"/>
      <w:pStyle w:val="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4670DF"/>
    <w:multiLevelType w:val="hybridMultilevel"/>
    <w:tmpl w:val="F6FA7032"/>
    <w:lvl w:ilvl="0" w:tplc="4A6091AE">
      <w:start w:val="1"/>
      <w:numFmt w:val="bullet"/>
      <w:pStyle w:val="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0D13B7"/>
    <w:multiLevelType w:val="hybridMultilevel"/>
    <w:tmpl w:val="F80C91EC"/>
    <w:lvl w:ilvl="0" w:tplc="B1DAA1C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nsid w:val="1DBA30FA"/>
    <w:multiLevelType w:val="singleLevel"/>
    <w:tmpl w:val="119028D4"/>
    <w:lvl w:ilvl="0">
      <w:start w:val="1"/>
      <w:numFmt w:val="bullet"/>
      <w:pStyle w:val="NormalIndbullets"/>
      <w:lvlText w:val=""/>
      <w:lvlJc w:val="left"/>
      <w:pPr>
        <w:tabs>
          <w:tab w:val="num" w:pos="360"/>
        </w:tabs>
        <w:ind w:left="360" w:hanging="360"/>
      </w:pPr>
      <w:rPr>
        <w:rFonts w:ascii="Symbol" w:hAnsi="Symbol" w:hint="default"/>
      </w:rPr>
    </w:lvl>
  </w:abstractNum>
  <w:abstractNum w:abstractNumId="8">
    <w:nsid w:val="260E263D"/>
    <w:multiLevelType w:val="multilevel"/>
    <w:tmpl w:val="99BC58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7466AB5"/>
    <w:multiLevelType w:val="multilevel"/>
    <w:tmpl w:val="6B2CD62E"/>
    <w:styleLink w:val="NumberedSteps"/>
    <w:lvl w:ilvl="0">
      <w:start w:val="1"/>
      <w:numFmt w:val="decimal"/>
      <w:lvlText w:val="%1"/>
      <w:lvlJc w:val="left"/>
      <w:pPr>
        <w:tabs>
          <w:tab w:val="num" w:pos="720"/>
        </w:tabs>
        <w:ind w:left="720" w:hanging="360"/>
      </w:pPr>
      <w:rPr>
        <w:rFonts w:ascii="Arial" w:hAnsi="Arial"/>
        <w:dstrike w:val="0"/>
        <w:color w:val="auto"/>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A340FED"/>
    <w:multiLevelType w:val="hybridMultilevel"/>
    <w:tmpl w:val="6FB620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BD2600"/>
    <w:multiLevelType w:val="hybridMultilevel"/>
    <w:tmpl w:val="EA2667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F033B8"/>
    <w:multiLevelType w:val="hybridMultilevel"/>
    <w:tmpl w:val="97563AD6"/>
    <w:lvl w:ilvl="0" w:tplc="FD9E53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F3290F"/>
    <w:multiLevelType w:val="multilevel"/>
    <w:tmpl w:val="650E659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756"/>
        </w:tabs>
        <w:ind w:left="756" w:hanging="576"/>
      </w:pPr>
      <w:rPr>
        <w:rFonts w:cs="Times New Roman"/>
      </w:rPr>
    </w:lvl>
    <w:lvl w:ilvl="2">
      <w:start w:val="1"/>
      <w:numFmt w:val="decimal"/>
      <w:lvlText w:val="%1.%2.%3"/>
      <w:lvlJc w:val="left"/>
      <w:pPr>
        <w:tabs>
          <w:tab w:val="num" w:pos="990"/>
        </w:tabs>
        <w:ind w:left="99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nsid w:val="5EAB1E43"/>
    <w:multiLevelType w:val="hybridMultilevel"/>
    <w:tmpl w:val="01928672"/>
    <w:lvl w:ilvl="0" w:tplc="0409000F">
      <w:start w:val="1"/>
      <w:numFmt w:val="decimal"/>
      <w:lvlText w:val="%1."/>
      <w:lvlJc w:val="left"/>
      <w:pPr>
        <w:tabs>
          <w:tab w:val="num" w:pos="720"/>
        </w:tabs>
        <w:ind w:left="720" w:hanging="360"/>
      </w:pPr>
      <w:rPr>
        <w:rFonts w:hint="default"/>
        <w:color w:val="433B67"/>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61571848"/>
    <w:multiLevelType w:val="hybridMultilevel"/>
    <w:tmpl w:val="9EC0A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497E68"/>
    <w:multiLevelType w:val="multilevel"/>
    <w:tmpl w:val="CFA6A566"/>
    <w:lvl w:ilvl="0">
      <w:start w:val="1"/>
      <w:numFmt w:val="upperLetter"/>
      <w:pStyle w:val="AppendixHeading"/>
      <w:lvlText w:val="Appendix %1."/>
      <w:lvlJc w:val="left"/>
      <w:pPr>
        <w:ind w:left="360" w:hanging="360"/>
      </w:pPr>
      <w:rPr>
        <w:rFonts w:hint="default"/>
        <w:b/>
        <w:bCs w:val="0"/>
        <w:i w:val="0"/>
        <w:iCs w:val="0"/>
        <w:caps w:val="0"/>
        <w:smallCaps w:val="0"/>
        <w:strike w:val="0"/>
        <w:dstrike w:val="0"/>
        <w:noProof w:val="0"/>
        <w:snapToGrid w:val="0"/>
        <w:vanish w:val="0"/>
        <w:color w:val="5F497A" w:themeColor="accent4" w:themeShade="BF"/>
        <w:spacing w:val="0"/>
        <w:w w:val="0"/>
        <w:kern w:val="0"/>
        <w:position w:val="0"/>
        <w:szCs w:val="0"/>
        <w:u w:val="none"/>
        <w:vertAlign w:val="baseline"/>
        <w:em w:val="none"/>
      </w:rPr>
    </w:lvl>
    <w:lvl w:ilvl="1">
      <w:start w:val="1"/>
      <w:numFmt w:val="decimal"/>
      <w:pStyle w:val="AppendixHeading2"/>
      <w:lvlText w:val="%1.%2."/>
      <w:lvlJc w:val="left"/>
      <w:pPr>
        <w:ind w:left="882" w:hanging="432"/>
      </w:pPr>
      <w:rPr>
        <w:rFonts w:ascii="Arial" w:hAnsi="Arial" w:cs="Arial" w:hint="default"/>
        <w:b/>
        <w:bCs w:val="0"/>
        <w:i w:val="0"/>
        <w:iCs w:val="0"/>
        <w:caps w:val="0"/>
        <w:smallCaps w:val="0"/>
        <w:strike w:val="0"/>
        <w:dstrike w:val="0"/>
        <w:noProof w:val="0"/>
        <w:snapToGrid w:val="0"/>
        <w:vanish w:val="0"/>
        <w:color w:val="5F497A" w:themeColor="accent4" w:themeShade="BF"/>
        <w:spacing w:val="0"/>
        <w:w w:val="0"/>
        <w:kern w:val="0"/>
        <w:position w:val="0"/>
        <w:szCs w:val="0"/>
        <w:u w:val="none"/>
        <w:vertAlign w:val="baseline"/>
        <w:em w:val="none"/>
      </w:rPr>
    </w:lvl>
    <w:lvl w:ilvl="2">
      <w:start w:val="1"/>
      <w:numFmt w:val="decimal"/>
      <w:pStyle w:val="AppendixHeading3"/>
      <w:lvlText w:val="%1.%2.%3."/>
      <w:lvlJc w:val="left"/>
      <w:pPr>
        <w:ind w:left="1494" w:hanging="504"/>
      </w:pPr>
      <w:rPr>
        <w:rFonts w:ascii="Arial" w:hAnsi="Arial" w:cs="Arial" w:hint="default"/>
        <w:b/>
        <w:bCs w:val="0"/>
        <w:i w:val="0"/>
        <w:iCs w:val="0"/>
        <w:caps w:val="0"/>
        <w:smallCaps w:val="0"/>
        <w:strike w:val="0"/>
        <w:dstrike w:val="0"/>
        <w:noProof w:val="0"/>
        <w:snapToGrid w:val="0"/>
        <w:vanish w:val="0"/>
        <w:color w:val="5F497A" w:themeColor="accent4" w:themeShade="BF"/>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C954C08"/>
    <w:multiLevelType w:val="hybridMultilevel"/>
    <w:tmpl w:val="4B9E7C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0F2EE8"/>
    <w:multiLevelType w:val="multilevel"/>
    <w:tmpl w:val="9F68006A"/>
    <w:styleLink w:val="Numbered"/>
    <w:lvl w:ilvl="0">
      <w:start w:val="1"/>
      <w:numFmt w:val="decimal"/>
      <w:lvlText w:val="%1"/>
      <w:lvlJc w:val="left"/>
      <w:pPr>
        <w:tabs>
          <w:tab w:val="num" w:pos="720"/>
        </w:tabs>
        <w:ind w:left="720" w:hanging="360"/>
      </w:pPr>
      <w:rPr>
        <w:rFonts w:ascii="Arial" w:hAnsi="Arial"/>
        <w:dstrike w:val="0"/>
        <w:color w:val="000000" w:themeColor="text1"/>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EE17729"/>
    <w:multiLevelType w:val="hybridMultilevel"/>
    <w:tmpl w:val="6E866F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0A5505"/>
    <w:multiLevelType w:val="hybridMultilevel"/>
    <w:tmpl w:val="D70E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94149E"/>
    <w:multiLevelType w:val="hybridMultilevel"/>
    <w:tmpl w:val="CAC44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B64E54"/>
    <w:multiLevelType w:val="hybridMultilevel"/>
    <w:tmpl w:val="3E88512A"/>
    <w:lvl w:ilvl="0" w:tplc="0409000F">
      <w:start w:val="1"/>
      <w:numFmt w:val="decimal"/>
      <w:lvlText w:val="%1."/>
      <w:lvlJc w:val="left"/>
      <w:pPr>
        <w:tabs>
          <w:tab w:val="num" w:pos="720"/>
        </w:tabs>
        <w:ind w:left="720" w:hanging="360"/>
      </w:pPr>
      <w:rPr>
        <w:rFonts w:hint="default"/>
        <w:color w:val="433B6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421570F"/>
    <w:multiLevelType w:val="singleLevel"/>
    <w:tmpl w:val="D3D8BEE6"/>
    <w:lvl w:ilvl="0">
      <w:start w:val="1"/>
      <w:numFmt w:val="decimal"/>
      <w:pStyle w:val="NormalInd1"/>
      <w:lvlText w:val="%1."/>
      <w:lvlJc w:val="left"/>
      <w:pPr>
        <w:tabs>
          <w:tab w:val="num" w:pos="504"/>
        </w:tabs>
        <w:ind w:left="504" w:hanging="360"/>
      </w:pPr>
      <w:rPr>
        <w:rFonts w:cs="Times New Roman"/>
      </w:rPr>
    </w:lvl>
  </w:abstractNum>
  <w:abstractNum w:abstractNumId="24">
    <w:nsid w:val="748F6AD7"/>
    <w:multiLevelType w:val="hybridMultilevel"/>
    <w:tmpl w:val="2AB4C748"/>
    <w:lvl w:ilvl="0" w:tplc="0409000F">
      <w:start w:val="1"/>
      <w:numFmt w:val="decimal"/>
      <w:lvlText w:val="%1."/>
      <w:lvlJc w:val="left"/>
      <w:pPr>
        <w:tabs>
          <w:tab w:val="num" w:pos="720"/>
        </w:tabs>
        <w:ind w:left="720" w:hanging="360"/>
      </w:pPr>
      <w:rPr>
        <w:rFonts w:hint="default"/>
        <w:color w:val="433B67"/>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6"/>
  </w:num>
  <w:num w:numId="3">
    <w:abstractNumId w:val="8"/>
  </w:num>
  <w:num w:numId="4">
    <w:abstractNumId w:val="18"/>
  </w:num>
  <w:num w:numId="5">
    <w:abstractNumId w:val="9"/>
  </w:num>
  <w:num w:numId="6">
    <w:abstractNumId w:val="4"/>
  </w:num>
  <w:num w:numId="7">
    <w:abstractNumId w:val="1"/>
  </w:num>
  <w:num w:numId="8">
    <w:abstractNumId w:val="0"/>
  </w:num>
  <w:num w:numId="9">
    <w:abstractNumId w:val="6"/>
  </w:num>
  <w:num w:numId="10">
    <w:abstractNumId w:val="23"/>
  </w:num>
  <w:num w:numId="11">
    <w:abstractNumId w:val="7"/>
  </w:num>
  <w:num w:numId="12">
    <w:abstractNumId w:val="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2"/>
  </w:num>
  <w:num w:numId="18">
    <w:abstractNumId w:val="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1"/>
  </w:num>
  <w:num w:numId="23">
    <w:abstractNumId w:val="15"/>
  </w:num>
  <w:num w:numId="24">
    <w:abstractNumId w:val="13"/>
  </w:num>
  <w:num w:numId="25">
    <w:abstractNumId w:val="17"/>
  </w:num>
  <w:num w:numId="26">
    <w:abstractNumId w:val="24"/>
  </w:num>
  <w:num w:numId="27">
    <w:abstractNumId w:val="14"/>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stylePaneSortMethod w:val="0000"/>
  <w:trackRevisions/>
  <w:defaultTabStop w:val="720"/>
  <w:drawingGridHorizontalSpacing w:val="110"/>
  <w:displayHorizontalDrawingGridEvery w:val="2"/>
  <w:characterSpacingControl w:val="doNotCompress"/>
  <w:hdrShapeDefaults>
    <o:shapedefaults v:ext="edit" spidmax="6146"/>
    <o:shapelayout v:ext="edit">
      <o:idmap v:ext="edit" data="4"/>
      <o:rules v:ext="edit">
        <o:r id="V:Rule12" type="connector" idref="#AutoShape 9"/>
        <o:r id="V:Rule13" type="connector" idref="#AutoShape 10"/>
        <o:r id="V:Rule14" type="connector" idref="#AutoShape 5"/>
        <o:r id="V:Rule15" type="connector" idref="#AutoShape 6"/>
        <o:r id="V:Rule16" type="connector" idref="#AutoShape 8"/>
        <o:r id="V:Rule17" type="connector" idref="#AutoShape 7"/>
        <o:r id="V:Rule18" type="connector" idref="#AutoShape 2"/>
        <o:r id="V:Rule19" type="connector" idref="#AutoShape 1"/>
        <o:r id="V:Rule20" type="connector" idref="#_x0000_s4107"/>
        <o:r id="V:Rule21" type="connector" idref="#AutoShape 4"/>
        <o:r id="V:Rule22" type="connector" idref="#AutoShape 3"/>
      </o:rules>
    </o:shapelayout>
  </w:hdrShapeDefaults>
  <w:footnotePr>
    <w:footnote w:id="-1"/>
    <w:footnote w:id="0"/>
  </w:footnotePr>
  <w:endnotePr>
    <w:endnote w:id="-1"/>
    <w:endnote w:id="0"/>
  </w:endnotePr>
  <w:compat>
    <w:useFELayout/>
  </w:compat>
  <w:rsids>
    <w:rsidRoot w:val="00116D21"/>
    <w:rsid w:val="00020528"/>
    <w:rsid w:val="00020BC6"/>
    <w:rsid w:val="00032DE7"/>
    <w:rsid w:val="0004722D"/>
    <w:rsid w:val="00047B43"/>
    <w:rsid w:val="0006172C"/>
    <w:rsid w:val="00061849"/>
    <w:rsid w:val="00064FAA"/>
    <w:rsid w:val="0007121F"/>
    <w:rsid w:val="00087C75"/>
    <w:rsid w:val="00094FFB"/>
    <w:rsid w:val="000A2060"/>
    <w:rsid w:val="000A214D"/>
    <w:rsid w:val="000A318E"/>
    <w:rsid w:val="000A4D43"/>
    <w:rsid w:val="000B3365"/>
    <w:rsid w:val="000C5046"/>
    <w:rsid w:val="000D3BE1"/>
    <w:rsid w:val="000E10B0"/>
    <w:rsid w:val="00105199"/>
    <w:rsid w:val="00107177"/>
    <w:rsid w:val="00110F16"/>
    <w:rsid w:val="00116D21"/>
    <w:rsid w:val="0012319B"/>
    <w:rsid w:val="00137F86"/>
    <w:rsid w:val="00142ACF"/>
    <w:rsid w:val="00147ADF"/>
    <w:rsid w:val="001566EC"/>
    <w:rsid w:val="00163508"/>
    <w:rsid w:val="001738E0"/>
    <w:rsid w:val="001740F8"/>
    <w:rsid w:val="0019158E"/>
    <w:rsid w:val="00192CF8"/>
    <w:rsid w:val="00196367"/>
    <w:rsid w:val="001A71A9"/>
    <w:rsid w:val="001B0ACB"/>
    <w:rsid w:val="001B1D2C"/>
    <w:rsid w:val="001B352B"/>
    <w:rsid w:val="001C1F7B"/>
    <w:rsid w:val="001C2239"/>
    <w:rsid w:val="001E23BF"/>
    <w:rsid w:val="001E35A3"/>
    <w:rsid w:val="001E36FB"/>
    <w:rsid w:val="001E4F10"/>
    <w:rsid w:val="001E7B77"/>
    <w:rsid w:val="002077EA"/>
    <w:rsid w:val="00213694"/>
    <w:rsid w:val="00217F07"/>
    <w:rsid w:val="00232396"/>
    <w:rsid w:val="00235CED"/>
    <w:rsid w:val="002436C1"/>
    <w:rsid w:val="00243DA0"/>
    <w:rsid w:val="002526C3"/>
    <w:rsid w:val="002606A9"/>
    <w:rsid w:val="00262851"/>
    <w:rsid w:val="0026760B"/>
    <w:rsid w:val="002706AA"/>
    <w:rsid w:val="00282E71"/>
    <w:rsid w:val="002842C9"/>
    <w:rsid w:val="002A1A7E"/>
    <w:rsid w:val="002A6B02"/>
    <w:rsid w:val="002B457C"/>
    <w:rsid w:val="002B4EB7"/>
    <w:rsid w:val="002B6E34"/>
    <w:rsid w:val="002D1631"/>
    <w:rsid w:val="002E1347"/>
    <w:rsid w:val="00302307"/>
    <w:rsid w:val="003045C9"/>
    <w:rsid w:val="00305437"/>
    <w:rsid w:val="003076DE"/>
    <w:rsid w:val="003119A6"/>
    <w:rsid w:val="003122AC"/>
    <w:rsid w:val="00313B12"/>
    <w:rsid w:val="0031513A"/>
    <w:rsid w:val="00325BC4"/>
    <w:rsid w:val="0034356A"/>
    <w:rsid w:val="00344C3B"/>
    <w:rsid w:val="003512E0"/>
    <w:rsid w:val="0035385E"/>
    <w:rsid w:val="0036226B"/>
    <w:rsid w:val="00362454"/>
    <w:rsid w:val="00363BF8"/>
    <w:rsid w:val="00365361"/>
    <w:rsid w:val="0037784F"/>
    <w:rsid w:val="00385706"/>
    <w:rsid w:val="003902CB"/>
    <w:rsid w:val="00393B5B"/>
    <w:rsid w:val="00394A94"/>
    <w:rsid w:val="003A087C"/>
    <w:rsid w:val="003A0F85"/>
    <w:rsid w:val="003A4BA1"/>
    <w:rsid w:val="003B6657"/>
    <w:rsid w:val="003D68A0"/>
    <w:rsid w:val="004025E5"/>
    <w:rsid w:val="00403E51"/>
    <w:rsid w:val="00412C23"/>
    <w:rsid w:val="004143B6"/>
    <w:rsid w:val="00416FD7"/>
    <w:rsid w:val="00423629"/>
    <w:rsid w:val="004237C9"/>
    <w:rsid w:val="0043181D"/>
    <w:rsid w:val="0044151D"/>
    <w:rsid w:val="0046277A"/>
    <w:rsid w:val="00464E41"/>
    <w:rsid w:val="00493D11"/>
    <w:rsid w:val="004B1D37"/>
    <w:rsid w:val="004D1340"/>
    <w:rsid w:val="004D29E7"/>
    <w:rsid w:val="004D6CC3"/>
    <w:rsid w:val="004E1431"/>
    <w:rsid w:val="004E5D3E"/>
    <w:rsid w:val="004F7312"/>
    <w:rsid w:val="004F7A7C"/>
    <w:rsid w:val="00504474"/>
    <w:rsid w:val="00513569"/>
    <w:rsid w:val="0052466E"/>
    <w:rsid w:val="0052636E"/>
    <w:rsid w:val="00533ECF"/>
    <w:rsid w:val="00565A04"/>
    <w:rsid w:val="00573A27"/>
    <w:rsid w:val="00576B62"/>
    <w:rsid w:val="00577956"/>
    <w:rsid w:val="005C171F"/>
    <w:rsid w:val="005D003F"/>
    <w:rsid w:val="005E357B"/>
    <w:rsid w:val="005E4AF6"/>
    <w:rsid w:val="00606BB7"/>
    <w:rsid w:val="006108A8"/>
    <w:rsid w:val="006134FA"/>
    <w:rsid w:val="006331D6"/>
    <w:rsid w:val="00643798"/>
    <w:rsid w:val="006455A7"/>
    <w:rsid w:val="00657C27"/>
    <w:rsid w:val="006717E3"/>
    <w:rsid w:val="00691A01"/>
    <w:rsid w:val="006947D9"/>
    <w:rsid w:val="00696375"/>
    <w:rsid w:val="006A42A2"/>
    <w:rsid w:val="006A65E3"/>
    <w:rsid w:val="006B15FE"/>
    <w:rsid w:val="006C0C0C"/>
    <w:rsid w:val="006C27DC"/>
    <w:rsid w:val="006F0A13"/>
    <w:rsid w:val="0071105E"/>
    <w:rsid w:val="00717FCF"/>
    <w:rsid w:val="00721E89"/>
    <w:rsid w:val="007336EB"/>
    <w:rsid w:val="0073394E"/>
    <w:rsid w:val="00752687"/>
    <w:rsid w:val="00753403"/>
    <w:rsid w:val="00757FE6"/>
    <w:rsid w:val="007606E1"/>
    <w:rsid w:val="007715BA"/>
    <w:rsid w:val="00794ACF"/>
    <w:rsid w:val="0079600B"/>
    <w:rsid w:val="007C29F6"/>
    <w:rsid w:val="007C34E0"/>
    <w:rsid w:val="007D06F6"/>
    <w:rsid w:val="007D0AFC"/>
    <w:rsid w:val="007D29BF"/>
    <w:rsid w:val="007D5E9E"/>
    <w:rsid w:val="007F078B"/>
    <w:rsid w:val="007F2266"/>
    <w:rsid w:val="0080257B"/>
    <w:rsid w:val="00824815"/>
    <w:rsid w:val="00831E02"/>
    <w:rsid w:val="00832B87"/>
    <w:rsid w:val="0084569F"/>
    <w:rsid w:val="00850D16"/>
    <w:rsid w:val="00852826"/>
    <w:rsid w:val="00855354"/>
    <w:rsid w:val="00861BB4"/>
    <w:rsid w:val="00872170"/>
    <w:rsid w:val="008759AD"/>
    <w:rsid w:val="008A048D"/>
    <w:rsid w:val="008A3185"/>
    <w:rsid w:val="008A75A8"/>
    <w:rsid w:val="008B5314"/>
    <w:rsid w:val="008C2D62"/>
    <w:rsid w:val="008E540D"/>
    <w:rsid w:val="008E6E4B"/>
    <w:rsid w:val="0090465E"/>
    <w:rsid w:val="009063B1"/>
    <w:rsid w:val="00934456"/>
    <w:rsid w:val="0094682C"/>
    <w:rsid w:val="009501F3"/>
    <w:rsid w:val="009603CA"/>
    <w:rsid w:val="00963647"/>
    <w:rsid w:val="00963758"/>
    <w:rsid w:val="00970846"/>
    <w:rsid w:val="00996116"/>
    <w:rsid w:val="009A0DB0"/>
    <w:rsid w:val="009A532A"/>
    <w:rsid w:val="009C0139"/>
    <w:rsid w:val="009C597C"/>
    <w:rsid w:val="009E3ED8"/>
    <w:rsid w:val="009E3F2C"/>
    <w:rsid w:val="00A115B5"/>
    <w:rsid w:val="00A2035F"/>
    <w:rsid w:val="00A24367"/>
    <w:rsid w:val="00A24E8D"/>
    <w:rsid w:val="00A27740"/>
    <w:rsid w:val="00A40AFD"/>
    <w:rsid w:val="00A635D8"/>
    <w:rsid w:val="00A6555F"/>
    <w:rsid w:val="00A709E1"/>
    <w:rsid w:val="00A93588"/>
    <w:rsid w:val="00A95E77"/>
    <w:rsid w:val="00AA4AFC"/>
    <w:rsid w:val="00AB380F"/>
    <w:rsid w:val="00AC3023"/>
    <w:rsid w:val="00AD6454"/>
    <w:rsid w:val="00AE636A"/>
    <w:rsid w:val="00B05493"/>
    <w:rsid w:val="00B073CB"/>
    <w:rsid w:val="00B07F5F"/>
    <w:rsid w:val="00B2167A"/>
    <w:rsid w:val="00B33761"/>
    <w:rsid w:val="00B36ECE"/>
    <w:rsid w:val="00B50663"/>
    <w:rsid w:val="00B523D8"/>
    <w:rsid w:val="00B63E26"/>
    <w:rsid w:val="00B66105"/>
    <w:rsid w:val="00B8552D"/>
    <w:rsid w:val="00B90B9B"/>
    <w:rsid w:val="00B97F1F"/>
    <w:rsid w:val="00BA1093"/>
    <w:rsid w:val="00BA323B"/>
    <w:rsid w:val="00BA3459"/>
    <w:rsid w:val="00BA6787"/>
    <w:rsid w:val="00BB2A20"/>
    <w:rsid w:val="00BB6D04"/>
    <w:rsid w:val="00BB7BEA"/>
    <w:rsid w:val="00BC02C6"/>
    <w:rsid w:val="00BC7E9F"/>
    <w:rsid w:val="00BD6DA7"/>
    <w:rsid w:val="00C003A1"/>
    <w:rsid w:val="00C053C2"/>
    <w:rsid w:val="00C07AEB"/>
    <w:rsid w:val="00C2287B"/>
    <w:rsid w:val="00C236D9"/>
    <w:rsid w:val="00C33F08"/>
    <w:rsid w:val="00C66141"/>
    <w:rsid w:val="00C6641F"/>
    <w:rsid w:val="00C67FD8"/>
    <w:rsid w:val="00C75DD2"/>
    <w:rsid w:val="00C86C46"/>
    <w:rsid w:val="00C92EB8"/>
    <w:rsid w:val="00CA0D6E"/>
    <w:rsid w:val="00CA1BF4"/>
    <w:rsid w:val="00CA7291"/>
    <w:rsid w:val="00CB1CB5"/>
    <w:rsid w:val="00CB24FE"/>
    <w:rsid w:val="00CB7D9E"/>
    <w:rsid w:val="00CC2233"/>
    <w:rsid w:val="00CD1408"/>
    <w:rsid w:val="00CD21EE"/>
    <w:rsid w:val="00CD7AB5"/>
    <w:rsid w:val="00CE3792"/>
    <w:rsid w:val="00CF596D"/>
    <w:rsid w:val="00CF7B44"/>
    <w:rsid w:val="00D010D4"/>
    <w:rsid w:val="00D037D1"/>
    <w:rsid w:val="00D04113"/>
    <w:rsid w:val="00D04A27"/>
    <w:rsid w:val="00D17D84"/>
    <w:rsid w:val="00D34C82"/>
    <w:rsid w:val="00D40A34"/>
    <w:rsid w:val="00D42F67"/>
    <w:rsid w:val="00D45F76"/>
    <w:rsid w:val="00D5296B"/>
    <w:rsid w:val="00D56C2A"/>
    <w:rsid w:val="00D679FE"/>
    <w:rsid w:val="00D75C3A"/>
    <w:rsid w:val="00D773A3"/>
    <w:rsid w:val="00D813F6"/>
    <w:rsid w:val="00D82C18"/>
    <w:rsid w:val="00D956F9"/>
    <w:rsid w:val="00DA218F"/>
    <w:rsid w:val="00DA57E9"/>
    <w:rsid w:val="00DB35F9"/>
    <w:rsid w:val="00DB74F6"/>
    <w:rsid w:val="00DC0EF5"/>
    <w:rsid w:val="00DE22E9"/>
    <w:rsid w:val="00DF1A08"/>
    <w:rsid w:val="00DF645B"/>
    <w:rsid w:val="00E027F1"/>
    <w:rsid w:val="00E032C7"/>
    <w:rsid w:val="00E112AD"/>
    <w:rsid w:val="00E431D6"/>
    <w:rsid w:val="00E5330D"/>
    <w:rsid w:val="00E535D9"/>
    <w:rsid w:val="00E61AB1"/>
    <w:rsid w:val="00E73B56"/>
    <w:rsid w:val="00E771A0"/>
    <w:rsid w:val="00E9273B"/>
    <w:rsid w:val="00EB2941"/>
    <w:rsid w:val="00EB384F"/>
    <w:rsid w:val="00ED61A8"/>
    <w:rsid w:val="00ED65A0"/>
    <w:rsid w:val="00EE5649"/>
    <w:rsid w:val="00EF12DF"/>
    <w:rsid w:val="00EF798E"/>
    <w:rsid w:val="00F0043C"/>
    <w:rsid w:val="00F123C2"/>
    <w:rsid w:val="00F155D1"/>
    <w:rsid w:val="00F179F1"/>
    <w:rsid w:val="00F25968"/>
    <w:rsid w:val="00F303D0"/>
    <w:rsid w:val="00F30D37"/>
    <w:rsid w:val="00F46241"/>
    <w:rsid w:val="00F47D46"/>
    <w:rsid w:val="00F50A5A"/>
    <w:rsid w:val="00F71F47"/>
    <w:rsid w:val="00F7630F"/>
    <w:rsid w:val="00F85449"/>
    <w:rsid w:val="00F87EC6"/>
    <w:rsid w:val="00F926F0"/>
    <w:rsid w:val="00F92E49"/>
    <w:rsid w:val="00F953B4"/>
    <w:rsid w:val="00FB7104"/>
    <w:rsid w:val="00FB7284"/>
    <w:rsid w:val="00FC0F66"/>
    <w:rsid w:val="00FE1D3E"/>
    <w:rsid w:val="00FF51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AutoShape 11"/>
        <o:r id="V:Rule4"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0"/>
    <w:lsdException w:name="footer" w:uiPriority="0"/>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EF798E"/>
  </w:style>
  <w:style w:type="paragraph" w:styleId="Heading1">
    <w:name w:val="heading 1"/>
    <w:next w:val="BodyParagraph"/>
    <w:link w:val="Heading1Char"/>
    <w:uiPriority w:val="99"/>
    <w:qFormat/>
    <w:rsid w:val="00344C3B"/>
    <w:pPr>
      <w:keepNext/>
      <w:numPr>
        <w:numId w:val="3"/>
      </w:numPr>
      <w:spacing w:after="120" w:line="240" w:lineRule="auto"/>
      <w:outlineLvl w:val="0"/>
    </w:pPr>
    <w:rPr>
      <w:rFonts w:ascii="Arial Black" w:eastAsia="Times New Roman" w:hAnsi="Arial Black" w:cs="Times New Roman"/>
      <w:b/>
      <w:color w:val="433B67"/>
      <w:sz w:val="28"/>
      <w:szCs w:val="28"/>
    </w:rPr>
  </w:style>
  <w:style w:type="paragraph" w:styleId="Heading2">
    <w:name w:val="heading 2"/>
    <w:basedOn w:val="Heading1"/>
    <w:next w:val="BodyParagraph"/>
    <w:link w:val="Heading2Char"/>
    <w:uiPriority w:val="99"/>
    <w:unhideWhenUsed/>
    <w:qFormat/>
    <w:rsid w:val="00344C3B"/>
    <w:pPr>
      <w:numPr>
        <w:ilvl w:val="1"/>
      </w:numPr>
      <w:ind w:left="540" w:hanging="540"/>
      <w:outlineLvl w:val="1"/>
    </w:pPr>
    <w:rPr>
      <w:rFonts w:ascii="Arial" w:eastAsiaTheme="majorEastAsia" w:hAnsi="Arial" w:cstheme="majorBidi"/>
      <w:bCs/>
      <w:sz w:val="26"/>
      <w:szCs w:val="26"/>
    </w:rPr>
  </w:style>
  <w:style w:type="paragraph" w:styleId="Heading3">
    <w:name w:val="heading 3"/>
    <w:basedOn w:val="Heading2"/>
    <w:next w:val="BodyParagraph"/>
    <w:link w:val="Heading3Char"/>
    <w:uiPriority w:val="99"/>
    <w:unhideWhenUsed/>
    <w:qFormat/>
    <w:rsid w:val="007C29F6"/>
    <w:pPr>
      <w:keepLines/>
      <w:numPr>
        <w:ilvl w:val="2"/>
      </w:numPr>
      <w:ind w:left="1080"/>
      <w:outlineLvl w:val="2"/>
    </w:pPr>
    <w:rPr>
      <w:bCs w:val="0"/>
    </w:rPr>
  </w:style>
  <w:style w:type="paragraph" w:styleId="Heading4">
    <w:name w:val="heading 4"/>
    <w:basedOn w:val="Normal"/>
    <w:next w:val="BodyParagraph"/>
    <w:link w:val="Heading4Char"/>
    <w:uiPriority w:val="99"/>
    <w:unhideWhenUsed/>
    <w:qFormat/>
    <w:rsid w:val="00344C3B"/>
    <w:pPr>
      <w:keepNext/>
      <w:keepLines/>
      <w:spacing w:before="200" w:after="0"/>
      <w:ind w:left="360"/>
      <w:outlineLvl w:val="3"/>
    </w:pPr>
    <w:rPr>
      <w:rFonts w:ascii="Arial" w:eastAsiaTheme="majorEastAsia" w:hAnsi="Arial" w:cs="Arial"/>
      <w:b/>
      <w:bCs/>
      <w:i/>
      <w:iCs/>
      <w:color w:val="433B67"/>
      <w:sz w:val="24"/>
    </w:rPr>
  </w:style>
  <w:style w:type="paragraph" w:styleId="Heading5">
    <w:name w:val="heading 5"/>
    <w:basedOn w:val="Normal"/>
    <w:next w:val="Normal"/>
    <w:link w:val="Heading5Char"/>
    <w:uiPriority w:val="99"/>
    <w:unhideWhenUsed/>
    <w:qFormat/>
    <w:rsid w:val="0046277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unhideWhenUsed/>
    <w:qFormat/>
    <w:rsid w:val="0046277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46277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46277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46277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A6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A6B02"/>
    <w:rPr>
      <w:rFonts w:ascii="Tahoma" w:hAnsi="Tahoma" w:cs="Tahoma"/>
      <w:sz w:val="16"/>
      <w:szCs w:val="16"/>
    </w:rPr>
  </w:style>
  <w:style w:type="paragraph" w:customStyle="1" w:styleId="TitleHeader">
    <w:name w:val="Title Header"/>
    <w:uiPriority w:val="99"/>
    <w:qFormat/>
    <w:rsid w:val="002A6B02"/>
    <w:pPr>
      <w:spacing w:after="120" w:line="240" w:lineRule="auto"/>
    </w:pPr>
    <w:rPr>
      <w:rFonts w:ascii="Arial" w:eastAsia="Times New Roman" w:hAnsi="Arial" w:cs="Arial"/>
      <w:b/>
      <w:i/>
      <w:color w:val="FFFFFF"/>
      <w:sz w:val="24"/>
      <w:szCs w:val="24"/>
    </w:rPr>
  </w:style>
  <w:style w:type="paragraph" w:customStyle="1" w:styleId="TitleProposal">
    <w:name w:val="Title Proposal"/>
    <w:uiPriority w:val="99"/>
    <w:qFormat/>
    <w:rsid w:val="00305437"/>
    <w:pPr>
      <w:spacing w:after="400" w:line="240" w:lineRule="auto"/>
    </w:pPr>
    <w:rPr>
      <w:rFonts w:ascii="Arial" w:eastAsia="Times New Roman" w:hAnsi="Arial" w:cs="Arial"/>
      <w:b/>
      <w:color w:val="FFFFFF"/>
      <w:sz w:val="28"/>
      <w:szCs w:val="28"/>
    </w:rPr>
  </w:style>
  <w:style w:type="paragraph" w:customStyle="1" w:styleId="TitleAddress">
    <w:name w:val="Title Address"/>
    <w:uiPriority w:val="99"/>
    <w:qFormat/>
    <w:rsid w:val="00305437"/>
    <w:pPr>
      <w:tabs>
        <w:tab w:val="left" w:pos="3960"/>
      </w:tabs>
      <w:spacing w:after="400" w:line="240" w:lineRule="auto"/>
    </w:pPr>
    <w:rPr>
      <w:rFonts w:ascii="Arial" w:eastAsia="Times New Roman" w:hAnsi="Arial" w:cs="Arial"/>
      <w:b/>
      <w:color w:val="FFFFFF"/>
    </w:rPr>
  </w:style>
  <w:style w:type="paragraph" w:styleId="Footer">
    <w:name w:val="footer"/>
    <w:basedOn w:val="Normal"/>
    <w:link w:val="FooterChar"/>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rsid w:val="002A6B02"/>
    <w:rPr>
      <w:rFonts w:ascii="Arial" w:eastAsia="Times New Roman" w:hAnsi="Arial" w:cs="Times New Roman"/>
      <w:szCs w:val="24"/>
    </w:rPr>
  </w:style>
  <w:style w:type="character" w:styleId="PageNumber">
    <w:name w:val="page number"/>
    <w:basedOn w:val="DefaultParagraphFont"/>
    <w:rsid w:val="002A6B02"/>
  </w:style>
  <w:style w:type="paragraph" w:styleId="Header">
    <w:name w:val="header"/>
    <w:basedOn w:val="Normal"/>
    <w:link w:val="HeaderChar"/>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2A6B02"/>
    <w:rPr>
      <w:rFonts w:ascii="Arial" w:eastAsia="Times New Roman" w:hAnsi="Arial" w:cs="Times New Roman"/>
      <w:szCs w:val="24"/>
    </w:rPr>
  </w:style>
  <w:style w:type="paragraph" w:customStyle="1" w:styleId="PreparedFor">
    <w:name w:val="Prepared For"/>
    <w:uiPriority w:val="99"/>
    <w:rsid w:val="00305437"/>
    <w:pPr>
      <w:spacing w:before="400" w:after="120" w:line="240" w:lineRule="auto"/>
      <w:jc w:val="right"/>
    </w:pPr>
    <w:rPr>
      <w:rFonts w:ascii="Arial" w:eastAsia="Times New Roman" w:hAnsi="Arial" w:cs="Times New Roman"/>
      <w:i/>
      <w:szCs w:val="20"/>
    </w:rPr>
  </w:style>
  <w:style w:type="paragraph" w:customStyle="1" w:styleId="PreparedForCompany">
    <w:name w:val="Prepared For Company"/>
    <w:basedOn w:val="Normal"/>
    <w:qFormat/>
    <w:rsid w:val="00305437"/>
    <w:pPr>
      <w:spacing w:after="0" w:line="240" w:lineRule="auto"/>
      <w:jc w:val="right"/>
    </w:pPr>
    <w:rPr>
      <w:rFonts w:ascii="Arial" w:eastAsia="Times New Roman" w:hAnsi="Arial" w:cs="Times New Roman"/>
      <w:szCs w:val="24"/>
    </w:rPr>
  </w:style>
  <w:style w:type="character" w:customStyle="1" w:styleId="Heading1Char">
    <w:name w:val="Heading 1 Char"/>
    <w:basedOn w:val="DefaultParagraphFont"/>
    <w:link w:val="Heading1"/>
    <w:uiPriority w:val="99"/>
    <w:rsid w:val="003D68A0"/>
    <w:rPr>
      <w:rFonts w:ascii="Arial Black" w:eastAsia="Times New Roman" w:hAnsi="Arial Black" w:cs="Times New Roman"/>
      <w:b/>
      <w:color w:val="433B67"/>
      <w:sz w:val="28"/>
      <w:szCs w:val="28"/>
    </w:rPr>
  </w:style>
  <w:style w:type="paragraph" w:styleId="TOCHeading">
    <w:name w:val="TOC Heading"/>
    <w:basedOn w:val="Heading1"/>
    <w:next w:val="Normal"/>
    <w:uiPriority w:val="99"/>
    <w:unhideWhenUsed/>
    <w:qFormat/>
    <w:rsid w:val="00F179F1"/>
    <w:pPr>
      <w:spacing w:before="480" w:after="0" w:line="276"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C33F08"/>
    <w:pPr>
      <w:tabs>
        <w:tab w:val="left" w:pos="270"/>
        <w:tab w:val="right" w:leader="dot" w:pos="8460"/>
      </w:tabs>
      <w:spacing w:after="100"/>
    </w:pPr>
    <w:rPr>
      <w:rFonts w:ascii="Arial" w:hAnsi="Arial" w:cs="Arial"/>
      <w:noProof/>
      <w:sz w:val="24"/>
      <w:szCs w:val="24"/>
    </w:rPr>
  </w:style>
  <w:style w:type="character" w:styleId="Hyperlink">
    <w:name w:val="Hyperlink"/>
    <w:basedOn w:val="DefaultParagraphFont"/>
    <w:uiPriority w:val="99"/>
    <w:unhideWhenUsed/>
    <w:rsid w:val="001C1F7B"/>
    <w:rPr>
      <w:color w:val="0000FF" w:themeColor="hyperlink"/>
    </w:rPr>
  </w:style>
  <w:style w:type="paragraph" w:customStyle="1" w:styleId="TableofContents">
    <w:name w:val="Table of Contents"/>
    <w:uiPriority w:val="99"/>
    <w:qFormat/>
    <w:rsid w:val="00AB380F"/>
    <w:pPr>
      <w:ind w:left="720"/>
    </w:pPr>
    <w:rPr>
      <w:rFonts w:ascii="TitilliumText22L Rg" w:eastAsia="Times New Roman" w:hAnsi="TitilliumText22L Rg" w:cs="Times New Roman"/>
      <w:b/>
      <w:color w:val="5F497A" w:themeColor="accent4" w:themeShade="BF"/>
      <w:sz w:val="28"/>
      <w:szCs w:val="24"/>
    </w:rPr>
  </w:style>
  <w:style w:type="character" w:customStyle="1" w:styleId="Heading2Char">
    <w:name w:val="Heading 2 Char"/>
    <w:basedOn w:val="DefaultParagraphFont"/>
    <w:link w:val="Heading2"/>
    <w:uiPriority w:val="99"/>
    <w:rsid w:val="007C29F6"/>
    <w:rPr>
      <w:rFonts w:ascii="Arial" w:eastAsiaTheme="majorEastAsia" w:hAnsi="Arial" w:cstheme="majorBidi"/>
      <w:b/>
      <w:bCs/>
      <w:color w:val="433B67"/>
      <w:sz w:val="26"/>
      <w:szCs w:val="26"/>
    </w:rPr>
  </w:style>
  <w:style w:type="paragraph" w:styleId="TOC2">
    <w:name w:val="toc 2"/>
    <w:basedOn w:val="Normal"/>
    <w:next w:val="Normal"/>
    <w:autoRedefine/>
    <w:uiPriority w:val="39"/>
    <w:unhideWhenUsed/>
    <w:rsid w:val="001C1F7B"/>
    <w:pPr>
      <w:tabs>
        <w:tab w:val="left" w:pos="720"/>
        <w:tab w:val="right" w:leader="dot" w:pos="8460"/>
      </w:tabs>
      <w:spacing w:after="100"/>
      <w:ind w:left="220"/>
    </w:pPr>
    <w:rPr>
      <w:rFonts w:ascii="Arial" w:hAnsi="Arial" w:cs="Arial"/>
      <w:noProof/>
      <w:sz w:val="24"/>
      <w:szCs w:val="24"/>
    </w:rPr>
  </w:style>
  <w:style w:type="character" w:customStyle="1" w:styleId="Heading3Char">
    <w:name w:val="Heading 3 Char"/>
    <w:basedOn w:val="DefaultParagraphFont"/>
    <w:link w:val="Heading3"/>
    <w:uiPriority w:val="99"/>
    <w:rsid w:val="007C29F6"/>
    <w:rPr>
      <w:rFonts w:ascii="Arial" w:eastAsiaTheme="majorEastAsia" w:hAnsi="Arial" w:cstheme="majorBidi"/>
      <w:b/>
      <w:color w:val="5F497A" w:themeColor="accent4" w:themeShade="BF"/>
      <w:sz w:val="26"/>
      <w:szCs w:val="26"/>
    </w:rPr>
  </w:style>
  <w:style w:type="paragraph" w:styleId="TOC3">
    <w:name w:val="toc 3"/>
    <w:basedOn w:val="Normal"/>
    <w:next w:val="Normal"/>
    <w:autoRedefine/>
    <w:uiPriority w:val="39"/>
    <w:unhideWhenUsed/>
    <w:rsid w:val="002842C9"/>
    <w:pPr>
      <w:tabs>
        <w:tab w:val="left" w:pos="1260"/>
        <w:tab w:val="right" w:leader="dot" w:pos="8460"/>
      </w:tabs>
      <w:spacing w:after="100"/>
      <w:ind w:left="440"/>
    </w:pPr>
    <w:rPr>
      <w:rFonts w:ascii="Arial" w:hAnsi="Arial" w:cs="Arial"/>
      <w:noProof/>
      <w:sz w:val="24"/>
      <w:szCs w:val="24"/>
    </w:rPr>
  </w:style>
  <w:style w:type="paragraph" w:customStyle="1" w:styleId="BodyParagraph">
    <w:name w:val="Body Paragraph"/>
    <w:link w:val="BodyParagraphChar"/>
    <w:uiPriority w:val="99"/>
    <w:qFormat/>
    <w:rsid w:val="00AB380F"/>
    <w:pPr>
      <w:spacing w:after="240" w:line="312" w:lineRule="auto"/>
    </w:pPr>
    <w:rPr>
      <w:rFonts w:ascii="Verdana" w:eastAsiaTheme="minorHAnsi" w:hAnsi="Verdana"/>
      <w:sz w:val="18"/>
    </w:rPr>
  </w:style>
  <w:style w:type="paragraph" w:customStyle="1" w:styleId="BodyBeforeBullet">
    <w:name w:val="Body Before Bullet"/>
    <w:basedOn w:val="BodyParagraph"/>
    <w:next w:val="Bullets"/>
    <w:qFormat/>
    <w:rsid w:val="00393B5B"/>
    <w:pPr>
      <w:keepNext/>
      <w:spacing w:after="60"/>
    </w:pPr>
  </w:style>
  <w:style w:type="paragraph" w:customStyle="1" w:styleId="Bullets">
    <w:name w:val="Bullets"/>
    <w:basedOn w:val="Normal"/>
    <w:qFormat/>
    <w:rsid w:val="00AB380F"/>
    <w:pPr>
      <w:numPr>
        <w:numId w:val="1"/>
      </w:numPr>
      <w:spacing w:after="120" w:line="240" w:lineRule="auto"/>
    </w:pPr>
    <w:rPr>
      <w:rFonts w:ascii="Verdana" w:eastAsia="Times New Roman" w:hAnsi="Verdana" w:cs="Arial"/>
      <w:sz w:val="18"/>
      <w:szCs w:val="21"/>
    </w:rPr>
  </w:style>
  <w:style w:type="paragraph" w:customStyle="1" w:styleId="BulletLast">
    <w:name w:val="Bullet Last"/>
    <w:basedOn w:val="Bullets"/>
    <w:next w:val="BodyParagraph"/>
    <w:qFormat/>
    <w:rsid w:val="001B352B"/>
    <w:pPr>
      <w:spacing w:after="360"/>
    </w:pPr>
  </w:style>
  <w:style w:type="paragraph" w:styleId="FootnoteText">
    <w:name w:val="footnote text"/>
    <w:aliases w:val="Footnote Text1 Char,Footnote Text Char Ch"/>
    <w:basedOn w:val="Normal"/>
    <w:link w:val="FootnoteTextChar"/>
    <w:uiPriority w:val="99"/>
    <w:unhideWhenUsed/>
    <w:rsid w:val="001B352B"/>
    <w:pPr>
      <w:spacing w:after="0" w:line="240" w:lineRule="auto"/>
    </w:pPr>
    <w:rPr>
      <w:sz w:val="20"/>
      <w:szCs w:val="20"/>
    </w:rPr>
  </w:style>
  <w:style w:type="character" w:customStyle="1" w:styleId="FootnoteTextChar">
    <w:name w:val="Footnote Text Char"/>
    <w:aliases w:val="Footnote Text1 Char Char,Footnote Text Char Ch Char"/>
    <w:basedOn w:val="DefaultParagraphFont"/>
    <w:link w:val="FootnoteText"/>
    <w:uiPriority w:val="99"/>
    <w:rsid w:val="001B352B"/>
    <w:rPr>
      <w:sz w:val="20"/>
      <w:szCs w:val="20"/>
    </w:rPr>
  </w:style>
  <w:style w:type="character" w:styleId="FootnoteReference">
    <w:name w:val="footnote reference"/>
    <w:basedOn w:val="DefaultParagraphFont"/>
    <w:uiPriority w:val="99"/>
    <w:unhideWhenUsed/>
    <w:rsid w:val="001B352B"/>
    <w:rPr>
      <w:vertAlign w:val="superscript"/>
    </w:rPr>
  </w:style>
  <w:style w:type="paragraph" w:customStyle="1" w:styleId="Footnote">
    <w:name w:val="Footnote"/>
    <w:basedOn w:val="FootnoteText"/>
    <w:qFormat/>
    <w:rsid w:val="001B352B"/>
    <w:pPr>
      <w:spacing w:after="120"/>
    </w:pPr>
    <w:rPr>
      <w:rFonts w:ascii="Franklin Gothic Book" w:hAnsi="Franklin Gothic Book"/>
      <w:sz w:val="18"/>
    </w:rPr>
  </w:style>
  <w:style w:type="paragraph" w:customStyle="1" w:styleId="TableFigureCaption">
    <w:name w:val="Table Figure Caption"/>
    <w:basedOn w:val="Normal"/>
    <w:next w:val="BodyParaAfterTableFigure"/>
    <w:qFormat/>
    <w:rsid w:val="002436C1"/>
    <w:pPr>
      <w:keepNext/>
      <w:spacing w:after="120" w:line="240" w:lineRule="auto"/>
      <w:jc w:val="center"/>
    </w:pPr>
    <w:rPr>
      <w:rFonts w:ascii="Arial" w:eastAsiaTheme="minorHAnsi" w:hAnsi="Arial"/>
      <w:b/>
      <w:sz w:val="20"/>
    </w:rPr>
  </w:style>
  <w:style w:type="table" w:styleId="TableGrid">
    <w:name w:val="Table Grid"/>
    <w:basedOn w:val="TableNormal"/>
    <w:uiPriority w:val="99"/>
    <w:rsid w:val="001B35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er">
    <w:name w:val="Table Header"/>
    <w:qFormat/>
    <w:rsid w:val="00C66141"/>
    <w:pPr>
      <w:spacing w:before="100" w:after="100" w:line="240" w:lineRule="auto"/>
      <w:jc w:val="center"/>
    </w:pPr>
    <w:rPr>
      <w:rFonts w:ascii="Arial" w:eastAsiaTheme="minorHAnsi" w:hAnsi="Arial"/>
      <w:color w:val="FFFFFF" w:themeColor="background1"/>
      <w:sz w:val="20"/>
    </w:rPr>
  </w:style>
  <w:style w:type="paragraph" w:customStyle="1" w:styleId="TableText">
    <w:name w:val="Table Text"/>
    <w:qFormat/>
    <w:rsid w:val="00C66141"/>
    <w:pPr>
      <w:spacing w:before="60" w:after="60" w:line="240" w:lineRule="auto"/>
      <w:jc w:val="center"/>
    </w:pPr>
    <w:rPr>
      <w:rFonts w:ascii="Arial" w:eastAsiaTheme="minorHAnsi" w:hAnsi="Arial"/>
      <w:sz w:val="18"/>
    </w:rPr>
  </w:style>
  <w:style w:type="paragraph" w:customStyle="1" w:styleId="BodyParaAfterTableFigure">
    <w:name w:val="Body Para After Table Figure"/>
    <w:basedOn w:val="BodyParagraph"/>
    <w:next w:val="BodyParagraph"/>
    <w:qFormat/>
    <w:rsid w:val="00B50663"/>
    <w:pPr>
      <w:spacing w:before="360"/>
    </w:pPr>
  </w:style>
  <w:style w:type="paragraph" w:customStyle="1" w:styleId="AppendixHeading">
    <w:name w:val="Appendix Heading"/>
    <w:basedOn w:val="Heading1"/>
    <w:next w:val="BodyParagraph"/>
    <w:qFormat/>
    <w:rsid w:val="003D68A0"/>
    <w:pPr>
      <w:numPr>
        <w:numId w:val="2"/>
      </w:numPr>
    </w:pPr>
  </w:style>
  <w:style w:type="character" w:customStyle="1" w:styleId="Heading4Char">
    <w:name w:val="Heading 4 Char"/>
    <w:basedOn w:val="DefaultParagraphFont"/>
    <w:link w:val="Heading4"/>
    <w:uiPriority w:val="99"/>
    <w:rsid w:val="00192CF8"/>
    <w:rPr>
      <w:rFonts w:ascii="Arial" w:eastAsiaTheme="majorEastAsia" w:hAnsi="Arial" w:cs="Arial"/>
      <w:b/>
      <w:bCs/>
      <w:i/>
      <w:iCs/>
      <w:color w:val="433B67"/>
      <w:sz w:val="24"/>
    </w:rPr>
  </w:style>
  <w:style w:type="character" w:customStyle="1" w:styleId="Heading5Char">
    <w:name w:val="Heading 5 Char"/>
    <w:basedOn w:val="DefaultParagraphFont"/>
    <w:link w:val="Heading5"/>
    <w:uiPriority w:val="99"/>
    <w:rsid w:val="004627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9"/>
    <w:rsid w:val="004627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4627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4627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46277A"/>
    <w:rPr>
      <w:rFonts w:asciiTheme="majorHAnsi" w:eastAsiaTheme="majorEastAsia" w:hAnsiTheme="majorHAnsi" w:cstheme="majorBidi"/>
      <w:i/>
      <w:iCs/>
      <w:color w:val="404040" w:themeColor="text1" w:themeTint="BF"/>
      <w:sz w:val="20"/>
      <w:szCs w:val="20"/>
    </w:rPr>
  </w:style>
  <w:style w:type="paragraph" w:customStyle="1" w:styleId="AppendixHeading2">
    <w:name w:val="Appendix Heading 2"/>
    <w:basedOn w:val="Normal"/>
    <w:next w:val="BodyParagraph"/>
    <w:qFormat/>
    <w:rsid w:val="002842C9"/>
    <w:pPr>
      <w:keepNext/>
      <w:numPr>
        <w:ilvl w:val="1"/>
        <w:numId w:val="2"/>
      </w:numPr>
      <w:spacing w:after="60" w:line="240" w:lineRule="auto"/>
      <w:ind w:left="540" w:hanging="540"/>
    </w:pPr>
    <w:rPr>
      <w:rFonts w:ascii="TitilliumText22L Rg" w:eastAsiaTheme="minorHAnsi" w:hAnsi="TitilliumText22L Rg"/>
      <w:b/>
      <w:color w:val="433B67"/>
      <w:sz w:val="26"/>
    </w:rPr>
  </w:style>
  <w:style w:type="paragraph" w:customStyle="1" w:styleId="AppendixHeading3">
    <w:name w:val="Appendix Heading 3"/>
    <w:basedOn w:val="Normal"/>
    <w:next w:val="BodyParagraph"/>
    <w:qFormat/>
    <w:rsid w:val="002842C9"/>
    <w:pPr>
      <w:numPr>
        <w:ilvl w:val="2"/>
        <w:numId w:val="2"/>
      </w:numPr>
      <w:spacing w:after="120" w:line="240" w:lineRule="auto"/>
      <w:ind w:left="720" w:hanging="720"/>
    </w:pPr>
    <w:rPr>
      <w:rFonts w:ascii="TitilliumText22L Rg" w:eastAsiaTheme="minorHAnsi" w:hAnsi="TitilliumText22L Rg"/>
      <w:b/>
      <w:color w:val="433B67"/>
      <w:sz w:val="24"/>
    </w:rPr>
  </w:style>
  <w:style w:type="paragraph" w:customStyle="1" w:styleId="AppendixHeading4">
    <w:name w:val="Appendix Heading 4"/>
    <w:basedOn w:val="BodyParagraph"/>
    <w:next w:val="BodyParagraph"/>
    <w:uiPriority w:val="99"/>
    <w:qFormat/>
    <w:rsid w:val="00AB380F"/>
    <w:pPr>
      <w:keepNext/>
      <w:spacing w:after="60" w:line="240" w:lineRule="auto"/>
      <w:ind w:firstLine="360"/>
    </w:pPr>
    <w:rPr>
      <w:rFonts w:ascii="TitilliumText22L Rg" w:hAnsi="TitilliumText22L Rg"/>
      <w:b/>
      <w:i/>
      <w:color w:val="433B67"/>
      <w:sz w:val="24"/>
    </w:rPr>
  </w:style>
  <w:style w:type="paragraph" w:styleId="TOC4">
    <w:name w:val="toc 4"/>
    <w:basedOn w:val="Normal"/>
    <w:next w:val="Normal"/>
    <w:autoRedefine/>
    <w:uiPriority w:val="99"/>
    <w:unhideWhenUsed/>
    <w:rsid w:val="001C1F7B"/>
    <w:pPr>
      <w:tabs>
        <w:tab w:val="left" w:pos="1530"/>
        <w:tab w:val="right" w:leader="dot" w:pos="8460"/>
      </w:tabs>
      <w:spacing w:after="100"/>
      <w:ind w:left="660"/>
    </w:pPr>
    <w:rPr>
      <w:rFonts w:ascii="Arial" w:hAnsi="Arial" w:cs="Arial"/>
      <w:noProof/>
      <w:sz w:val="24"/>
      <w:szCs w:val="24"/>
    </w:rPr>
  </w:style>
  <w:style w:type="numbering" w:customStyle="1" w:styleId="Numbered">
    <w:name w:val="Numbered"/>
    <w:basedOn w:val="NoList"/>
    <w:rsid w:val="00137F86"/>
    <w:pPr>
      <w:numPr>
        <w:numId w:val="4"/>
      </w:numPr>
    </w:pPr>
  </w:style>
  <w:style w:type="numbering" w:customStyle="1" w:styleId="NumberedSteps">
    <w:name w:val="Numbered Steps"/>
    <w:basedOn w:val="NoList"/>
    <w:rsid w:val="00137F86"/>
    <w:pPr>
      <w:numPr>
        <w:numId w:val="5"/>
      </w:numPr>
    </w:pPr>
  </w:style>
  <w:style w:type="paragraph" w:customStyle="1" w:styleId="Numbers">
    <w:name w:val="Numbers"/>
    <w:uiPriority w:val="99"/>
    <w:qFormat/>
    <w:rsid w:val="003D68A0"/>
    <w:pPr>
      <w:numPr>
        <w:numId w:val="6"/>
      </w:numPr>
      <w:spacing w:after="120" w:line="240" w:lineRule="auto"/>
    </w:pPr>
    <w:rPr>
      <w:rFonts w:ascii="Arial" w:eastAsia="Times New Roman" w:hAnsi="Arial" w:cs="Times New Roman"/>
      <w:sz w:val="20"/>
      <w:szCs w:val="28"/>
    </w:rPr>
  </w:style>
  <w:style w:type="paragraph" w:customStyle="1" w:styleId="NumbersLast">
    <w:name w:val="Numbers Last"/>
    <w:basedOn w:val="Numbers"/>
    <w:next w:val="BodyParagraph"/>
    <w:uiPriority w:val="99"/>
    <w:rsid w:val="007715BA"/>
    <w:pPr>
      <w:numPr>
        <w:numId w:val="7"/>
      </w:numPr>
      <w:spacing w:after="360"/>
    </w:pPr>
  </w:style>
  <w:style w:type="paragraph" w:customStyle="1" w:styleId="LetterDate">
    <w:name w:val="Letter Date"/>
    <w:next w:val="LetterAddressee"/>
    <w:uiPriority w:val="99"/>
    <w:qFormat/>
    <w:rsid w:val="00EB2941"/>
    <w:pPr>
      <w:spacing w:before="2000" w:line="240" w:lineRule="auto"/>
    </w:pPr>
    <w:rPr>
      <w:rFonts w:ascii="Arial" w:hAnsi="Arial"/>
    </w:rPr>
  </w:style>
  <w:style w:type="paragraph" w:customStyle="1" w:styleId="LetterAddressee">
    <w:name w:val="Letter Addressee"/>
    <w:next w:val="LetterSalutation"/>
    <w:uiPriority w:val="99"/>
    <w:qFormat/>
    <w:rsid w:val="00EB2941"/>
    <w:pPr>
      <w:spacing w:after="0" w:line="240" w:lineRule="auto"/>
    </w:pPr>
    <w:rPr>
      <w:rFonts w:ascii="Arial" w:hAnsi="Arial"/>
    </w:rPr>
  </w:style>
  <w:style w:type="paragraph" w:customStyle="1" w:styleId="LetterSalutation">
    <w:name w:val="Letter Salutation"/>
    <w:next w:val="BodyParagraph"/>
    <w:uiPriority w:val="99"/>
    <w:qFormat/>
    <w:rsid w:val="00EB2941"/>
    <w:pPr>
      <w:spacing w:before="400" w:line="240" w:lineRule="auto"/>
    </w:pPr>
    <w:rPr>
      <w:rFonts w:ascii="Arial" w:hAnsi="Arial"/>
    </w:rPr>
  </w:style>
  <w:style w:type="paragraph" w:customStyle="1" w:styleId="LetterClosing">
    <w:name w:val="Letter Closing"/>
    <w:uiPriority w:val="99"/>
    <w:qFormat/>
    <w:rsid w:val="00EB2941"/>
    <w:pPr>
      <w:spacing w:after="1000" w:line="240" w:lineRule="auto"/>
    </w:pPr>
    <w:rPr>
      <w:rFonts w:ascii="Arial" w:hAnsi="Arial"/>
    </w:rPr>
  </w:style>
  <w:style w:type="character" w:styleId="CommentReference">
    <w:name w:val="annotation reference"/>
    <w:basedOn w:val="DefaultParagraphFont"/>
    <w:uiPriority w:val="99"/>
    <w:semiHidden/>
    <w:unhideWhenUsed/>
    <w:rsid w:val="00116D21"/>
    <w:rPr>
      <w:sz w:val="16"/>
      <w:szCs w:val="16"/>
    </w:rPr>
  </w:style>
  <w:style w:type="paragraph" w:styleId="CommentText">
    <w:name w:val="annotation text"/>
    <w:basedOn w:val="Normal"/>
    <w:link w:val="CommentTextChar"/>
    <w:uiPriority w:val="99"/>
    <w:semiHidden/>
    <w:unhideWhenUsed/>
    <w:rsid w:val="00116D21"/>
    <w:pPr>
      <w:spacing w:line="240" w:lineRule="auto"/>
    </w:pPr>
    <w:rPr>
      <w:sz w:val="20"/>
      <w:szCs w:val="20"/>
    </w:rPr>
  </w:style>
  <w:style w:type="character" w:customStyle="1" w:styleId="CommentTextChar">
    <w:name w:val="Comment Text Char"/>
    <w:basedOn w:val="DefaultParagraphFont"/>
    <w:link w:val="CommentText"/>
    <w:uiPriority w:val="99"/>
    <w:semiHidden/>
    <w:rsid w:val="00116D2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16D21"/>
    <w:rPr>
      <w:b/>
      <w:bCs/>
    </w:rPr>
  </w:style>
  <w:style w:type="character" w:customStyle="1" w:styleId="CommentSubjectChar">
    <w:name w:val="Comment Subject Char"/>
    <w:basedOn w:val="CommentTextChar"/>
    <w:link w:val="CommentSubject"/>
    <w:uiPriority w:val="99"/>
    <w:semiHidden/>
    <w:rsid w:val="00116D21"/>
    <w:rPr>
      <w:rFonts w:eastAsiaTheme="minorEastAsia"/>
      <w:b/>
      <w:bCs/>
      <w:sz w:val="20"/>
      <w:szCs w:val="20"/>
    </w:rPr>
  </w:style>
  <w:style w:type="character" w:styleId="PlaceholderText">
    <w:name w:val="Placeholder Text"/>
    <w:basedOn w:val="DefaultParagraphFont"/>
    <w:uiPriority w:val="99"/>
    <w:semiHidden/>
    <w:rsid w:val="00116D21"/>
    <w:rPr>
      <w:color w:val="808080"/>
    </w:rPr>
  </w:style>
  <w:style w:type="character" w:customStyle="1" w:styleId="BodyParagraphChar">
    <w:name w:val="Body Paragraph Char"/>
    <w:basedOn w:val="DefaultParagraphFont"/>
    <w:link w:val="BodyParagraph"/>
    <w:uiPriority w:val="99"/>
    <w:rsid w:val="00116D21"/>
    <w:rPr>
      <w:rFonts w:ascii="Verdana" w:eastAsiaTheme="minorHAnsi" w:hAnsi="Verdana"/>
      <w:sz w:val="18"/>
    </w:rPr>
  </w:style>
  <w:style w:type="numbering" w:customStyle="1" w:styleId="Numbered1">
    <w:name w:val="Numbered1"/>
    <w:basedOn w:val="NoList"/>
    <w:uiPriority w:val="99"/>
    <w:rsid w:val="00116D21"/>
  </w:style>
  <w:style w:type="paragraph" w:customStyle="1" w:styleId="Default">
    <w:name w:val="Default"/>
    <w:rsid w:val="00116D21"/>
    <w:pPr>
      <w:autoSpaceDE w:val="0"/>
      <w:autoSpaceDN w:val="0"/>
      <w:adjustRightInd w:val="0"/>
      <w:spacing w:after="0" w:line="240" w:lineRule="auto"/>
    </w:pPr>
    <w:rPr>
      <w:rFonts w:ascii="Book Antiqua" w:hAnsi="Book Antiqua" w:cs="Book Antiqua"/>
      <w:color w:val="000000"/>
      <w:sz w:val="24"/>
      <w:szCs w:val="24"/>
    </w:rPr>
  </w:style>
  <w:style w:type="paragraph" w:styleId="ListParagraph">
    <w:name w:val="List Paragraph"/>
    <w:basedOn w:val="Normal"/>
    <w:uiPriority w:val="99"/>
    <w:qFormat/>
    <w:rsid w:val="00116D21"/>
    <w:pPr>
      <w:spacing w:after="120" w:line="240" w:lineRule="auto"/>
      <w:ind w:left="720" w:hanging="360"/>
      <w:contextualSpacing/>
    </w:pPr>
    <w:rPr>
      <w:rFonts w:ascii="Calibri" w:eastAsia="Calibri" w:hAnsi="Calibri" w:cs="Times New Roman"/>
    </w:rPr>
  </w:style>
  <w:style w:type="paragraph" w:customStyle="1" w:styleId="Bullet">
    <w:name w:val="Bullet"/>
    <w:basedOn w:val="Normal"/>
    <w:uiPriority w:val="99"/>
    <w:rsid w:val="00116D21"/>
    <w:pPr>
      <w:numPr>
        <w:numId w:val="8"/>
      </w:numPr>
      <w:spacing w:after="240" w:line="240" w:lineRule="auto"/>
    </w:pPr>
    <w:rPr>
      <w:rFonts w:ascii="Arial" w:eastAsia="Times New Roman" w:hAnsi="Arial" w:cs="Times New Roman"/>
    </w:rPr>
  </w:style>
  <w:style w:type="paragraph" w:styleId="Revision">
    <w:name w:val="Revision"/>
    <w:hidden/>
    <w:uiPriority w:val="99"/>
    <w:semiHidden/>
    <w:rsid w:val="00116D21"/>
    <w:pPr>
      <w:spacing w:after="0" w:line="240" w:lineRule="auto"/>
    </w:pPr>
    <w:rPr>
      <w:rFonts w:ascii="Calibri" w:eastAsia="Calibri" w:hAnsi="Calibri" w:cs="Times New Roman"/>
    </w:rPr>
  </w:style>
  <w:style w:type="paragraph" w:styleId="Caption">
    <w:name w:val="caption"/>
    <w:basedOn w:val="TableFigureCaption"/>
    <w:next w:val="Normal"/>
    <w:link w:val="CaptionChar"/>
    <w:uiPriority w:val="99"/>
    <w:qFormat/>
    <w:rsid w:val="002E1347"/>
    <w:pPr>
      <w:spacing w:after="0"/>
    </w:pPr>
    <w:rPr>
      <w:rFonts w:eastAsia="Times New Roman" w:cs="Times New Roman"/>
      <w:sz w:val="22"/>
    </w:rPr>
  </w:style>
  <w:style w:type="character" w:customStyle="1" w:styleId="CaptionChar">
    <w:name w:val="Caption Char"/>
    <w:basedOn w:val="DefaultParagraphFont"/>
    <w:link w:val="Caption"/>
    <w:uiPriority w:val="99"/>
    <w:locked/>
    <w:rsid w:val="00116D21"/>
    <w:rPr>
      <w:rFonts w:ascii="Arial" w:eastAsia="Times New Roman" w:hAnsi="Arial" w:cs="Times New Roman"/>
      <w:b/>
    </w:rPr>
  </w:style>
  <w:style w:type="table" w:styleId="TableProfessional">
    <w:name w:val="Table Professional"/>
    <w:basedOn w:val="TableNormal"/>
    <w:rsid w:val="00116D21"/>
    <w:pPr>
      <w:spacing w:after="0" w:line="240" w:lineRule="auto"/>
    </w:pPr>
    <w:rPr>
      <w:rFonts w:ascii="Arial Narrow" w:eastAsia="Times New Roman" w:hAnsi="Arial Narrow"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ormalBold">
    <w:name w:val="Normal + Bold"/>
    <w:aliases w:val="Centered"/>
    <w:basedOn w:val="BodyParagraph"/>
    <w:rsid w:val="002E1347"/>
    <w:rPr>
      <w:rFonts w:ascii="Arial" w:eastAsia="Calibri" w:hAnsi="Arial" w:cs="Times New Roman"/>
      <w:sz w:val="20"/>
    </w:rPr>
  </w:style>
  <w:style w:type="character" w:customStyle="1" w:styleId="CharChar1">
    <w:name w:val="Char Char1"/>
    <w:basedOn w:val="DefaultParagraphFont"/>
    <w:semiHidden/>
    <w:locked/>
    <w:rsid w:val="00116D21"/>
    <w:rPr>
      <w:rFonts w:ascii="Franklin Gothic Book" w:hAnsi="Franklin Gothic Book"/>
      <w:spacing w:val="-2"/>
      <w:lang w:val="en-US" w:eastAsia="en-US" w:bidi="ar-SA"/>
    </w:rPr>
  </w:style>
  <w:style w:type="paragraph" w:customStyle="1" w:styleId="Heading1notnumbered">
    <w:name w:val="Heading 1 not numbered"/>
    <w:basedOn w:val="Heading1"/>
    <w:rsid w:val="002E1347"/>
    <w:pPr>
      <w:numPr>
        <w:numId w:val="0"/>
      </w:numPr>
      <w:spacing w:after="240"/>
    </w:pPr>
    <w:rPr>
      <w:rFonts w:ascii="Arial Bold" w:hAnsi="Arial Bold"/>
    </w:rPr>
  </w:style>
  <w:style w:type="paragraph" w:styleId="NormalWeb">
    <w:name w:val="Normal (Web)"/>
    <w:basedOn w:val="Normal"/>
    <w:uiPriority w:val="99"/>
    <w:rsid w:val="00116D21"/>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TableCaption">
    <w:name w:val="Table Caption"/>
    <w:basedOn w:val="Caption"/>
    <w:rsid w:val="00116D21"/>
    <w:pPr>
      <w:keepNext w:val="0"/>
    </w:pPr>
    <w:rPr>
      <w:rFonts w:ascii="Times New Roman" w:hAnsi="Times New Roman"/>
      <w:bCs/>
      <w:sz w:val="24"/>
      <w:szCs w:val="20"/>
    </w:rPr>
  </w:style>
  <w:style w:type="paragraph" w:customStyle="1" w:styleId="standard">
    <w:name w:val="standard"/>
    <w:basedOn w:val="Normal"/>
    <w:link w:val="standardChar"/>
    <w:rsid w:val="00116D21"/>
    <w:pPr>
      <w:spacing w:after="0" w:line="360" w:lineRule="auto"/>
      <w:ind w:firstLine="720"/>
    </w:pPr>
    <w:rPr>
      <w:rFonts w:ascii="Palatino" w:eastAsia="Times New Roman" w:hAnsi="Palatino" w:cs="Times New Roman"/>
      <w:sz w:val="26"/>
      <w:szCs w:val="20"/>
    </w:rPr>
  </w:style>
  <w:style w:type="character" w:customStyle="1" w:styleId="standardChar">
    <w:name w:val="standard Char"/>
    <w:basedOn w:val="DefaultParagraphFont"/>
    <w:link w:val="standard"/>
    <w:rsid w:val="00116D21"/>
    <w:rPr>
      <w:rFonts w:ascii="Palatino" w:eastAsia="Times New Roman" w:hAnsi="Palatino" w:cs="Times New Roman"/>
      <w:sz w:val="26"/>
      <w:szCs w:val="20"/>
    </w:rPr>
  </w:style>
  <w:style w:type="numbering" w:customStyle="1" w:styleId="NoList1">
    <w:name w:val="No List1"/>
    <w:next w:val="NoList"/>
    <w:semiHidden/>
    <w:rsid w:val="00116D21"/>
  </w:style>
  <w:style w:type="character" w:styleId="FollowedHyperlink">
    <w:name w:val="FollowedHyperlink"/>
    <w:basedOn w:val="DefaultParagraphFont"/>
    <w:uiPriority w:val="99"/>
    <w:rsid w:val="00116D21"/>
    <w:rPr>
      <w:rFonts w:cs="Times New Roman"/>
      <w:color w:val="800080"/>
      <w:u w:val="single"/>
    </w:rPr>
  </w:style>
  <w:style w:type="paragraph" w:customStyle="1" w:styleId="xl66">
    <w:name w:val="xl66"/>
    <w:basedOn w:val="Normal"/>
    <w:rsid w:val="00116D21"/>
    <w:pPr>
      <w:spacing w:before="100" w:beforeAutospacing="1" w:after="100" w:afterAutospacing="1" w:line="240" w:lineRule="auto"/>
      <w:ind w:firstLineChars="100" w:firstLine="100"/>
      <w:jc w:val="right"/>
    </w:pPr>
    <w:rPr>
      <w:rFonts w:ascii="Times New Roman" w:eastAsia="Times New Roman" w:hAnsi="Times New Roman" w:cs="Times New Roman"/>
      <w:sz w:val="24"/>
      <w:szCs w:val="24"/>
    </w:rPr>
  </w:style>
  <w:style w:type="paragraph" w:customStyle="1" w:styleId="xl69">
    <w:name w:val="xl69"/>
    <w:basedOn w:val="Normal"/>
    <w:rsid w:val="00116D21"/>
    <w:pPr>
      <w:pBdr>
        <w:top w:val="single" w:sz="4" w:space="0" w:color="95B3D7"/>
        <w:left w:val="single" w:sz="4" w:space="0" w:color="95B3D7"/>
        <w:bottom w:val="single" w:sz="4" w:space="0" w:color="95B3D7"/>
      </w:pBdr>
      <w:shd w:val="clear" w:color="4F81BD" w:fill="1F497D"/>
      <w:spacing w:before="100" w:beforeAutospacing="1" w:after="100" w:afterAutospacing="1" w:line="240" w:lineRule="auto"/>
    </w:pPr>
    <w:rPr>
      <w:rFonts w:ascii="Arial" w:eastAsia="Times New Roman" w:hAnsi="Arial" w:cs="Arial"/>
      <w:b/>
      <w:bCs/>
      <w:color w:val="FFFFFF"/>
      <w:sz w:val="18"/>
      <w:szCs w:val="18"/>
    </w:rPr>
  </w:style>
  <w:style w:type="paragraph" w:customStyle="1" w:styleId="xl70">
    <w:name w:val="xl70"/>
    <w:basedOn w:val="Normal"/>
    <w:rsid w:val="00116D21"/>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1">
    <w:name w:val="xl71"/>
    <w:basedOn w:val="Normal"/>
    <w:rsid w:val="00116D21"/>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2">
    <w:name w:val="xl72"/>
    <w:basedOn w:val="Normal"/>
    <w:rsid w:val="00116D21"/>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3">
    <w:name w:val="xl73"/>
    <w:basedOn w:val="Normal"/>
    <w:rsid w:val="00116D21"/>
    <w:pPr>
      <w:pBdr>
        <w:top w:val="single" w:sz="4" w:space="0" w:color="95B3D7"/>
        <w:bottom w:val="single" w:sz="4" w:space="0" w:color="95B3D7"/>
        <w:right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4">
    <w:name w:val="xl74"/>
    <w:basedOn w:val="Normal"/>
    <w:rsid w:val="00116D21"/>
    <w:pPr>
      <w:pBdr>
        <w:left w:val="single" w:sz="4" w:space="0" w:color="95B3D7"/>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Normal"/>
    <w:rsid w:val="00116D21"/>
    <w:pPr>
      <w:pBdr>
        <w:bottom w:val="single" w:sz="4" w:space="0" w:color="95B3D7"/>
      </w:pBdr>
      <w:shd w:val="clear" w:color="DBE5F1" w:fill="DBE5F1"/>
      <w:spacing w:before="100" w:beforeAutospacing="1" w:after="100" w:afterAutospacing="1" w:line="240" w:lineRule="auto"/>
      <w:ind w:firstLineChars="100" w:firstLine="100"/>
      <w:jc w:val="right"/>
    </w:pPr>
    <w:rPr>
      <w:rFonts w:ascii="Arial" w:eastAsia="Times New Roman" w:hAnsi="Arial" w:cs="Arial"/>
      <w:sz w:val="18"/>
      <w:szCs w:val="18"/>
    </w:rPr>
  </w:style>
  <w:style w:type="paragraph" w:customStyle="1" w:styleId="xl76">
    <w:name w:val="xl76"/>
    <w:basedOn w:val="Normal"/>
    <w:rsid w:val="00116D21"/>
    <w:pPr>
      <w:pBdr>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7">
    <w:name w:val="xl77"/>
    <w:basedOn w:val="Normal"/>
    <w:rsid w:val="00116D21"/>
    <w:pPr>
      <w:pBdr>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8">
    <w:name w:val="xl78"/>
    <w:basedOn w:val="Normal"/>
    <w:rsid w:val="00116D21"/>
    <w:pPr>
      <w:pBdr>
        <w:bottom w:val="single" w:sz="4" w:space="0" w:color="95B3D7"/>
        <w:right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9">
    <w:name w:val="xl79"/>
    <w:basedOn w:val="Normal"/>
    <w:rsid w:val="00116D21"/>
    <w:pPr>
      <w:pBdr>
        <w:left w:val="single" w:sz="4" w:space="0" w:color="95B3D7"/>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0">
    <w:name w:val="xl80"/>
    <w:basedOn w:val="Normal"/>
    <w:rsid w:val="00116D21"/>
    <w:pPr>
      <w:pBdr>
        <w:bottom w:val="single" w:sz="4" w:space="0" w:color="95B3D7"/>
      </w:pBdr>
      <w:spacing w:before="100" w:beforeAutospacing="1" w:after="100" w:afterAutospacing="1" w:line="240" w:lineRule="auto"/>
      <w:ind w:firstLineChars="100" w:firstLine="100"/>
      <w:jc w:val="right"/>
    </w:pPr>
    <w:rPr>
      <w:rFonts w:ascii="Arial" w:eastAsia="Times New Roman" w:hAnsi="Arial" w:cs="Arial"/>
      <w:sz w:val="18"/>
      <w:szCs w:val="18"/>
    </w:rPr>
  </w:style>
  <w:style w:type="paragraph" w:customStyle="1" w:styleId="xl81">
    <w:name w:val="xl81"/>
    <w:basedOn w:val="Normal"/>
    <w:rsid w:val="00116D21"/>
    <w:pPr>
      <w:pBdr>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2">
    <w:name w:val="xl82"/>
    <w:basedOn w:val="Normal"/>
    <w:rsid w:val="00116D21"/>
    <w:pPr>
      <w:pBdr>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3">
    <w:name w:val="xl83"/>
    <w:basedOn w:val="Normal"/>
    <w:rsid w:val="00116D21"/>
    <w:pPr>
      <w:pBdr>
        <w:bottom w:val="single" w:sz="4" w:space="0" w:color="95B3D7"/>
        <w:right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4">
    <w:name w:val="xl84"/>
    <w:basedOn w:val="Normal"/>
    <w:rsid w:val="00116D21"/>
    <w:pPr>
      <w:pBdr>
        <w:left w:val="single" w:sz="4" w:space="7" w:color="95B3D7"/>
        <w:bottom w:val="single" w:sz="4" w:space="0" w:color="95B3D7"/>
      </w:pBdr>
      <w:spacing w:before="100" w:beforeAutospacing="1" w:after="100" w:afterAutospacing="1" w:line="240" w:lineRule="auto"/>
      <w:ind w:firstLineChars="100" w:firstLine="100"/>
    </w:pPr>
    <w:rPr>
      <w:rFonts w:ascii="Arial" w:eastAsia="Times New Roman" w:hAnsi="Arial" w:cs="Arial"/>
      <w:sz w:val="18"/>
      <w:szCs w:val="18"/>
    </w:rPr>
  </w:style>
  <w:style w:type="paragraph" w:customStyle="1" w:styleId="xl85">
    <w:name w:val="xl85"/>
    <w:basedOn w:val="Normal"/>
    <w:rsid w:val="00116D21"/>
    <w:pPr>
      <w:pBdr>
        <w:left w:val="single" w:sz="4" w:space="7" w:color="95B3D7"/>
        <w:bottom w:val="single" w:sz="4" w:space="0" w:color="95B3D7"/>
      </w:pBdr>
      <w:shd w:val="clear" w:color="DBE5F1" w:fill="DBE5F1"/>
      <w:spacing w:before="100" w:beforeAutospacing="1" w:after="100" w:afterAutospacing="1" w:line="240" w:lineRule="auto"/>
      <w:ind w:firstLineChars="100" w:firstLine="100"/>
    </w:pPr>
    <w:rPr>
      <w:rFonts w:ascii="Arial" w:eastAsia="Times New Roman" w:hAnsi="Arial" w:cs="Arial"/>
      <w:sz w:val="18"/>
      <w:szCs w:val="18"/>
    </w:rPr>
  </w:style>
  <w:style w:type="paragraph" w:customStyle="1" w:styleId="xl86">
    <w:name w:val="xl86"/>
    <w:basedOn w:val="Normal"/>
    <w:rsid w:val="00116D21"/>
    <w:pPr>
      <w:pBdr>
        <w:left w:val="single" w:sz="4" w:space="0" w:color="95B3D7"/>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87">
    <w:name w:val="xl87"/>
    <w:basedOn w:val="Normal"/>
    <w:rsid w:val="00116D21"/>
    <w:pPr>
      <w:pBdr>
        <w:left w:val="single" w:sz="4" w:space="0" w:color="95B3D7"/>
        <w:bottom w:val="single" w:sz="4" w:space="0" w:color="95B3D7"/>
      </w:pBdr>
      <w:spacing w:before="100" w:beforeAutospacing="1" w:after="100" w:afterAutospacing="1" w:line="240" w:lineRule="auto"/>
    </w:pPr>
    <w:rPr>
      <w:rFonts w:ascii="Arial" w:eastAsia="Times New Roman" w:hAnsi="Arial" w:cs="Arial"/>
      <w:sz w:val="18"/>
      <w:szCs w:val="18"/>
    </w:rPr>
  </w:style>
  <w:style w:type="table" w:customStyle="1" w:styleId="MediumShading1-Accent11">
    <w:name w:val="Medium Shading 1 - Accent 11"/>
    <w:basedOn w:val="TableNormal"/>
    <w:uiPriority w:val="63"/>
    <w:rsid w:val="00116D21"/>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5">
    <w:name w:val="toc 5"/>
    <w:basedOn w:val="Normal"/>
    <w:next w:val="Normal"/>
    <w:autoRedefine/>
    <w:uiPriority w:val="99"/>
    <w:unhideWhenUsed/>
    <w:rsid w:val="00116D21"/>
    <w:pPr>
      <w:spacing w:after="100"/>
      <w:ind w:left="880"/>
    </w:pPr>
    <w:rPr>
      <w:rFonts w:ascii="Calibri" w:eastAsia="Times New Roman" w:hAnsi="Calibri" w:cs="Times New Roman"/>
    </w:rPr>
  </w:style>
  <w:style w:type="paragraph" w:styleId="TOC6">
    <w:name w:val="toc 6"/>
    <w:basedOn w:val="Normal"/>
    <w:next w:val="Normal"/>
    <w:autoRedefine/>
    <w:uiPriority w:val="99"/>
    <w:unhideWhenUsed/>
    <w:rsid w:val="00116D21"/>
    <w:pPr>
      <w:spacing w:after="100"/>
      <w:ind w:left="1100"/>
    </w:pPr>
    <w:rPr>
      <w:rFonts w:ascii="Calibri" w:eastAsia="Times New Roman" w:hAnsi="Calibri" w:cs="Times New Roman"/>
    </w:rPr>
  </w:style>
  <w:style w:type="paragraph" w:styleId="TOC7">
    <w:name w:val="toc 7"/>
    <w:basedOn w:val="Normal"/>
    <w:next w:val="Normal"/>
    <w:autoRedefine/>
    <w:uiPriority w:val="99"/>
    <w:unhideWhenUsed/>
    <w:rsid w:val="00116D21"/>
    <w:pPr>
      <w:spacing w:after="100"/>
      <w:ind w:left="1320"/>
    </w:pPr>
    <w:rPr>
      <w:rFonts w:ascii="Calibri" w:eastAsia="Times New Roman" w:hAnsi="Calibri" w:cs="Times New Roman"/>
    </w:rPr>
  </w:style>
  <w:style w:type="paragraph" w:styleId="TOC8">
    <w:name w:val="toc 8"/>
    <w:basedOn w:val="Normal"/>
    <w:next w:val="Normal"/>
    <w:autoRedefine/>
    <w:uiPriority w:val="99"/>
    <w:unhideWhenUsed/>
    <w:rsid w:val="00116D21"/>
    <w:pPr>
      <w:spacing w:after="100"/>
      <w:ind w:left="1540"/>
    </w:pPr>
    <w:rPr>
      <w:rFonts w:ascii="Calibri" w:eastAsia="Times New Roman" w:hAnsi="Calibri" w:cs="Times New Roman"/>
    </w:rPr>
  </w:style>
  <w:style w:type="paragraph" w:styleId="TOC9">
    <w:name w:val="toc 9"/>
    <w:basedOn w:val="Normal"/>
    <w:next w:val="Normal"/>
    <w:autoRedefine/>
    <w:uiPriority w:val="99"/>
    <w:unhideWhenUsed/>
    <w:rsid w:val="00116D21"/>
    <w:pPr>
      <w:spacing w:after="100"/>
      <w:ind w:left="1760"/>
    </w:pPr>
    <w:rPr>
      <w:rFonts w:ascii="Calibri" w:eastAsia="Times New Roman" w:hAnsi="Calibri" w:cs="Times New Roman"/>
    </w:rPr>
  </w:style>
  <w:style w:type="character" w:styleId="Strong">
    <w:name w:val="Strong"/>
    <w:basedOn w:val="DefaultParagraphFont"/>
    <w:qFormat/>
    <w:rsid w:val="00116D21"/>
    <w:rPr>
      <w:b/>
      <w:bCs/>
    </w:rPr>
  </w:style>
  <w:style w:type="paragraph" w:customStyle="1" w:styleId="xl65">
    <w:name w:val="xl65"/>
    <w:basedOn w:val="Normal"/>
    <w:rsid w:val="00116D21"/>
    <w:pPr>
      <w:spacing w:before="100" w:beforeAutospacing="1" w:after="100" w:afterAutospacing="1" w:line="240" w:lineRule="auto"/>
    </w:pPr>
    <w:rPr>
      <w:rFonts w:ascii="Arial" w:eastAsia="Times New Roman" w:hAnsi="Arial" w:cs="Arial"/>
      <w:sz w:val="18"/>
      <w:szCs w:val="18"/>
    </w:rPr>
  </w:style>
  <w:style w:type="paragraph" w:customStyle="1" w:styleId="xl67">
    <w:name w:val="xl67"/>
    <w:basedOn w:val="Normal"/>
    <w:rsid w:val="00116D21"/>
    <w:pPr>
      <w:shd w:val="clear" w:color="000000" w:fill="376091"/>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68">
    <w:name w:val="xl68"/>
    <w:basedOn w:val="Normal"/>
    <w:rsid w:val="00116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styleId="TableofFigures">
    <w:name w:val="table of figures"/>
    <w:basedOn w:val="Normal"/>
    <w:next w:val="Normal"/>
    <w:uiPriority w:val="99"/>
    <w:rsid w:val="00116D21"/>
    <w:pPr>
      <w:tabs>
        <w:tab w:val="right" w:leader="dot" w:pos="9350"/>
      </w:tabs>
      <w:spacing w:after="0" w:line="240" w:lineRule="auto"/>
      <w:ind w:left="810" w:hanging="810"/>
    </w:pPr>
    <w:rPr>
      <w:rFonts w:ascii="Times New Roman" w:eastAsia="Times New Roman" w:hAnsi="Times New Roman" w:cs="Times New Roman"/>
      <w:noProof/>
      <w:sz w:val="24"/>
      <w:szCs w:val="20"/>
    </w:rPr>
  </w:style>
  <w:style w:type="paragraph" w:styleId="NoSpacing">
    <w:name w:val="No Spacing"/>
    <w:uiPriority w:val="1"/>
    <w:qFormat/>
    <w:rsid w:val="00116D21"/>
    <w:pPr>
      <w:spacing w:after="0" w:line="240" w:lineRule="auto"/>
    </w:pPr>
  </w:style>
  <w:style w:type="paragraph" w:customStyle="1" w:styleId="Acronyms">
    <w:name w:val="Acronyms"/>
    <w:basedOn w:val="Normal"/>
    <w:uiPriority w:val="99"/>
    <w:rsid w:val="00116D21"/>
    <w:pPr>
      <w:spacing w:after="0" w:line="240" w:lineRule="auto"/>
      <w:ind w:left="2880"/>
    </w:pPr>
    <w:rPr>
      <w:rFonts w:ascii="Times New Roman" w:eastAsia="Times New Roman" w:hAnsi="Times New Roman" w:cs="Times New Roman"/>
      <w:sz w:val="24"/>
      <w:szCs w:val="20"/>
    </w:rPr>
  </w:style>
  <w:style w:type="paragraph" w:customStyle="1" w:styleId="Appendix">
    <w:name w:val="Appendix"/>
    <w:basedOn w:val="Normal"/>
    <w:uiPriority w:val="99"/>
    <w:rsid w:val="00116D21"/>
    <w:pPr>
      <w:spacing w:after="0" w:line="240" w:lineRule="auto"/>
    </w:pPr>
    <w:rPr>
      <w:rFonts w:ascii="Times New Roman" w:eastAsia="Times New Roman" w:hAnsi="Times New Roman" w:cs="Times New Roman"/>
      <w:b/>
      <w:szCs w:val="20"/>
    </w:rPr>
  </w:style>
  <w:style w:type="character" w:styleId="EndnoteReference">
    <w:name w:val="endnote reference"/>
    <w:basedOn w:val="DefaultParagraphFont"/>
    <w:uiPriority w:val="99"/>
    <w:semiHidden/>
    <w:rsid w:val="00116D21"/>
    <w:rPr>
      <w:rFonts w:cs="Times New Roman"/>
      <w:vertAlign w:val="superscript"/>
    </w:rPr>
  </w:style>
  <w:style w:type="paragraph" w:styleId="EndnoteText">
    <w:name w:val="endnote text"/>
    <w:basedOn w:val="Normal"/>
    <w:link w:val="EndnoteTextChar"/>
    <w:uiPriority w:val="99"/>
    <w:semiHidden/>
    <w:rsid w:val="00116D21"/>
    <w:pPr>
      <w:spacing w:after="0" w:line="240" w:lineRule="auto"/>
    </w:pPr>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uiPriority w:val="99"/>
    <w:semiHidden/>
    <w:rsid w:val="00116D21"/>
    <w:rPr>
      <w:rFonts w:ascii="Times New Roman" w:eastAsia="Times New Roman" w:hAnsi="Times New Roman" w:cs="Times New Roman"/>
      <w:sz w:val="24"/>
      <w:szCs w:val="20"/>
    </w:rPr>
  </w:style>
  <w:style w:type="paragraph" w:styleId="Index1">
    <w:name w:val="index 1"/>
    <w:basedOn w:val="Normal"/>
    <w:next w:val="Normal"/>
    <w:autoRedefine/>
    <w:uiPriority w:val="99"/>
    <w:semiHidden/>
    <w:rsid w:val="00116D21"/>
    <w:pPr>
      <w:spacing w:after="0" w:line="240" w:lineRule="auto"/>
      <w:ind w:left="240" w:hanging="240"/>
    </w:pPr>
    <w:rPr>
      <w:rFonts w:ascii="Times New Roman" w:eastAsia="Times New Roman" w:hAnsi="Times New Roman" w:cs="Times New Roman"/>
      <w:sz w:val="24"/>
      <w:szCs w:val="20"/>
    </w:rPr>
  </w:style>
  <w:style w:type="paragraph" w:styleId="Index2">
    <w:name w:val="index 2"/>
    <w:basedOn w:val="Normal"/>
    <w:next w:val="Normal"/>
    <w:autoRedefine/>
    <w:uiPriority w:val="99"/>
    <w:semiHidden/>
    <w:rsid w:val="00116D21"/>
    <w:pPr>
      <w:spacing w:after="0" w:line="240" w:lineRule="auto"/>
      <w:ind w:left="480" w:hanging="240"/>
    </w:pPr>
    <w:rPr>
      <w:rFonts w:ascii="Times New Roman" w:eastAsia="Times New Roman" w:hAnsi="Times New Roman" w:cs="Times New Roman"/>
      <w:sz w:val="24"/>
      <w:szCs w:val="20"/>
    </w:rPr>
  </w:style>
  <w:style w:type="paragraph" w:styleId="Index3">
    <w:name w:val="index 3"/>
    <w:basedOn w:val="Normal"/>
    <w:next w:val="Normal"/>
    <w:autoRedefine/>
    <w:uiPriority w:val="99"/>
    <w:semiHidden/>
    <w:rsid w:val="00116D21"/>
    <w:pPr>
      <w:spacing w:after="0" w:line="240" w:lineRule="auto"/>
      <w:ind w:left="720" w:hanging="240"/>
    </w:pPr>
    <w:rPr>
      <w:rFonts w:ascii="Times New Roman" w:eastAsia="Times New Roman" w:hAnsi="Times New Roman" w:cs="Times New Roman"/>
      <w:sz w:val="24"/>
      <w:szCs w:val="20"/>
    </w:rPr>
  </w:style>
  <w:style w:type="paragraph" w:styleId="Index4">
    <w:name w:val="index 4"/>
    <w:basedOn w:val="Normal"/>
    <w:next w:val="Normal"/>
    <w:autoRedefine/>
    <w:uiPriority w:val="99"/>
    <w:semiHidden/>
    <w:rsid w:val="00116D21"/>
    <w:pPr>
      <w:spacing w:after="0" w:line="240" w:lineRule="auto"/>
      <w:ind w:left="960" w:hanging="240"/>
    </w:pPr>
    <w:rPr>
      <w:rFonts w:ascii="Times New Roman" w:eastAsia="Times New Roman" w:hAnsi="Times New Roman" w:cs="Times New Roman"/>
      <w:sz w:val="24"/>
      <w:szCs w:val="20"/>
    </w:rPr>
  </w:style>
  <w:style w:type="paragraph" w:styleId="Index5">
    <w:name w:val="index 5"/>
    <w:basedOn w:val="Normal"/>
    <w:next w:val="Normal"/>
    <w:autoRedefine/>
    <w:uiPriority w:val="99"/>
    <w:semiHidden/>
    <w:rsid w:val="00116D21"/>
    <w:pPr>
      <w:spacing w:after="0" w:line="240" w:lineRule="auto"/>
      <w:ind w:left="1200" w:hanging="240"/>
    </w:pPr>
    <w:rPr>
      <w:rFonts w:ascii="Times New Roman" w:eastAsia="Times New Roman" w:hAnsi="Times New Roman" w:cs="Times New Roman"/>
      <w:sz w:val="24"/>
      <w:szCs w:val="20"/>
    </w:rPr>
  </w:style>
  <w:style w:type="paragraph" w:styleId="Index6">
    <w:name w:val="index 6"/>
    <w:basedOn w:val="Normal"/>
    <w:next w:val="Normal"/>
    <w:autoRedefine/>
    <w:uiPriority w:val="99"/>
    <w:semiHidden/>
    <w:rsid w:val="00116D21"/>
    <w:pPr>
      <w:spacing w:after="0" w:line="240" w:lineRule="auto"/>
      <w:ind w:left="1440" w:hanging="240"/>
    </w:pPr>
    <w:rPr>
      <w:rFonts w:ascii="Times New Roman" w:eastAsia="Times New Roman" w:hAnsi="Times New Roman" w:cs="Times New Roman"/>
      <w:sz w:val="24"/>
      <w:szCs w:val="20"/>
    </w:rPr>
  </w:style>
  <w:style w:type="paragraph" w:styleId="Index7">
    <w:name w:val="index 7"/>
    <w:basedOn w:val="Normal"/>
    <w:next w:val="Normal"/>
    <w:autoRedefine/>
    <w:uiPriority w:val="99"/>
    <w:semiHidden/>
    <w:rsid w:val="00116D21"/>
    <w:pPr>
      <w:spacing w:after="0" w:line="240" w:lineRule="auto"/>
      <w:ind w:left="1680" w:hanging="240"/>
    </w:pPr>
    <w:rPr>
      <w:rFonts w:ascii="Times New Roman" w:eastAsia="Times New Roman" w:hAnsi="Times New Roman" w:cs="Times New Roman"/>
      <w:sz w:val="24"/>
      <w:szCs w:val="20"/>
    </w:rPr>
  </w:style>
  <w:style w:type="paragraph" w:styleId="Index8">
    <w:name w:val="index 8"/>
    <w:basedOn w:val="Normal"/>
    <w:next w:val="Normal"/>
    <w:autoRedefine/>
    <w:uiPriority w:val="99"/>
    <w:semiHidden/>
    <w:rsid w:val="00116D21"/>
    <w:pPr>
      <w:spacing w:after="0" w:line="240" w:lineRule="auto"/>
      <w:ind w:left="1920" w:hanging="240"/>
    </w:pPr>
    <w:rPr>
      <w:rFonts w:ascii="Times New Roman" w:eastAsia="Times New Roman" w:hAnsi="Times New Roman" w:cs="Times New Roman"/>
      <w:sz w:val="24"/>
      <w:szCs w:val="20"/>
    </w:rPr>
  </w:style>
  <w:style w:type="paragraph" w:styleId="Index9">
    <w:name w:val="index 9"/>
    <w:basedOn w:val="Normal"/>
    <w:next w:val="Normal"/>
    <w:autoRedefine/>
    <w:uiPriority w:val="99"/>
    <w:semiHidden/>
    <w:rsid w:val="00116D21"/>
    <w:pPr>
      <w:spacing w:after="0" w:line="240" w:lineRule="auto"/>
      <w:ind w:left="2160" w:hanging="240"/>
    </w:pPr>
    <w:rPr>
      <w:rFonts w:ascii="Times New Roman" w:eastAsia="Times New Roman" w:hAnsi="Times New Roman" w:cs="Times New Roman"/>
      <w:sz w:val="24"/>
      <w:szCs w:val="20"/>
    </w:rPr>
  </w:style>
  <w:style w:type="paragraph" w:styleId="IndexHeading">
    <w:name w:val="index heading"/>
    <w:basedOn w:val="Normal"/>
    <w:next w:val="Index1"/>
    <w:uiPriority w:val="99"/>
    <w:semiHidden/>
    <w:rsid w:val="00116D21"/>
    <w:pPr>
      <w:spacing w:after="0" w:line="240" w:lineRule="auto"/>
    </w:pPr>
    <w:rPr>
      <w:rFonts w:ascii="Times New Roman" w:eastAsia="Times New Roman" w:hAnsi="Times New Roman" w:cs="Times New Roman"/>
      <w:sz w:val="24"/>
      <w:szCs w:val="20"/>
    </w:rPr>
  </w:style>
  <w:style w:type="paragraph" w:customStyle="1" w:styleId="NormalIndnobullets">
    <w:name w:val="Normal_Ind_nobullets"/>
    <w:basedOn w:val="Normal"/>
    <w:uiPriority w:val="99"/>
    <w:rsid w:val="00116D21"/>
    <w:pPr>
      <w:spacing w:after="120" w:line="240" w:lineRule="auto"/>
      <w:ind w:left="360"/>
    </w:pPr>
    <w:rPr>
      <w:rFonts w:ascii="Times New Roman" w:eastAsia="Times New Roman" w:hAnsi="Times New Roman" w:cs="Times New Roman"/>
      <w:sz w:val="24"/>
      <w:szCs w:val="20"/>
    </w:rPr>
  </w:style>
  <w:style w:type="paragraph" w:customStyle="1" w:styleId="TitleReferences">
    <w:name w:val="Title_References"/>
    <w:basedOn w:val="Normal"/>
    <w:uiPriority w:val="99"/>
    <w:rsid w:val="00116D21"/>
    <w:pPr>
      <w:spacing w:after="0" w:line="480" w:lineRule="auto"/>
    </w:pPr>
    <w:rPr>
      <w:rFonts w:ascii="Times New Roman" w:eastAsia="Times New Roman" w:hAnsi="Times New Roman" w:cs="Times New Roman"/>
      <w:b/>
      <w:sz w:val="28"/>
      <w:szCs w:val="20"/>
    </w:rPr>
  </w:style>
  <w:style w:type="paragraph" w:customStyle="1" w:styleId="References">
    <w:name w:val="References"/>
    <w:basedOn w:val="TitleReferences"/>
    <w:uiPriority w:val="99"/>
    <w:rsid w:val="00116D21"/>
    <w:pPr>
      <w:spacing w:after="240" w:line="240" w:lineRule="auto"/>
    </w:pPr>
    <w:rPr>
      <w:b w:val="0"/>
      <w:sz w:val="24"/>
    </w:rPr>
  </w:style>
  <w:style w:type="paragraph" w:styleId="TableofAuthorities">
    <w:name w:val="table of authorities"/>
    <w:basedOn w:val="Normal"/>
    <w:next w:val="Normal"/>
    <w:uiPriority w:val="99"/>
    <w:semiHidden/>
    <w:rsid w:val="00116D21"/>
    <w:pPr>
      <w:spacing w:after="0" w:line="240" w:lineRule="auto"/>
      <w:ind w:left="240" w:hanging="240"/>
    </w:pPr>
    <w:rPr>
      <w:rFonts w:ascii="Times New Roman" w:eastAsia="Times New Roman" w:hAnsi="Times New Roman" w:cs="Times New Roman"/>
      <w:sz w:val="24"/>
      <w:szCs w:val="20"/>
    </w:rPr>
  </w:style>
  <w:style w:type="paragraph" w:customStyle="1" w:styleId="TitleAcknow">
    <w:name w:val="Title_Acknow"/>
    <w:basedOn w:val="Normal"/>
    <w:uiPriority w:val="99"/>
    <w:rsid w:val="00116D21"/>
    <w:pPr>
      <w:spacing w:after="0" w:line="480" w:lineRule="auto"/>
    </w:pPr>
    <w:rPr>
      <w:rFonts w:ascii="Times New Roman" w:eastAsia="Times New Roman" w:hAnsi="Times New Roman" w:cs="Times New Roman"/>
      <w:b/>
      <w:sz w:val="24"/>
      <w:szCs w:val="20"/>
    </w:rPr>
  </w:style>
  <w:style w:type="paragraph" w:customStyle="1" w:styleId="TitleExecutive">
    <w:name w:val="Title_Executive"/>
    <w:basedOn w:val="Normal"/>
    <w:next w:val="Normal"/>
    <w:uiPriority w:val="99"/>
    <w:rsid w:val="00116D21"/>
    <w:pPr>
      <w:widowControl w:val="0"/>
      <w:spacing w:after="480" w:line="240" w:lineRule="auto"/>
    </w:pPr>
    <w:rPr>
      <w:rFonts w:ascii="Times New Roman" w:eastAsia="Times New Roman" w:hAnsi="Times New Roman" w:cs="Times New Roman"/>
      <w:b/>
      <w:sz w:val="32"/>
      <w:szCs w:val="20"/>
    </w:rPr>
  </w:style>
  <w:style w:type="paragraph" w:customStyle="1" w:styleId="TitleListsiTOC">
    <w:name w:val="Title_Lists(iTOC)"/>
    <w:basedOn w:val="Normal"/>
    <w:uiPriority w:val="99"/>
    <w:rsid w:val="00116D21"/>
    <w:pPr>
      <w:widowControl w:val="0"/>
      <w:spacing w:after="0" w:line="240" w:lineRule="auto"/>
      <w:jc w:val="center"/>
    </w:pPr>
    <w:rPr>
      <w:rFonts w:ascii="Times New Roman" w:eastAsia="Times New Roman" w:hAnsi="Times New Roman" w:cs="Times New Roman"/>
      <w:b/>
      <w:sz w:val="28"/>
      <w:szCs w:val="20"/>
    </w:rPr>
  </w:style>
  <w:style w:type="paragraph" w:customStyle="1" w:styleId="TitleMain">
    <w:name w:val="Title_Main"/>
    <w:basedOn w:val="Normal"/>
    <w:uiPriority w:val="99"/>
    <w:rsid w:val="00116D21"/>
    <w:pPr>
      <w:widowControl w:val="0"/>
      <w:spacing w:after="0" w:line="240" w:lineRule="auto"/>
      <w:jc w:val="center"/>
    </w:pPr>
    <w:rPr>
      <w:rFonts w:ascii="Times New Roman" w:eastAsia="Times New Roman" w:hAnsi="Times New Roman" w:cs="Times New Roman"/>
      <w:b/>
      <w:sz w:val="32"/>
      <w:szCs w:val="20"/>
    </w:rPr>
  </w:style>
  <w:style w:type="paragraph" w:customStyle="1" w:styleId="TitlePreface">
    <w:name w:val="Title_Preface"/>
    <w:aliases w:val="Lists,etc"/>
    <w:basedOn w:val="Normal"/>
    <w:next w:val="Normal"/>
    <w:uiPriority w:val="99"/>
    <w:rsid w:val="00116D21"/>
    <w:pPr>
      <w:spacing w:after="0" w:line="240" w:lineRule="auto"/>
      <w:jc w:val="center"/>
    </w:pPr>
    <w:rPr>
      <w:rFonts w:ascii="Times New Roman" w:eastAsia="Times New Roman" w:hAnsi="Times New Roman" w:cs="Times New Roman"/>
      <w:b/>
      <w:sz w:val="28"/>
      <w:szCs w:val="20"/>
    </w:rPr>
  </w:style>
  <w:style w:type="paragraph" w:styleId="TOAHeading">
    <w:name w:val="toa heading"/>
    <w:basedOn w:val="Normal"/>
    <w:next w:val="Normal"/>
    <w:uiPriority w:val="99"/>
    <w:semiHidden/>
    <w:rsid w:val="00116D21"/>
    <w:pPr>
      <w:spacing w:before="120" w:after="0" w:line="240" w:lineRule="auto"/>
    </w:pPr>
    <w:rPr>
      <w:rFonts w:ascii="Arial" w:eastAsia="Times New Roman" w:hAnsi="Arial" w:cs="Times New Roman"/>
      <w:b/>
      <w:sz w:val="24"/>
      <w:szCs w:val="20"/>
    </w:rPr>
  </w:style>
  <w:style w:type="paragraph" w:styleId="DocumentMap">
    <w:name w:val="Document Map"/>
    <w:basedOn w:val="Normal"/>
    <w:link w:val="DocumentMapChar"/>
    <w:uiPriority w:val="99"/>
    <w:semiHidden/>
    <w:rsid w:val="00116D21"/>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uiPriority w:val="99"/>
    <w:semiHidden/>
    <w:rsid w:val="00116D21"/>
    <w:rPr>
      <w:rFonts w:ascii="Tahoma" w:eastAsia="Times New Roman" w:hAnsi="Tahoma" w:cs="Times New Roman"/>
      <w:sz w:val="24"/>
      <w:szCs w:val="20"/>
      <w:shd w:val="clear" w:color="auto" w:fill="000080"/>
    </w:rPr>
  </w:style>
  <w:style w:type="paragraph" w:styleId="HTMLPreformatted">
    <w:name w:val="HTML Preformatted"/>
    <w:basedOn w:val="Normal"/>
    <w:link w:val="HTMLPreformattedChar"/>
    <w:uiPriority w:val="99"/>
    <w:rsid w:val="00116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116D21"/>
    <w:rPr>
      <w:rFonts w:ascii="Arial Unicode MS" w:eastAsia="Arial Unicode MS" w:hAnsi="Arial Unicode MS" w:cs="Arial Unicode MS"/>
      <w:sz w:val="20"/>
      <w:szCs w:val="20"/>
    </w:rPr>
  </w:style>
  <w:style w:type="paragraph" w:styleId="List2">
    <w:name w:val="List 2"/>
    <w:basedOn w:val="Normal"/>
    <w:uiPriority w:val="99"/>
    <w:rsid w:val="00116D21"/>
    <w:pPr>
      <w:spacing w:after="120" w:line="240" w:lineRule="auto"/>
      <w:ind w:left="720" w:hanging="360"/>
    </w:pPr>
    <w:rPr>
      <w:rFonts w:ascii="Times" w:eastAsia="Times New Roman" w:hAnsi="Times" w:cs="Times New Roman"/>
      <w:sz w:val="24"/>
      <w:szCs w:val="20"/>
    </w:rPr>
  </w:style>
  <w:style w:type="paragraph" w:styleId="ListBullet">
    <w:name w:val="List Bullet"/>
    <w:basedOn w:val="Normal"/>
    <w:autoRedefine/>
    <w:uiPriority w:val="99"/>
    <w:rsid w:val="00116D21"/>
    <w:pPr>
      <w:spacing w:after="120" w:line="240" w:lineRule="auto"/>
      <w:ind w:left="360"/>
    </w:pPr>
    <w:rPr>
      <w:rFonts w:ascii="Times" w:eastAsia="Times New Roman" w:hAnsi="Times" w:cs="Times New Roman"/>
      <w:sz w:val="24"/>
      <w:szCs w:val="20"/>
    </w:rPr>
  </w:style>
  <w:style w:type="paragraph" w:styleId="ListBullet2">
    <w:name w:val="List Bullet 2"/>
    <w:basedOn w:val="Normal"/>
    <w:autoRedefine/>
    <w:uiPriority w:val="99"/>
    <w:rsid w:val="00116D21"/>
    <w:pPr>
      <w:tabs>
        <w:tab w:val="num" w:pos="720"/>
      </w:tabs>
      <w:spacing w:after="120" w:line="240" w:lineRule="auto"/>
      <w:ind w:left="720" w:hanging="360"/>
    </w:pPr>
    <w:rPr>
      <w:rFonts w:ascii="Times" w:eastAsia="Times New Roman" w:hAnsi="Times" w:cs="Times New Roman"/>
      <w:sz w:val="24"/>
      <w:szCs w:val="20"/>
    </w:rPr>
  </w:style>
  <w:style w:type="paragraph" w:styleId="ListBullet3">
    <w:name w:val="List Bullet 3"/>
    <w:basedOn w:val="Normal"/>
    <w:autoRedefine/>
    <w:uiPriority w:val="99"/>
    <w:rsid w:val="00116D21"/>
    <w:pPr>
      <w:tabs>
        <w:tab w:val="num" w:pos="1080"/>
      </w:tabs>
      <w:spacing w:after="120" w:line="240" w:lineRule="auto"/>
      <w:ind w:left="1080" w:hanging="360"/>
    </w:pPr>
    <w:rPr>
      <w:rFonts w:ascii="Times" w:eastAsia="Times New Roman" w:hAnsi="Times" w:cs="Times New Roman"/>
      <w:sz w:val="24"/>
      <w:szCs w:val="20"/>
    </w:rPr>
  </w:style>
  <w:style w:type="paragraph" w:styleId="ListBullet4">
    <w:name w:val="List Bullet 4"/>
    <w:basedOn w:val="Normal"/>
    <w:autoRedefine/>
    <w:uiPriority w:val="99"/>
    <w:rsid w:val="00116D21"/>
    <w:pPr>
      <w:tabs>
        <w:tab w:val="num" w:pos="1440"/>
      </w:tabs>
      <w:spacing w:after="120" w:line="240" w:lineRule="auto"/>
      <w:ind w:left="1440" w:hanging="360"/>
    </w:pPr>
    <w:rPr>
      <w:rFonts w:ascii="Times" w:eastAsia="Times New Roman" w:hAnsi="Times" w:cs="Times New Roman"/>
      <w:sz w:val="24"/>
      <w:szCs w:val="20"/>
    </w:rPr>
  </w:style>
  <w:style w:type="paragraph" w:styleId="ListBullet5">
    <w:name w:val="List Bullet 5"/>
    <w:basedOn w:val="Normal"/>
    <w:autoRedefine/>
    <w:uiPriority w:val="99"/>
    <w:rsid w:val="00116D21"/>
    <w:pPr>
      <w:tabs>
        <w:tab w:val="num" w:pos="1800"/>
      </w:tabs>
      <w:spacing w:after="120" w:line="240" w:lineRule="auto"/>
      <w:ind w:left="1800" w:hanging="360"/>
    </w:pPr>
    <w:rPr>
      <w:rFonts w:ascii="Times" w:eastAsia="Times New Roman" w:hAnsi="Times" w:cs="Times New Roman"/>
      <w:sz w:val="24"/>
      <w:szCs w:val="20"/>
    </w:rPr>
  </w:style>
  <w:style w:type="paragraph" w:styleId="ListNumber">
    <w:name w:val="List Number"/>
    <w:basedOn w:val="Normal"/>
    <w:uiPriority w:val="99"/>
    <w:rsid w:val="00116D21"/>
    <w:pPr>
      <w:tabs>
        <w:tab w:val="num" w:pos="360"/>
      </w:tabs>
      <w:spacing w:after="120" w:line="240" w:lineRule="auto"/>
      <w:ind w:left="360" w:hanging="360"/>
    </w:pPr>
    <w:rPr>
      <w:rFonts w:ascii="Times" w:eastAsia="Times New Roman" w:hAnsi="Times" w:cs="Times New Roman"/>
      <w:sz w:val="24"/>
      <w:szCs w:val="20"/>
    </w:rPr>
  </w:style>
  <w:style w:type="paragraph" w:styleId="ListNumber2">
    <w:name w:val="List Number 2"/>
    <w:basedOn w:val="Normal"/>
    <w:uiPriority w:val="99"/>
    <w:rsid w:val="00116D21"/>
    <w:pPr>
      <w:tabs>
        <w:tab w:val="num" w:pos="720"/>
      </w:tabs>
      <w:spacing w:after="120" w:line="240" w:lineRule="auto"/>
      <w:ind w:left="720" w:hanging="360"/>
    </w:pPr>
    <w:rPr>
      <w:rFonts w:ascii="Times" w:eastAsia="Times New Roman" w:hAnsi="Times" w:cs="Times New Roman"/>
      <w:sz w:val="24"/>
      <w:szCs w:val="20"/>
    </w:rPr>
  </w:style>
  <w:style w:type="paragraph" w:styleId="ListNumber3">
    <w:name w:val="List Number 3"/>
    <w:basedOn w:val="Normal"/>
    <w:uiPriority w:val="99"/>
    <w:rsid w:val="00116D21"/>
    <w:pPr>
      <w:tabs>
        <w:tab w:val="num" w:pos="1080"/>
      </w:tabs>
      <w:spacing w:after="120" w:line="240" w:lineRule="auto"/>
      <w:ind w:left="1080" w:hanging="360"/>
    </w:pPr>
    <w:rPr>
      <w:rFonts w:ascii="Times" w:eastAsia="Times New Roman" w:hAnsi="Times" w:cs="Times New Roman"/>
      <w:sz w:val="24"/>
      <w:szCs w:val="20"/>
    </w:rPr>
  </w:style>
  <w:style w:type="paragraph" w:styleId="ListNumber4">
    <w:name w:val="List Number 4"/>
    <w:basedOn w:val="Normal"/>
    <w:uiPriority w:val="99"/>
    <w:rsid w:val="00116D21"/>
    <w:pPr>
      <w:tabs>
        <w:tab w:val="num" w:pos="1440"/>
      </w:tabs>
      <w:spacing w:after="120" w:line="240" w:lineRule="auto"/>
      <w:ind w:left="1440" w:hanging="360"/>
    </w:pPr>
    <w:rPr>
      <w:rFonts w:ascii="Times" w:eastAsia="Times New Roman" w:hAnsi="Times" w:cs="Times New Roman"/>
      <w:sz w:val="24"/>
      <w:szCs w:val="20"/>
    </w:rPr>
  </w:style>
  <w:style w:type="paragraph" w:styleId="ListNumber5">
    <w:name w:val="List Number 5"/>
    <w:basedOn w:val="Normal"/>
    <w:uiPriority w:val="99"/>
    <w:rsid w:val="00116D21"/>
    <w:pPr>
      <w:tabs>
        <w:tab w:val="num" w:pos="1800"/>
      </w:tabs>
      <w:spacing w:after="120" w:line="240" w:lineRule="auto"/>
      <w:ind w:left="1800" w:hanging="360"/>
    </w:pPr>
    <w:rPr>
      <w:rFonts w:ascii="Times" w:eastAsia="Times New Roman" w:hAnsi="Times" w:cs="Times New Roman"/>
      <w:sz w:val="24"/>
      <w:szCs w:val="20"/>
    </w:rPr>
  </w:style>
  <w:style w:type="paragraph" w:styleId="BodyTextIndent">
    <w:name w:val="Body Text Indent"/>
    <w:basedOn w:val="Normal"/>
    <w:link w:val="BodyTextIndentChar"/>
    <w:uiPriority w:val="99"/>
    <w:rsid w:val="00116D21"/>
    <w:pPr>
      <w:spacing w:after="0" w:line="240" w:lineRule="auto"/>
      <w:ind w:left="1170" w:hanging="45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116D21"/>
    <w:rPr>
      <w:rFonts w:ascii="Times New Roman" w:eastAsia="Times New Roman" w:hAnsi="Times New Roman" w:cs="Times New Roman"/>
      <w:sz w:val="24"/>
      <w:szCs w:val="20"/>
    </w:rPr>
  </w:style>
  <w:style w:type="paragraph" w:styleId="BodyText3">
    <w:name w:val="Body Text 3"/>
    <w:basedOn w:val="Normal"/>
    <w:link w:val="BodyText3Char"/>
    <w:uiPriority w:val="99"/>
    <w:rsid w:val="00116D21"/>
    <w:pPr>
      <w:keepLines/>
      <w:spacing w:after="0" w:line="240" w:lineRule="auto"/>
    </w:pPr>
    <w:rPr>
      <w:rFonts w:ascii="Arial" w:eastAsia="Times New Roman" w:hAnsi="Arial" w:cs="Arial"/>
      <w:szCs w:val="24"/>
    </w:rPr>
  </w:style>
  <w:style w:type="character" w:customStyle="1" w:styleId="BodyText3Char">
    <w:name w:val="Body Text 3 Char"/>
    <w:basedOn w:val="DefaultParagraphFont"/>
    <w:link w:val="BodyText3"/>
    <w:uiPriority w:val="99"/>
    <w:rsid w:val="00116D21"/>
    <w:rPr>
      <w:rFonts w:ascii="Arial" w:eastAsia="Times New Roman" w:hAnsi="Arial" w:cs="Arial"/>
      <w:szCs w:val="24"/>
    </w:rPr>
  </w:style>
  <w:style w:type="paragraph" w:customStyle="1" w:styleId="Bullet1">
    <w:name w:val="Bullet 1"/>
    <w:basedOn w:val="Normal"/>
    <w:uiPriority w:val="99"/>
    <w:rsid w:val="00116D21"/>
    <w:pPr>
      <w:numPr>
        <w:numId w:val="12"/>
      </w:numPr>
      <w:spacing w:after="120" w:line="240" w:lineRule="auto"/>
    </w:pPr>
    <w:rPr>
      <w:rFonts w:ascii="Times New Roman" w:eastAsia="Times New Roman" w:hAnsi="Times New Roman" w:cs="Times New Roman"/>
      <w:sz w:val="24"/>
      <w:szCs w:val="20"/>
    </w:rPr>
  </w:style>
  <w:style w:type="paragraph" w:styleId="List">
    <w:name w:val="List"/>
    <w:basedOn w:val="Normal"/>
    <w:uiPriority w:val="99"/>
    <w:rsid w:val="00116D21"/>
    <w:pPr>
      <w:spacing w:after="0" w:line="240" w:lineRule="auto"/>
      <w:ind w:left="360" w:hanging="360"/>
    </w:pPr>
    <w:rPr>
      <w:rFonts w:ascii="Times New Roman" w:eastAsia="Times New Roman" w:hAnsi="Times New Roman" w:cs="Times New Roman"/>
      <w:sz w:val="24"/>
      <w:szCs w:val="20"/>
    </w:rPr>
  </w:style>
  <w:style w:type="paragraph" w:styleId="BodyText2">
    <w:name w:val="Body Text 2"/>
    <w:basedOn w:val="Normal"/>
    <w:link w:val="BodyText2Char"/>
    <w:uiPriority w:val="99"/>
    <w:rsid w:val="00116D21"/>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116D21"/>
    <w:rPr>
      <w:rFonts w:ascii="Times New Roman" w:eastAsia="Times New Roman" w:hAnsi="Times New Roman" w:cs="Times New Roman"/>
      <w:sz w:val="24"/>
      <w:szCs w:val="20"/>
    </w:rPr>
  </w:style>
  <w:style w:type="paragraph" w:customStyle="1" w:styleId="NormalCentered">
    <w:name w:val="Normal_Centered"/>
    <w:basedOn w:val="Normal"/>
    <w:uiPriority w:val="99"/>
    <w:rsid w:val="00116D21"/>
    <w:pPr>
      <w:spacing w:after="0" w:line="240" w:lineRule="auto"/>
      <w:jc w:val="center"/>
    </w:pPr>
    <w:rPr>
      <w:rFonts w:ascii="Times New Roman" w:eastAsia="Times New Roman" w:hAnsi="Times New Roman" w:cs="Times New Roman"/>
      <w:sz w:val="24"/>
      <w:szCs w:val="20"/>
    </w:rPr>
  </w:style>
  <w:style w:type="paragraph" w:customStyle="1" w:styleId="NormalInd1">
    <w:name w:val="Normal_Ind_1"/>
    <w:basedOn w:val="Normal"/>
    <w:uiPriority w:val="99"/>
    <w:rsid w:val="00116D21"/>
    <w:pPr>
      <w:numPr>
        <w:numId w:val="10"/>
      </w:numPr>
      <w:spacing w:after="240" w:line="240" w:lineRule="auto"/>
    </w:pPr>
    <w:rPr>
      <w:rFonts w:ascii="Times New Roman" w:eastAsia="Times New Roman" w:hAnsi="Times New Roman" w:cs="Times New Roman"/>
      <w:sz w:val="24"/>
      <w:szCs w:val="20"/>
    </w:rPr>
  </w:style>
  <w:style w:type="paragraph" w:customStyle="1" w:styleId="NormalIndbullets">
    <w:name w:val="Normal_Ind_bullets"/>
    <w:basedOn w:val="Normal"/>
    <w:uiPriority w:val="99"/>
    <w:rsid w:val="00116D21"/>
    <w:pPr>
      <w:numPr>
        <w:numId w:val="11"/>
      </w:numPr>
      <w:spacing w:after="0" w:line="240" w:lineRule="auto"/>
    </w:pPr>
    <w:rPr>
      <w:rFonts w:ascii="Times New Roman" w:eastAsia="Times New Roman" w:hAnsi="Times New Roman" w:cs="Times New Roman"/>
      <w:sz w:val="24"/>
      <w:szCs w:val="20"/>
    </w:rPr>
  </w:style>
  <w:style w:type="character" w:styleId="IntenseReference">
    <w:name w:val="Intense Reference"/>
    <w:basedOn w:val="DefaultParagraphFont"/>
    <w:uiPriority w:val="99"/>
    <w:qFormat/>
    <w:rsid w:val="00116D21"/>
    <w:rPr>
      <w:rFonts w:cs="Times New Roman"/>
      <w:b/>
      <w:bCs/>
      <w:smallCaps/>
      <w:color w:val="C0504D"/>
      <w:spacing w:val="5"/>
      <w:u w:val="single"/>
    </w:rPr>
  </w:style>
  <w:style w:type="character" w:styleId="Emphasis">
    <w:name w:val="Emphasis"/>
    <w:basedOn w:val="DefaultParagraphFont"/>
    <w:uiPriority w:val="99"/>
    <w:qFormat/>
    <w:rsid w:val="00116D21"/>
    <w:rPr>
      <w:rFonts w:cs="Times New Roman"/>
      <w:i/>
      <w:iCs/>
    </w:rPr>
  </w:style>
  <w:style w:type="paragraph" w:customStyle="1" w:styleId="Body">
    <w:name w:val="Body"/>
    <w:uiPriority w:val="99"/>
    <w:rsid w:val="00116D21"/>
    <w:pPr>
      <w:spacing w:after="240" w:line="312" w:lineRule="auto"/>
    </w:pPr>
    <w:rPr>
      <w:rFonts w:ascii="Arial" w:eastAsia="Times New Roman" w:hAnsi="Arial" w:cs="Arial"/>
      <w:sz w:val="20"/>
    </w:rPr>
  </w:style>
  <w:style w:type="paragraph" w:customStyle="1" w:styleId="xl88">
    <w:name w:val="xl88"/>
    <w:basedOn w:val="Normal"/>
    <w:rsid w:val="00116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9">
    <w:name w:val="xl89"/>
    <w:basedOn w:val="Normal"/>
    <w:rsid w:val="00116D21"/>
    <w:pPr>
      <w:pBdr>
        <w:top w:val="single" w:sz="4" w:space="0" w:color="1F497D"/>
        <w:left w:val="single" w:sz="4" w:space="0" w:color="FFFFFF"/>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18"/>
      <w:szCs w:val="18"/>
    </w:rPr>
  </w:style>
  <w:style w:type="paragraph" w:customStyle="1" w:styleId="xl90">
    <w:name w:val="xl90"/>
    <w:basedOn w:val="Normal"/>
    <w:rsid w:val="00116D21"/>
    <w:pPr>
      <w:pBdr>
        <w:top w:val="single" w:sz="4" w:space="0" w:color="1F497D"/>
        <w:right w:val="single" w:sz="4" w:space="0" w:color="FFFFFF"/>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18"/>
      <w:szCs w:val="18"/>
    </w:rPr>
  </w:style>
  <w:style w:type="paragraph" w:customStyle="1" w:styleId="xl91">
    <w:name w:val="xl91"/>
    <w:basedOn w:val="Normal"/>
    <w:rsid w:val="00116D21"/>
    <w:pPr>
      <w:pBdr>
        <w:left w:val="single" w:sz="4" w:space="0" w:color="FFFFFF"/>
        <w:bottom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18"/>
      <w:szCs w:val="18"/>
    </w:rPr>
  </w:style>
  <w:style w:type="paragraph" w:customStyle="1" w:styleId="xl92">
    <w:name w:val="xl92"/>
    <w:basedOn w:val="Normal"/>
    <w:rsid w:val="00116D21"/>
    <w:pPr>
      <w:pBdr>
        <w:bottom w:val="single" w:sz="4" w:space="0" w:color="auto"/>
        <w:right w:val="single" w:sz="4" w:space="0" w:color="FFFFFF"/>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0"/>
    <w:lsdException w:name="footer" w:uiPriority="0"/>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EF798E"/>
  </w:style>
  <w:style w:type="paragraph" w:styleId="Heading1">
    <w:name w:val="heading 1"/>
    <w:next w:val="BodyParagraph"/>
    <w:link w:val="Heading1Char"/>
    <w:uiPriority w:val="99"/>
    <w:qFormat/>
    <w:rsid w:val="00344C3B"/>
    <w:pPr>
      <w:keepNext/>
      <w:numPr>
        <w:numId w:val="3"/>
      </w:numPr>
      <w:spacing w:after="120" w:line="240" w:lineRule="auto"/>
      <w:outlineLvl w:val="0"/>
    </w:pPr>
    <w:rPr>
      <w:rFonts w:ascii="Arial Black" w:eastAsia="Times New Roman" w:hAnsi="Arial Black" w:cs="Times New Roman"/>
      <w:b/>
      <w:color w:val="433B67"/>
      <w:sz w:val="28"/>
      <w:szCs w:val="28"/>
    </w:rPr>
  </w:style>
  <w:style w:type="paragraph" w:styleId="Heading2">
    <w:name w:val="heading 2"/>
    <w:basedOn w:val="Heading1"/>
    <w:next w:val="BodyParagraph"/>
    <w:link w:val="Heading2Char"/>
    <w:uiPriority w:val="99"/>
    <w:unhideWhenUsed/>
    <w:qFormat/>
    <w:rsid w:val="00344C3B"/>
    <w:pPr>
      <w:numPr>
        <w:ilvl w:val="1"/>
      </w:numPr>
      <w:ind w:left="540" w:hanging="540"/>
      <w:outlineLvl w:val="1"/>
    </w:pPr>
    <w:rPr>
      <w:rFonts w:ascii="Arial" w:eastAsiaTheme="majorEastAsia" w:hAnsi="Arial" w:cstheme="majorBidi"/>
      <w:bCs/>
      <w:sz w:val="26"/>
      <w:szCs w:val="26"/>
    </w:rPr>
  </w:style>
  <w:style w:type="paragraph" w:styleId="Heading3">
    <w:name w:val="heading 3"/>
    <w:basedOn w:val="Heading2"/>
    <w:next w:val="BodyParagraph"/>
    <w:link w:val="Heading3Char"/>
    <w:uiPriority w:val="99"/>
    <w:unhideWhenUsed/>
    <w:qFormat/>
    <w:rsid w:val="007C29F6"/>
    <w:pPr>
      <w:keepLines/>
      <w:numPr>
        <w:ilvl w:val="2"/>
      </w:numPr>
      <w:ind w:left="1080"/>
      <w:outlineLvl w:val="2"/>
    </w:pPr>
    <w:rPr>
      <w:bCs w:val="0"/>
    </w:rPr>
  </w:style>
  <w:style w:type="paragraph" w:styleId="Heading4">
    <w:name w:val="heading 4"/>
    <w:basedOn w:val="Normal"/>
    <w:next w:val="BodyParagraph"/>
    <w:link w:val="Heading4Char"/>
    <w:uiPriority w:val="99"/>
    <w:unhideWhenUsed/>
    <w:qFormat/>
    <w:rsid w:val="00344C3B"/>
    <w:pPr>
      <w:keepNext/>
      <w:keepLines/>
      <w:spacing w:before="200" w:after="0"/>
      <w:ind w:left="360"/>
      <w:outlineLvl w:val="3"/>
    </w:pPr>
    <w:rPr>
      <w:rFonts w:ascii="Arial" w:eastAsiaTheme="majorEastAsia" w:hAnsi="Arial" w:cs="Arial"/>
      <w:b/>
      <w:bCs/>
      <w:i/>
      <w:iCs/>
      <w:color w:val="433B67"/>
      <w:sz w:val="24"/>
    </w:rPr>
  </w:style>
  <w:style w:type="paragraph" w:styleId="Heading5">
    <w:name w:val="heading 5"/>
    <w:basedOn w:val="Normal"/>
    <w:next w:val="Normal"/>
    <w:link w:val="Heading5Char"/>
    <w:uiPriority w:val="99"/>
    <w:unhideWhenUsed/>
    <w:qFormat/>
    <w:rsid w:val="0046277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unhideWhenUsed/>
    <w:qFormat/>
    <w:rsid w:val="0046277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46277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46277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46277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A6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A6B02"/>
    <w:rPr>
      <w:rFonts w:ascii="Tahoma" w:hAnsi="Tahoma" w:cs="Tahoma"/>
      <w:sz w:val="16"/>
      <w:szCs w:val="16"/>
    </w:rPr>
  </w:style>
  <w:style w:type="paragraph" w:customStyle="1" w:styleId="TitleHeader">
    <w:name w:val="Title Header"/>
    <w:uiPriority w:val="99"/>
    <w:qFormat/>
    <w:rsid w:val="002A6B02"/>
    <w:pPr>
      <w:spacing w:after="120" w:line="240" w:lineRule="auto"/>
    </w:pPr>
    <w:rPr>
      <w:rFonts w:ascii="Arial" w:eastAsia="Times New Roman" w:hAnsi="Arial" w:cs="Arial"/>
      <w:b/>
      <w:i/>
      <w:color w:val="FFFFFF"/>
      <w:sz w:val="24"/>
      <w:szCs w:val="24"/>
    </w:rPr>
  </w:style>
  <w:style w:type="paragraph" w:customStyle="1" w:styleId="TitleProposal">
    <w:name w:val="Title Proposal"/>
    <w:uiPriority w:val="99"/>
    <w:qFormat/>
    <w:rsid w:val="00305437"/>
    <w:pPr>
      <w:spacing w:after="400" w:line="240" w:lineRule="auto"/>
    </w:pPr>
    <w:rPr>
      <w:rFonts w:ascii="Arial" w:eastAsia="Times New Roman" w:hAnsi="Arial" w:cs="Arial"/>
      <w:b/>
      <w:color w:val="FFFFFF"/>
      <w:sz w:val="28"/>
      <w:szCs w:val="28"/>
    </w:rPr>
  </w:style>
  <w:style w:type="paragraph" w:customStyle="1" w:styleId="TitleAddress">
    <w:name w:val="Title Address"/>
    <w:uiPriority w:val="99"/>
    <w:qFormat/>
    <w:rsid w:val="00305437"/>
    <w:pPr>
      <w:tabs>
        <w:tab w:val="left" w:pos="3960"/>
      </w:tabs>
      <w:spacing w:after="400" w:line="240" w:lineRule="auto"/>
    </w:pPr>
    <w:rPr>
      <w:rFonts w:ascii="Arial" w:eastAsia="Times New Roman" w:hAnsi="Arial" w:cs="Arial"/>
      <w:b/>
      <w:color w:val="FFFFFF"/>
    </w:rPr>
  </w:style>
  <w:style w:type="paragraph" w:styleId="Footer">
    <w:name w:val="footer"/>
    <w:basedOn w:val="Normal"/>
    <w:link w:val="FooterChar"/>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rsid w:val="002A6B02"/>
    <w:rPr>
      <w:rFonts w:ascii="Arial" w:eastAsia="Times New Roman" w:hAnsi="Arial" w:cs="Times New Roman"/>
      <w:szCs w:val="24"/>
    </w:rPr>
  </w:style>
  <w:style w:type="character" w:styleId="PageNumber">
    <w:name w:val="page number"/>
    <w:basedOn w:val="DefaultParagraphFont"/>
    <w:rsid w:val="002A6B02"/>
  </w:style>
  <w:style w:type="paragraph" w:styleId="Header">
    <w:name w:val="header"/>
    <w:basedOn w:val="Normal"/>
    <w:link w:val="HeaderChar"/>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2A6B02"/>
    <w:rPr>
      <w:rFonts w:ascii="Arial" w:eastAsia="Times New Roman" w:hAnsi="Arial" w:cs="Times New Roman"/>
      <w:szCs w:val="24"/>
    </w:rPr>
  </w:style>
  <w:style w:type="paragraph" w:customStyle="1" w:styleId="PreparedFor">
    <w:name w:val="Prepared For"/>
    <w:uiPriority w:val="99"/>
    <w:rsid w:val="00305437"/>
    <w:pPr>
      <w:spacing w:before="400" w:after="120" w:line="240" w:lineRule="auto"/>
      <w:jc w:val="right"/>
    </w:pPr>
    <w:rPr>
      <w:rFonts w:ascii="Arial" w:eastAsia="Times New Roman" w:hAnsi="Arial" w:cs="Times New Roman"/>
      <w:i/>
      <w:szCs w:val="20"/>
    </w:rPr>
  </w:style>
  <w:style w:type="paragraph" w:customStyle="1" w:styleId="PreparedForCompany">
    <w:name w:val="Prepared For Company"/>
    <w:basedOn w:val="Normal"/>
    <w:uiPriority w:val="99"/>
    <w:qFormat/>
    <w:rsid w:val="00305437"/>
    <w:pPr>
      <w:spacing w:after="0" w:line="240" w:lineRule="auto"/>
      <w:jc w:val="right"/>
    </w:pPr>
    <w:rPr>
      <w:rFonts w:ascii="Arial" w:eastAsia="Times New Roman" w:hAnsi="Arial" w:cs="Times New Roman"/>
      <w:szCs w:val="24"/>
    </w:rPr>
  </w:style>
  <w:style w:type="character" w:customStyle="1" w:styleId="Heading1Char">
    <w:name w:val="Heading 1 Char"/>
    <w:basedOn w:val="DefaultParagraphFont"/>
    <w:link w:val="Heading1"/>
    <w:uiPriority w:val="99"/>
    <w:rsid w:val="003D68A0"/>
    <w:rPr>
      <w:rFonts w:ascii="Arial Black" w:eastAsia="Times New Roman" w:hAnsi="Arial Black" w:cs="Times New Roman"/>
      <w:b/>
      <w:color w:val="433B67"/>
      <w:sz w:val="28"/>
      <w:szCs w:val="28"/>
    </w:rPr>
  </w:style>
  <w:style w:type="paragraph" w:styleId="TOCHeading">
    <w:name w:val="TOC Heading"/>
    <w:basedOn w:val="Heading1"/>
    <w:next w:val="Normal"/>
    <w:uiPriority w:val="99"/>
    <w:unhideWhenUsed/>
    <w:qFormat/>
    <w:rsid w:val="00F179F1"/>
    <w:pPr>
      <w:spacing w:before="480" w:after="0" w:line="276"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C33F08"/>
    <w:pPr>
      <w:tabs>
        <w:tab w:val="left" w:pos="270"/>
        <w:tab w:val="right" w:leader="dot" w:pos="8460"/>
      </w:tabs>
      <w:spacing w:after="100"/>
    </w:pPr>
    <w:rPr>
      <w:rFonts w:ascii="Arial" w:hAnsi="Arial" w:cs="Arial"/>
      <w:noProof/>
      <w:sz w:val="24"/>
      <w:szCs w:val="24"/>
    </w:rPr>
  </w:style>
  <w:style w:type="character" w:styleId="Hyperlink">
    <w:name w:val="Hyperlink"/>
    <w:basedOn w:val="DefaultParagraphFont"/>
    <w:uiPriority w:val="99"/>
    <w:unhideWhenUsed/>
    <w:rsid w:val="001C1F7B"/>
    <w:rPr>
      <w:color w:val="0000FF" w:themeColor="hyperlink"/>
    </w:rPr>
  </w:style>
  <w:style w:type="paragraph" w:customStyle="1" w:styleId="TableofContents">
    <w:name w:val="Table of Contents"/>
    <w:uiPriority w:val="99"/>
    <w:qFormat/>
    <w:rsid w:val="00AB380F"/>
    <w:pPr>
      <w:ind w:left="720"/>
    </w:pPr>
    <w:rPr>
      <w:rFonts w:ascii="TitilliumText22L Rg" w:eastAsia="Times New Roman" w:hAnsi="TitilliumText22L Rg" w:cs="Times New Roman"/>
      <w:b/>
      <w:color w:val="5F497A" w:themeColor="accent4" w:themeShade="BF"/>
      <w:sz w:val="28"/>
      <w:szCs w:val="24"/>
    </w:rPr>
  </w:style>
  <w:style w:type="character" w:customStyle="1" w:styleId="Heading2Char">
    <w:name w:val="Heading 2 Char"/>
    <w:basedOn w:val="DefaultParagraphFont"/>
    <w:link w:val="Heading2"/>
    <w:uiPriority w:val="99"/>
    <w:rsid w:val="007C29F6"/>
    <w:rPr>
      <w:rFonts w:ascii="Arial" w:eastAsiaTheme="majorEastAsia" w:hAnsi="Arial" w:cstheme="majorBidi"/>
      <w:b/>
      <w:bCs/>
      <w:color w:val="433B67"/>
      <w:sz w:val="26"/>
      <w:szCs w:val="26"/>
    </w:rPr>
  </w:style>
  <w:style w:type="paragraph" w:styleId="TOC2">
    <w:name w:val="toc 2"/>
    <w:basedOn w:val="Normal"/>
    <w:next w:val="Normal"/>
    <w:autoRedefine/>
    <w:uiPriority w:val="39"/>
    <w:unhideWhenUsed/>
    <w:rsid w:val="001C1F7B"/>
    <w:pPr>
      <w:tabs>
        <w:tab w:val="left" w:pos="720"/>
        <w:tab w:val="right" w:leader="dot" w:pos="8460"/>
      </w:tabs>
      <w:spacing w:after="100"/>
      <w:ind w:left="220"/>
    </w:pPr>
    <w:rPr>
      <w:rFonts w:ascii="Arial" w:hAnsi="Arial" w:cs="Arial"/>
      <w:noProof/>
      <w:sz w:val="24"/>
      <w:szCs w:val="24"/>
    </w:rPr>
  </w:style>
  <w:style w:type="character" w:customStyle="1" w:styleId="Heading3Char">
    <w:name w:val="Heading 3 Char"/>
    <w:basedOn w:val="DefaultParagraphFont"/>
    <w:link w:val="Heading3"/>
    <w:uiPriority w:val="99"/>
    <w:rsid w:val="007C29F6"/>
    <w:rPr>
      <w:rFonts w:ascii="Arial" w:eastAsiaTheme="majorEastAsia" w:hAnsi="Arial" w:cstheme="majorBidi"/>
      <w:b/>
      <w:color w:val="5F497A" w:themeColor="accent4" w:themeShade="BF"/>
      <w:sz w:val="26"/>
      <w:szCs w:val="26"/>
    </w:rPr>
  </w:style>
  <w:style w:type="paragraph" w:styleId="TOC3">
    <w:name w:val="toc 3"/>
    <w:basedOn w:val="Normal"/>
    <w:next w:val="Normal"/>
    <w:autoRedefine/>
    <w:uiPriority w:val="39"/>
    <w:unhideWhenUsed/>
    <w:rsid w:val="002842C9"/>
    <w:pPr>
      <w:tabs>
        <w:tab w:val="left" w:pos="1260"/>
        <w:tab w:val="right" w:leader="dot" w:pos="8460"/>
      </w:tabs>
      <w:spacing w:after="100"/>
      <w:ind w:left="440"/>
    </w:pPr>
    <w:rPr>
      <w:rFonts w:ascii="Arial" w:hAnsi="Arial" w:cs="Arial"/>
      <w:noProof/>
      <w:sz w:val="24"/>
      <w:szCs w:val="24"/>
    </w:rPr>
  </w:style>
  <w:style w:type="paragraph" w:customStyle="1" w:styleId="BodyParagraph">
    <w:name w:val="Body Paragraph"/>
    <w:link w:val="BodyParagraphChar"/>
    <w:uiPriority w:val="99"/>
    <w:qFormat/>
    <w:rsid w:val="00AB380F"/>
    <w:pPr>
      <w:spacing w:after="240" w:line="312" w:lineRule="auto"/>
    </w:pPr>
    <w:rPr>
      <w:rFonts w:ascii="Verdana" w:eastAsiaTheme="minorHAnsi" w:hAnsi="Verdana"/>
      <w:sz w:val="18"/>
    </w:rPr>
  </w:style>
  <w:style w:type="paragraph" w:customStyle="1" w:styleId="BodyBeforeBullet">
    <w:name w:val="Body Before Bullet"/>
    <w:basedOn w:val="BodyParagraph"/>
    <w:next w:val="Bullets"/>
    <w:qFormat/>
    <w:rsid w:val="00393B5B"/>
    <w:pPr>
      <w:keepNext/>
      <w:spacing w:after="60"/>
    </w:pPr>
  </w:style>
  <w:style w:type="paragraph" w:customStyle="1" w:styleId="Bullets">
    <w:name w:val="Bullets"/>
    <w:basedOn w:val="Normal"/>
    <w:qFormat/>
    <w:rsid w:val="00AB380F"/>
    <w:pPr>
      <w:numPr>
        <w:numId w:val="1"/>
      </w:numPr>
      <w:spacing w:after="120" w:line="240" w:lineRule="auto"/>
    </w:pPr>
    <w:rPr>
      <w:rFonts w:ascii="Verdana" w:eastAsia="Times New Roman" w:hAnsi="Verdana" w:cs="Arial"/>
      <w:sz w:val="18"/>
      <w:szCs w:val="21"/>
    </w:rPr>
  </w:style>
  <w:style w:type="paragraph" w:customStyle="1" w:styleId="BulletLast">
    <w:name w:val="Bullet Last"/>
    <w:basedOn w:val="Bullets"/>
    <w:next w:val="BodyParagraph"/>
    <w:qFormat/>
    <w:rsid w:val="001B352B"/>
    <w:pPr>
      <w:spacing w:after="360"/>
    </w:pPr>
  </w:style>
  <w:style w:type="paragraph" w:styleId="FootnoteText">
    <w:name w:val="footnote text"/>
    <w:aliases w:val="Footnote Text1 Char,Footnote Text Char Ch"/>
    <w:basedOn w:val="Normal"/>
    <w:link w:val="FootnoteTextChar"/>
    <w:uiPriority w:val="99"/>
    <w:unhideWhenUsed/>
    <w:rsid w:val="001B352B"/>
    <w:pPr>
      <w:spacing w:after="0" w:line="240" w:lineRule="auto"/>
    </w:pPr>
    <w:rPr>
      <w:sz w:val="20"/>
      <w:szCs w:val="20"/>
    </w:rPr>
  </w:style>
  <w:style w:type="character" w:customStyle="1" w:styleId="FootnoteTextChar">
    <w:name w:val="Footnote Text Char"/>
    <w:aliases w:val="Footnote Text1 Char Char,Footnote Text Char Ch Char"/>
    <w:basedOn w:val="DefaultParagraphFont"/>
    <w:link w:val="FootnoteText"/>
    <w:uiPriority w:val="99"/>
    <w:rsid w:val="001B352B"/>
    <w:rPr>
      <w:sz w:val="20"/>
      <w:szCs w:val="20"/>
    </w:rPr>
  </w:style>
  <w:style w:type="character" w:styleId="FootnoteReference">
    <w:name w:val="footnote reference"/>
    <w:basedOn w:val="DefaultParagraphFont"/>
    <w:uiPriority w:val="99"/>
    <w:unhideWhenUsed/>
    <w:rsid w:val="001B352B"/>
    <w:rPr>
      <w:vertAlign w:val="superscript"/>
    </w:rPr>
  </w:style>
  <w:style w:type="paragraph" w:customStyle="1" w:styleId="Footnote">
    <w:name w:val="Footnote"/>
    <w:basedOn w:val="FootnoteText"/>
    <w:qFormat/>
    <w:rsid w:val="001B352B"/>
    <w:pPr>
      <w:spacing w:after="120"/>
    </w:pPr>
    <w:rPr>
      <w:rFonts w:ascii="Franklin Gothic Book" w:hAnsi="Franklin Gothic Book"/>
      <w:sz w:val="18"/>
    </w:rPr>
  </w:style>
  <w:style w:type="paragraph" w:customStyle="1" w:styleId="TableFigureCaption">
    <w:name w:val="Table Figure Caption"/>
    <w:basedOn w:val="Normal"/>
    <w:next w:val="BodyParaAfterTableFigure"/>
    <w:qFormat/>
    <w:rsid w:val="002436C1"/>
    <w:pPr>
      <w:keepNext/>
      <w:spacing w:after="120" w:line="240" w:lineRule="auto"/>
      <w:jc w:val="center"/>
    </w:pPr>
    <w:rPr>
      <w:rFonts w:ascii="Arial" w:eastAsiaTheme="minorHAnsi" w:hAnsi="Arial"/>
      <w:b/>
      <w:sz w:val="20"/>
    </w:rPr>
  </w:style>
  <w:style w:type="table" w:styleId="TableGrid">
    <w:name w:val="Table Grid"/>
    <w:basedOn w:val="TableNormal"/>
    <w:uiPriority w:val="99"/>
    <w:rsid w:val="001B35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er">
    <w:name w:val="Table Header"/>
    <w:qFormat/>
    <w:rsid w:val="00C66141"/>
    <w:pPr>
      <w:spacing w:before="100" w:after="100" w:line="240" w:lineRule="auto"/>
      <w:jc w:val="center"/>
    </w:pPr>
    <w:rPr>
      <w:rFonts w:ascii="Arial" w:eastAsiaTheme="minorHAnsi" w:hAnsi="Arial"/>
      <w:color w:val="FFFFFF" w:themeColor="background1"/>
      <w:sz w:val="20"/>
    </w:rPr>
  </w:style>
  <w:style w:type="paragraph" w:customStyle="1" w:styleId="TableText">
    <w:name w:val="Table Text"/>
    <w:qFormat/>
    <w:rsid w:val="00C66141"/>
    <w:pPr>
      <w:spacing w:before="60" w:after="60" w:line="240" w:lineRule="auto"/>
      <w:jc w:val="center"/>
    </w:pPr>
    <w:rPr>
      <w:rFonts w:ascii="Arial" w:eastAsiaTheme="minorHAnsi" w:hAnsi="Arial"/>
      <w:sz w:val="18"/>
    </w:rPr>
  </w:style>
  <w:style w:type="paragraph" w:customStyle="1" w:styleId="BodyParaAfterTableFigure">
    <w:name w:val="Body Para After Table Figure"/>
    <w:basedOn w:val="BodyParagraph"/>
    <w:next w:val="BodyParagraph"/>
    <w:qFormat/>
    <w:rsid w:val="00B50663"/>
    <w:pPr>
      <w:spacing w:before="360"/>
    </w:pPr>
  </w:style>
  <w:style w:type="paragraph" w:customStyle="1" w:styleId="AppendixHeading">
    <w:name w:val="Appendix Heading"/>
    <w:basedOn w:val="Heading1"/>
    <w:next w:val="BodyParagraph"/>
    <w:qFormat/>
    <w:rsid w:val="003D68A0"/>
    <w:pPr>
      <w:numPr>
        <w:numId w:val="2"/>
      </w:numPr>
    </w:pPr>
  </w:style>
  <w:style w:type="character" w:customStyle="1" w:styleId="Heading4Char">
    <w:name w:val="Heading 4 Char"/>
    <w:basedOn w:val="DefaultParagraphFont"/>
    <w:link w:val="Heading4"/>
    <w:uiPriority w:val="99"/>
    <w:rsid w:val="00192CF8"/>
    <w:rPr>
      <w:rFonts w:ascii="Arial" w:eastAsiaTheme="majorEastAsia" w:hAnsi="Arial" w:cs="Arial"/>
      <w:b/>
      <w:bCs/>
      <w:i/>
      <w:iCs/>
      <w:color w:val="433B67"/>
      <w:sz w:val="24"/>
    </w:rPr>
  </w:style>
  <w:style w:type="character" w:customStyle="1" w:styleId="Heading5Char">
    <w:name w:val="Heading 5 Char"/>
    <w:basedOn w:val="DefaultParagraphFont"/>
    <w:link w:val="Heading5"/>
    <w:uiPriority w:val="99"/>
    <w:rsid w:val="004627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9"/>
    <w:rsid w:val="004627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4627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4627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46277A"/>
    <w:rPr>
      <w:rFonts w:asciiTheme="majorHAnsi" w:eastAsiaTheme="majorEastAsia" w:hAnsiTheme="majorHAnsi" w:cstheme="majorBidi"/>
      <w:i/>
      <w:iCs/>
      <w:color w:val="404040" w:themeColor="text1" w:themeTint="BF"/>
      <w:sz w:val="20"/>
      <w:szCs w:val="20"/>
    </w:rPr>
  </w:style>
  <w:style w:type="paragraph" w:customStyle="1" w:styleId="AppendixHeading2">
    <w:name w:val="Appendix Heading 2"/>
    <w:basedOn w:val="Normal"/>
    <w:next w:val="BodyParagraph"/>
    <w:qFormat/>
    <w:rsid w:val="002842C9"/>
    <w:pPr>
      <w:keepNext/>
      <w:numPr>
        <w:ilvl w:val="1"/>
        <w:numId w:val="2"/>
      </w:numPr>
      <w:spacing w:after="60" w:line="240" w:lineRule="auto"/>
      <w:ind w:left="540" w:hanging="540"/>
    </w:pPr>
    <w:rPr>
      <w:rFonts w:ascii="TitilliumText22L Rg" w:eastAsiaTheme="minorHAnsi" w:hAnsi="TitilliumText22L Rg"/>
      <w:b/>
      <w:color w:val="433B67"/>
      <w:sz w:val="26"/>
    </w:rPr>
  </w:style>
  <w:style w:type="paragraph" w:customStyle="1" w:styleId="AppendixHeading3">
    <w:name w:val="Appendix Heading 3"/>
    <w:basedOn w:val="Normal"/>
    <w:next w:val="BodyParagraph"/>
    <w:qFormat/>
    <w:rsid w:val="002842C9"/>
    <w:pPr>
      <w:numPr>
        <w:ilvl w:val="2"/>
        <w:numId w:val="2"/>
      </w:numPr>
      <w:spacing w:after="120" w:line="240" w:lineRule="auto"/>
      <w:ind w:left="720" w:hanging="720"/>
    </w:pPr>
    <w:rPr>
      <w:rFonts w:ascii="TitilliumText22L Rg" w:eastAsiaTheme="minorHAnsi" w:hAnsi="TitilliumText22L Rg"/>
      <w:b/>
      <w:color w:val="433B67"/>
      <w:sz w:val="24"/>
    </w:rPr>
  </w:style>
  <w:style w:type="paragraph" w:customStyle="1" w:styleId="AppendixHeading4">
    <w:name w:val="Appendix Heading 4"/>
    <w:basedOn w:val="BodyParagraph"/>
    <w:next w:val="BodyParagraph"/>
    <w:uiPriority w:val="99"/>
    <w:qFormat/>
    <w:rsid w:val="00AB380F"/>
    <w:pPr>
      <w:keepNext/>
      <w:spacing w:after="60" w:line="240" w:lineRule="auto"/>
      <w:ind w:firstLine="360"/>
    </w:pPr>
    <w:rPr>
      <w:rFonts w:ascii="TitilliumText22L Rg" w:hAnsi="TitilliumText22L Rg"/>
      <w:b/>
      <w:i/>
      <w:color w:val="433B67"/>
      <w:sz w:val="24"/>
    </w:rPr>
  </w:style>
  <w:style w:type="paragraph" w:styleId="TOC4">
    <w:name w:val="toc 4"/>
    <w:basedOn w:val="Normal"/>
    <w:next w:val="Normal"/>
    <w:autoRedefine/>
    <w:uiPriority w:val="99"/>
    <w:unhideWhenUsed/>
    <w:rsid w:val="001C1F7B"/>
    <w:pPr>
      <w:tabs>
        <w:tab w:val="left" w:pos="1530"/>
        <w:tab w:val="right" w:leader="dot" w:pos="8460"/>
      </w:tabs>
      <w:spacing w:after="100"/>
      <w:ind w:left="660"/>
    </w:pPr>
    <w:rPr>
      <w:rFonts w:ascii="Arial" w:hAnsi="Arial" w:cs="Arial"/>
      <w:noProof/>
      <w:sz w:val="24"/>
      <w:szCs w:val="24"/>
    </w:rPr>
  </w:style>
  <w:style w:type="numbering" w:customStyle="1" w:styleId="Numbered">
    <w:name w:val="Numbered"/>
    <w:basedOn w:val="NoList"/>
    <w:rsid w:val="00137F86"/>
    <w:pPr>
      <w:numPr>
        <w:numId w:val="4"/>
      </w:numPr>
    </w:pPr>
  </w:style>
  <w:style w:type="numbering" w:customStyle="1" w:styleId="NumberedSteps">
    <w:name w:val="Numbered Steps"/>
    <w:basedOn w:val="NoList"/>
    <w:rsid w:val="00137F86"/>
    <w:pPr>
      <w:numPr>
        <w:numId w:val="5"/>
      </w:numPr>
    </w:pPr>
  </w:style>
  <w:style w:type="paragraph" w:customStyle="1" w:styleId="Numbers">
    <w:name w:val="Numbers"/>
    <w:uiPriority w:val="99"/>
    <w:qFormat/>
    <w:rsid w:val="003D68A0"/>
    <w:pPr>
      <w:numPr>
        <w:numId w:val="6"/>
      </w:numPr>
      <w:spacing w:after="120" w:line="240" w:lineRule="auto"/>
    </w:pPr>
    <w:rPr>
      <w:rFonts w:ascii="Arial" w:eastAsia="Times New Roman" w:hAnsi="Arial" w:cs="Times New Roman"/>
      <w:sz w:val="20"/>
      <w:szCs w:val="28"/>
    </w:rPr>
  </w:style>
  <w:style w:type="paragraph" w:customStyle="1" w:styleId="NumbersLast">
    <w:name w:val="Numbers Last"/>
    <w:basedOn w:val="Numbers"/>
    <w:next w:val="BodyParagraph"/>
    <w:uiPriority w:val="99"/>
    <w:rsid w:val="007715BA"/>
    <w:pPr>
      <w:numPr>
        <w:numId w:val="7"/>
      </w:numPr>
      <w:spacing w:after="360"/>
    </w:pPr>
  </w:style>
  <w:style w:type="paragraph" w:customStyle="1" w:styleId="LetterDate">
    <w:name w:val="Letter Date"/>
    <w:next w:val="LetterAddressee"/>
    <w:uiPriority w:val="99"/>
    <w:qFormat/>
    <w:rsid w:val="00EB2941"/>
    <w:pPr>
      <w:spacing w:before="2000" w:line="240" w:lineRule="auto"/>
    </w:pPr>
    <w:rPr>
      <w:rFonts w:ascii="Arial" w:hAnsi="Arial"/>
    </w:rPr>
  </w:style>
  <w:style w:type="paragraph" w:customStyle="1" w:styleId="LetterAddressee">
    <w:name w:val="Letter Addressee"/>
    <w:next w:val="LetterSalutation"/>
    <w:uiPriority w:val="99"/>
    <w:qFormat/>
    <w:rsid w:val="00EB2941"/>
    <w:pPr>
      <w:spacing w:after="0" w:line="240" w:lineRule="auto"/>
    </w:pPr>
    <w:rPr>
      <w:rFonts w:ascii="Arial" w:hAnsi="Arial"/>
    </w:rPr>
  </w:style>
  <w:style w:type="paragraph" w:customStyle="1" w:styleId="LetterSalutation">
    <w:name w:val="Letter Salutation"/>
    <w:next w:val="BodyParagraph"/>
    <w:uiPriority w:val="99"/>
    <w:qFormat/>
    <w:rsid w:val="00EB2941"/>
    <w:pPr>
      <w:spacing w:before="400" w:line="240" w:lineRule="auto"/>
    </w:pPr>
    <w:rPr>
      <w:rFonts w:ascii="Arial" w:hAnsi="Arial"/>
    </w:rPr>
  </w:style>
  <w:style w:type="paragraph" w:customStyle="1" w:styleId="LetterClosing">
    <w:name w:val="Letter Closing"/>
    <w:uiPriority w:val="99"/>
    <w:qFormat/>
    <w:rsid w:val="00EB2941"/>
    <w:pPr>
      <w:spacing w:after="1000" w:line="240" w:lineRule="auto"/>
    </w:pPr>
    <w:rPr>
      <w:rFonts w:ascii="Arial" w:hAnsi="Arial"/>
    </w:rPr>
  </w:style>
  <w:style w:type="character" w:styleId="CommentReference">
    <w:name w:val="annotation reference"/>
    <w:basedOn w:val="DefaultParagraphFont"/>
    <w:uiPriority w:val="99"/>
    <w:semiHidden/>
    <w:unhideWhenUsed/>
    <w:rsid w:val="00116D21"/>
    <w:rPr>
      <w:sz w:val="16"/>
      <w:szCs w:val="16"/>
    </w:rPr>
  </w:style>
  <w:style w:type="paragraph" w:styleId="CommentText">
    <w:name w:val="annotation text"/>
    <w:basedOn w:val="Normal"/>
    <w:link w:val="CommentTextChar"/>
    <w:uiPriority w:val="99"/>
    <w:semiHidden/>
    <w:unhideWhenUsed/>
    <w:rsid w:val="00116D21"/>
    <w:pPr>
      <w:spacing w:line="240" w:lineRule="auto"/>
    </w:pPr>
    <w:rPr>
      <w:sz w:val="20"/>
      <w:szCs w:val="20"/>
    </w:rPr>
  </w:style>
  <w:style w:type="character" w:customStyle="1" w:styleId="CommentTextChar">
    <w:name w:val="Comment Text Char"/>
    <w:basedOn w:val="DefaultParagraphFont"/>
    <w:link w:val="CommentText"/>
    <w:uiPriority w:val="99"/>
    <w:semiHidden/>
    <w:rsid w:val="00116D2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16D21"/>
    <w:rPr>
      <w:b/>
      <w:bCs/>
    </w:rPr>
  </w:style>
  <w:style w:type="character" w:customStyle="1" w:styleId="CommentSubjectChar">
    <w:name w:val="Comment Subject Char"/>
    <w:basedOn w:val="CommentTextChar"/>
    <w:link w:val="CommentSubject"/>
    <w:uiPriority w:val="99"/>
    <w:semiHidden/>
    <w:rsid w:val="00116D21"/>
    <w:rPr>
      <w:rFonts w:eastAsiaTheme="minorEastAsia"/>
      <w:b/>
      <w:bCs/>
      <w:sz w:val="20"/>
      <w:szCs w:val="20"/>
    </w:rPr>
  </w:style>
  <w:style w:type="character" w:styleId="PlaceholderText">
    <w:name w:val="Placeholder Text"/>
    <w:basedOn w:val="DefaultParagraphFont"/>
    <w:uiPriority w:val="99"/>
    <w:semiHidden/>
    <w:rsid w:val="00116D21"/>
    <w:rPr>
      <w:color w:val="808080"/>
    </w:rPr>
  </w:style>
  <w:style w:type="character" w:customStyle="1" w:styleId="BodyParagraphChar">
    <w:name w:val="Body Paragraph Char"/>
    <w:basedOn w:val="DefaultParagraphFont"/>
    <w:link w:val="BodyParagraph"/>
    <w:uiPriority w:val="99"/>
    <w:rsid w:val="00116D21"/>
    <w:rPr>
      <w:rFonts w:ascii="Verdana" w:eastAsiaTheme="minorHAnsi" w:hAnsi="Verdana"/>
      <w:sz w:val="18"/>
    </w:rPr>
  </w:style>
  <w:style w:type="numbering" w:customStyle="1" w:styleId="Numbered1">
    <w:name w:val="Numbered1"/>
    <w:basedOn w:val="NoList"/>
    <w:uiPriority w:val="99"/>
    <w:rsid w:val="00116D21"/>
  </w:style>
  <w:style w:type="paragraph" w:customStyle="1" w:styleId="Default">
    <w:name w:val="Default"/>
    <w:rsid w:val="00116D21"/>
    <w:pPr>
      <w:autoSpaceDE w:val="0"/>
      <w:autoSpaceDN w:val="0"/>
      <w:adjustRightInd w:val="0"/>
      <w:spacing w:after="0" w:line="240" w:lineRule="auto"/>
    </w:pPr>
    <w:rPr>
      <w:rFonts w:ascii="Book Antiqua" w:hAnsi="Book Antiqua" w:cs="Book Antiqua"/>
      <w:color w:val="000000"/>
      <w:sz w:val="24"/>
      <w:szCs w:val="24"/>
    </w:rPr>
  </w:style>
  <w:style w:type="paragraph" w:styleId="ListParagraph">
    <w:name w:val="List Paragraph"/>
    <w:basedOn w:val="Normal"/>
    <w:uiPriority w:val="99"/>
    <w:qFormat/>
    <w:rsid w:val="00116D21"/>
    <w:pPr>
      <w:spacing w:after="120" w:line="240" w:lineRule="auto"/>
      <w:ind w:left="720" w:hanging="360"/>
      <w:contextualSpacing/>
    </w:pPr>
    <w:rPr>
      <w:rFonts w:ascii="Calibri" w:eastAsia="Calibri" w:hAnsi="Calibri" w:cs="Times New Roman"/>
    </w:rPr>
  </w:style>
  <w:style w:type="paragraph" w:customStyle="1" w:styleId="Bullet">
    <w:name w:val="Bullet"/>
    <w:basedOn w:val="Normal"/>
    <w:uiPriority w:val="99"/>
    <w:rsid w:val="00116D21"/>
    <w:pPr>
      <w:numPr>
        <w:numId w:val="8"/>
      </w:numPr>
      <w:spacing w:after="240" w:line="240" w:lineRule="auto"/>
    </w:pPr>
    <w:rPr>
      <w:rFonts w:ascii="Arial" w:eastAsia="Times New Roman" w:hAnsi="Arial" w:cs="Times New Roman"/>
    </w:rPr>
  </w:style>
  <w:style w:type="paragraph" w:styleId="Revision">
    <w:name w:val="Revision"/>
    <w:hidden/>
    <w:uiPriority w:val="99"/>
    <w:semiHidden/>
    <w:rsid w:val="00116D21"/>
    <w:pPr>
      <w:spacing w:after="0" w:line="240" w:lineRule="auto"/>
    </w:pPr>
    <w:rPr>
      <w:rFonts w:ascii="Calibri" w:eastAsia="Calibri" w:hAnsi="Calibri" w:cs="Times New Roman"/>
    </w:rPr>
  </w:style>
  <w:style w:type="paragraph" w:styleId="Caption">
    <w:name w:val="caption"/>
    <w:basedOn w:val="TableFigureCaption"/>
    <w:next w:val="Normal"/>
    <w:link w:val="CaptionChar"/>
    <w:uiPriority w:val="99"/>
    <w:qFormat/>
    <w:rsid w:val="002E1347"/>
    <w:pPr>
      <w:spacing w:after="0"/>
    </w:pPr>
    <w:rPr>
      <w:rFonts w:eastAsia="Times New Roman" w:cs="Times New Roman"/>
      <w:sz w:val="22"/>
    </w:rPr>
  </w:style>
  <w:style w:type="character" w:customStyle="1" w:styleId="CaptionChar">
    <w:name w:val="Caption Char"/>
    <w:basedOn w:val="DefaultParagraphFont"/>
    <w:link w:val="Caption"/>
    <w:uiPriority w:val="99"/>
    <w:locked/>
    <w:rsid w:val="00116D21"/>
    <w:rPr>
      <w:rFonts w:ascii="Arial" w:eastAsia="Times New Roman" w:hAnsi="Arial" w:cs="Times New Roman"/>
      <w:b/>
    </w:rPr>
  </w:style>
  <w:style w:type="table" w:styleId="TableProfessional">
    <w:name w:val="Table Professional"/>
    <w:basedOn w:val="TableNormal"/>
    <w:rsid w:val="00116D21"/>
    <w:pPr>
      <w:spacing w:after="0" w:line="240" w:lineRule="auto"/>
    </w:pPr>
    <w:rPr>
      <w:rFonts w:ascii="Arial Narrow" w:eastAsia="Times New Roman" w:hAnsi="Arial Narrow"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ormalBold">
    <w:name w:val="Normal + Bold"/>
    <w:aliases w:val="Centered"/>
    <w:basedOn w:val="BodyParagraph"/>
    <w:rsid w:val="002E1347"/>
    <w:rPr>
      <w:rFonts w:ascii="Arial" w:eastAsia="Calibri" w:hAnsi="Arial" w:cs="Times New Roman"/>
      <w:sz w:val="20"/>
    </w:rPr>
  </w:style>
  <w:style w:type="character" w:customStyle="1" w:styleId="CharChar1">
    <w:name w:val="Char Char1"/>
    <w:basedOn w:val="DefaultParagraphFont"/>
    <w:semiHidden/>
    <w:locked/>
    <w:rsid w:val="00116D21"/>
    <w:rPr>
      <w:rFonts w:ascii="Franklin Gothic Book" w:hAnsi="Franklin Gothic Book"/>
      <w:spacing w:val="-2"/>
      <w:lang w:val="en-US" w:eastAsia="en-US" w:bidi="ar-SA"/>
    </w:rPr>
  </w:style>
  <w:style w:type="paragraph" w:customStyle="1" w:styleId="Heading1notnumbered">
    <w:name w:val="Heading 1 not numbered"/>
    <w:basedOn w:val="Heading1"/>
    <w:rsid w:val="002E1347"/>
    <w:pPr>
      <w:numPr>
        <w:numId w:val="0"/>
      </w:numPr>
      <w:spacing w:after="240"/>
    </w:pPr>
    <w:rPr>
      <w:rFonts w:ascii="Arial Bold" w:hAnsi="Arial Bold"/>
    </w:rPr>
  </w:style>
  <w:style w:type="paragraph" w:styleId="NormalWeb">
    <w:name w:val="Normal (Web)"/>
    <w:basedOn w:val="Normal"/>
    <w:uiPriority w:val="99"/>
    <w:rsid w:val="00116D21"/>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TableCaption">
    <w:name w:val="Table Caption"/>
    <w:basedOn w:val="Caption"/>
    <w:rsid w:val="00116D21"/>
    <w:pPr>
      <w:keepNext w:val="0"/>
    </w:pPr>
    <w:rPr>
      <w:rFonts w:ascii="Times New Roman" w:hAnsi="Times New Roman"/>
      <w:bCs/>
      <w:sz w:val="24"/>
      <w:szCs w:val="20"/>
    </w:rPr>
  </w:style>
  <w:style w:type="paragraph" w:customStyle="1" w:styleId="standard">
    <w:name w:val="standard"/>
    <w:basedOn w:val="Normal"/>
    <w:link w:val="standardChar"/>
    <w:rsid w:val="00116D21"/>
    <w:pPr>
      <w:spacing w:after="0" w:line="360" w:lineRule="auto"/>
      <w:ind w:firstLine="720"/>
    </w:pPr>
    <w:rPr>
      <w:rFonts w:ascii="Palatino" w:eastAsia="Times New Roman" w:hAnsi="Palatino" w:cs="Times New Roman"/>
      <w:sz w:val="26"/>
      <w:szCs w:val="20"/>
    </w:rPr>
  </w:style>
  <w:style w:type="character" w:customStyle="1" w:styleId="standardChar">
    <w:name w:val="standard Char"/>
    <w:basedOn w:val="DefaultParagraphFont"/>
    <w:link w:val="standard"/>
    <w:rsid w:val="00116D21"/>
    <w:rPr>
      <w:rFonts w:ascii="Palatino" w:eastAsia="Times New Roman" w:hAnsi="Palatino" w:cs="Times New Roman"/>
      <w:sz w:val="26"/>
      <w:szCs w:val="20"/>
    </w:rPr>
  </w:style>
  <w:style w:type="numbering" w:customStyle="1" w:styleId="NoList1">
    <w:name w:val="No List1"/>
    <w:next w:val="NoList"/>
    <w:semiHidden/>
    <w:rsid w:val="00116D21"/>
  </w:style>
  <w:style w:type="character" w:styleId="FollowedHyperlink">
    <w:name w:val="FollowedHyperlink"/>
    <w:basedOn w:val="DefaultParagraphFont"/>
    <w:uiPriority w:val="99"/>
    <w:rsid w:val="00116D21"/>
    <w:rPr>
      <w:rFonts w:cs="Times New Roman"/>
      <w:color w:val="800080"/>
      <w:u w:val="single"/>
    </w:rPr>
  </w:style>
  <w:style w:type="paragraph" w:customStyle="1" w:styleId="xl66">
    <w:name w:val="xl66"/>
    <w:basedOn w:val="Normal"/>
    <w:rsid w:val="00116D21"/>
    <w:pPr>
      <w:spacing w:before="100" w:beforeAutospacing="1" w:after="100" w:afterAutospacing="1" w:line="240" w:lineRule="auto"/>
      <w:ind w:firstLineChars="100" w:firstLine="100"/>
      <w:jc w:val="right"/>
    </w:pPr>
    <w:rPr>
      <w:rFonts w:ascii="Times New Roman" w:eastAsia="Times New Roman" w:hAnsi="Times New Roman" w:cs="Times New Roman"/>
      <w:sz w:val="24"/>
      <w:szCs w:val="24"/>
    </w:rPr>
  </w:style>
  <w:style w:type="paragraph" w:customStyle="1" w:styleId="xl69">
    <w:name w:val="xl69"/>
    <w:basedOn w:val="Normal"/>
    <w:rsid w:val="00116D21"/>
    <w:pPr>
      <w:pBdr>
        <w:top w:val="single" w:sz="4" w:space="0" w:color="95B3D7"/>
        <w:left w:val="single" w:sz="4" w:space="0" w:color="95B3D7"/>
        <w:bottom w:val="single" w:sz="4" w:space="0" w:color="95B3D7"/>
      </w:pBdr>
      <w:shd w:val="clear" w:color="4F81BD" w:fill="1F497D"/>
      <w:spacing w:before="100" w:beforeAutospacing="1" w:after="100" w:afterAutospacing="1" w:line="240" w:lineRule="auto"/>
    </w:pPr>
    <w:rPr>
      <w:rFonts w:ascii="Arial" w:eastAsia="Times New Roman" w:hAnsi="Arial" w:cs="Arial"/>
      <w:b/>
      <w:bCs/>
      <w:color w:val="FFFFFF"/>
      <w:sz w:val="18"/>
      <w:szCs w:val="18"/>
    </w:rPr>
  </w:style>
  <w:style w:type="paragraph" w:customStyle="1" w:styleId="xl70">
    <w:name w:val="xl70"/>
    <w:basedOn w:val="Normal"/>
    <w:rsid w:val="00116D21"/>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1">
    <w:name w:val="xl71"/>
    <w:basedOn w:val="Normal"/>
    <w:rsid w:val="00116D21"/>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2">
    <w:name w:val="xl72"/>
    <w:basedOn w:val="Normal"/>
    <w:rsid w:val="00116D21"/>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3">
    <w:name w:val="xl73"/>
    <w:basedOn w:val="Normal"/>
    <w:rsid w:val="00116D21"/>
    <w:pPr>
      <w:pBdr>
        <w:top w:val="single" w:sz="4" w:space="0" w:color="95B3D7"/>
        <w:bottom w:val="single" w:sz="4" w:space="0" w:color="95B3D7"/>
        <w:right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4">
    <w:name w:val="xl74"/>
    <w:basedOn w:val="Normal"/>
    <w:rsid w:val="00116D21"/>
    <w:pPr>
      <w:pBdr>
        <w:left w:val="single" w:sz="4" w:space="0" w:color="95B3D7"/>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Normal"/>
    <w:rsid w:val="00116D21"/>
    <w:pPr>
      <w:pBdr>
        <w:bottom w:val="single" w:sz="4" w:space="0" w:color="95B3D7"/>
      </w:pBdr>
      <w:shd w:val="clear" w:color="DBE5F1" w:fill="DBE5F1"/>
      <w:spacing w:before="100" w:beforeAutospacing="1" w:after="100" w:afterAutospacing="1" w:line="240" w:lineRule="auto"/>
      <w:ind w:firstLineChars="100" w:firstLine="100"/>
      <w:jc w:val="right"/>
    </w:pPr>
    <w:rPr>
      <w:rFonts w:ascii="Arial" w:eastAsia="Times New Roman" w:hAnsi="Arial" w:cs="Arial"/>
      <w:sz w:val="18"/>
      <w:szCs w:val="18"/>
    </w:rPr>
  </w:style>
  <w:style w:type="paragraph" w:customStyle="1" w:styleId="xl76">
    <w:name w:val="xl76"/>
    <w:basedOn w:val="Normal"/>
    <w:rsid w:val="00116D21"/>
    <w:pPr>
      <w:pBdr>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7">
    <w:name w:val="xl77"/>
    <w:basedOn w:val="Normal"/>
    <w:rsid w:val="00116D21"/>
    <w:pPr>
      <w:pBdr>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8">
    <w:name w:val="xl78"/>
    <w:basedOn w:val="Normal"/>
    <w:rsid w:val="00116D21"/>
    <w:pPr>
      <w:pBdr>
        <w:bottom w:val="single" w:sz="4" w:space="0" w:color="95B3D7"/>
        <w:right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9">
    <w:name w:val="xl79"/>
    <w:basedOn w:val="Normal"/>
    <w:rsid w:val="00116D21"/>
    <w:pPr>
      <w:pBdr>
        <w:left w:val="single" w:sz="4" w:space="0" w:color="95B3D7"/>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0">
    <w:name w:val="xl80"/>
    <w:basedOn w:val="Normal"/>
    <w:rsid w:val="00116D21"/>
    <w:pPr>
      <w:pBdr>
        <w:bottom w:val="single" w:sz="4" w:space="0" w:color="95B3D7"/>
      </w:pBdr>
      <w:spacing w:before="100" w:beforeAutospacing="1" w:after="100" w:afterAutospacing="1" w:line="240" w:lineRule="auto"/>
      <w:ind w:firstLineChars="100" w:firstLine="100"/>
      <w:jc w:val="right"/>
    </w:pPr>
    <w:rPr>
      <w:rFonts w:ascii="Arial" w:eastAsia="Times New Roman" w:hAnsi="Arial" w:cs="Arial"/>
      <w:sz w:val="18"/>
      <w:szCs w:val="18"/>
    </w:rPr>
  </w:style>
  <w:style w:type="paragraph" w:customStyle="1" w:styleId="xl81">
    <w:name w:val="xl81"/>
    <w:basedOn w:val="Normal"/>
    <w:rsid w:val="00116D21"/>
    <w:pPr>
      <w:pBdr>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2">
    <w:name w:val="xl82"/>
    <w:basedOn w:val="Normal"/>
    <w:rsid w:val="00116D21"/>
    <w:pPr>
      <w:pBdr>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3">
    <w:name w:val="xl83"/>
    <w:basedOn w:val="Normal"/>
    <w:rsid w:val="00116D21"/>
    <w:pPr>
      <w:pBdr>
        <w:bottom w:val="single" w:sz="4" w:space="0" w:color="95B3D7"/>
        <w:right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4">
    <w:name w:val="xl84"/>
    <w:basedOn w:val="Normal"/>
    <w:rsid w:val="00116D21"/>
    <w:pPr>
      <w:pBdr>
        <w:left w:val="single" w:sz="4" w:space="7" w:color="95B3D7"/>
        <w:bottom w:val="single" w:sz="4" w:space="0" w:color="95B3D7"/>
      </w:pBdr>
      <w:spacing w:before="100" w:beforeAutospacing="1" w:after="100" w:afterAutospacing="1" w:line="240" w:lineRule="auto"/>
      <w:ind w:firstLineChars="100" w:firstLine="100"/>
    </w:pPr>
    <w:rPr>
      <w:rFonts w:ascii="Arial" w:eastAsia="Times New Roman" w:hAnsi="Arial" w:cs="Arial"/>
      <w:sz w:val="18"/>
      <w:szCs w:val="18"/>
    </w:rPr>
  </w:style>
  <w:style w:type="paragraph" w:customStyle="1" w:styleId="xl85">
    <w:name w:val="xl85"/>
    <w:basedOn w:val="Normal"/>
    <w:rsid w:val="00116D21"/>
    <w:pPr>
      <w:pBdr>
        <w:left w:val="single" w:sz="4" w:space="7" w:color="95B3D7"/>
        <w:bottom w:val="single" w:sz="4" w:space="0" w:color="95B3D7"/>
      </w:pBdr>
      <w:shd w:val="clear" w:color="DBE5F1" w:fill="DBE5F1"/>
      <w:spacing w:before="100" w:beforeAutospacing="1" w:after="100" w:afterAutospacing="1" w:line="240" w:lineRule="auto"/>
      <w:ind w:firstLineChars="100" w:firstLine="100"/>
    </w:pPr>
    <w:rPr>
      <w:rFonts w:ascii="Arial" w:eastAsia="Times New Roman" w:hAnsi="Arial" w:cs="Arial"/>
      <w:sz w:val="18"/>
      <w:szCs w:val="18"/>
    </w:rPr>
  </w:style>
  <w:style w:type="paragraph" w:customStyle="1" w:styleId="xl86">
    <w:name w:val="xl86"/>
    <w:basedOn w:val="Normal"/>
    <w:rsid w:val="00116D21"/>
    <w:pPr>
      <w:pBdr>
        <w:left w:val="single" w:sz="4" w:space="0" w:color="95B3D7"/>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87">
    <w:name w:val="xl87"/>
    <w:basedOn w:val="Normal"/>
    <w:rsid w:val="00116D21"/>
    <w:pPr>
      <w:pBdr>
        <w:left w:val="single" w:sz="4" w:space="0" w:color="95B3D7"/>
        <w:bottom w:val="single" w:sz="4" w:space="0" w:color="95B3D7"/>
      </w:pBdr>
      <w:spacing w:before="100" w:beforeAutospacing="1" w:after="100" w:afterAutospacing="1" w:line="240" w:lineRule="auto"/>
    </w:pPr>
    <w:rPr>
      <w:rFonts w:ascii="Arial" w:eastAsia="Times New Roman" w:hAnsi="Arial" w:cs="Arial"/>
      <w:sz w:val="18"/>
      <w:szCs w:val="18"/>
    </w:rPr>
  </w:style>
  <w:style w:type="table" w:customStyle="1" w:styleId="MediumShading1-Accent11">
    <w:name w:val="Medium Shading 1 - Accent 11"/>
    <w:basedOn w:val="TableNormal"/>
    <w:uiPriority w:val="63"/>
    <w:rsid w:val="00116D21"/>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5">
    <w:name w:val="toc 5"/>
    <w:basedOn w:val="Normal"/>
    <w:next w:val="Normal"/>
    <w:autoRedefine/>
    <w:uiPriority w:val="99"/>
    <w:unhideWhenUsed/>
    <w:rsid w:val="00116D21"/>
    <w:pPr>
      <w:spacing w:after="100"/>
      <w:ind w:left="880"/>
    </w:pPr>
    <w:rPr>
      <w:rFonts w:ascii="Calibri" w:eastAsia="Times New Roman" w:hAnsi="Calibri" w:cs="Times New Roman"/>
    </w:rPr>
  </w:style>
  <w:style w:type="paragraph" w:styleId="TOC6">
    <w:name w:val="toc 6"/>
    <w:basedOn w:val="Normal"/>
    <w:next w:val="Normal"/>
    <w:autoRedefine/>
    <w:uiPriority w:val="99"/>
    <w:unhideWhenUsed/>
    <w:rsid w:val="00116D21"/>
    <w:pPr>
      <w:spacing w:after="100"/>
      <w:ind w:left="1100"/>
    </w:pPr>
    <w:rPr>
      <w:rFonts w:ascii="Calibri" w:eastAsia="Times New Roman" w:hAnsi="Calibri" w:cs="Times New Roman"/>
    </w:rPr>
  </w:style>
  <w:style w:type="paragraph" w:styleId="TOC7">
    <w:name w:val="toc 7"/>
    <w:basedOn w:val="Normal"/>
    <w:next w:val="Normal"/>
    <w:autoRedefine/>
    <w:uiPriority w:val="99"/>
    <w:unhideWhenUsed/>
    <w:rsid w:val="00116D21"/>
    <w:pPr>
      <w:spacing w:after="100"/>
      <w:ind w:left="1320"/>
    </w:pPr>
    <w:rPr>
      <w:rFonts w:ascii="Calibri" w:eastAsia="Times New Roman" w:hAnsi="Calibri" w:cs="Times New Roman"/>
    </w:rPr>
  </w:style>
  <w:style w:type="paragraph" w:styleId="TOC8">
    <w:name w:val="toc 8"/>
    <w:basedOn w:val="Normal"/>
    <w:next w:val="Normal"/>
    <w:autoRedefine/>
    <w:uiPriority w:val="99"/>
    <w:unhideWhenUsed/>
    <w:rsid w:val="00116D21"/>
    <w:pPr>
      <w:spacing w:after="100"/>
      <w:ind w:left="1540"/>
    </w:pPr>
    <w:rPr>
      <w:rFonts w:ascii="Calibri" w:eastAsia="Times New Roman" w:hAnsi="Calibri" w:cs="Times New Roman"/>
    </w:rPr>
  </w:style>
  <w:style w:type="paragraph" w:styleId="TOC9">
    <w:name w:val="toc 9"/>
    <w:basedOn w:val="Normal"/>
    <w:next w:val="Normal"/>
    <w:autoRedefine/>
    <w:uiPriority w:val="99"/>
    <w:unhideWhenUsed/>
    <w:rsid w:val="00116D21"/>
    <w:pPr>
      <w:spacing w:after="100"/>
      <w:ind w:left="1760"/>
    </w:pPr>
    <w:rPr>
      <w:rFonts w:ascii="Calibri" w:eastAsia="Times New Roman" w:hAnsi="Calibri" w:cs="Times New Roman"/>
    </w:rPr>
  </w:style>
  <w:style w:type="character" w:styleId="Strong">
    <w:name w:val="Strong"/>
    <w:basedOn w:val="DefaultParagraphFont"/>
    <w:qFormat/>
    <w:rsid w:val="00116D21"/>
    <w:rPr>
      <w:b/>
      <w:bCs/>
    </w:rPr>
  </w:style>
  <w:style w:type="paragraph" w:customStyle="1" w:styleId="xl65">
    <w:name w:val="xl65"/>
    <w:basedOn w:val="Normal"/>
    <w:rsid w:val="00116D21"/>
    <w:pPr>
      <w:spacing w:before="100" w:beforeAutospacing="1" w:after="100" w:afterAutospacing="1" w:line="240" w:lineRule="auto"/>
    </w:pPr>
    <w:rPr>
      <w:rFonts w:ascii="Arial" w:eastAsia="Times New Roman" w:hAnsi="Arial" w:cs="Arial"/>
      <w:sz w:val="18"/>
      <w:szCs w:val="18"/>
    </w:rPr>
  </w:style>
  <w:style w:type="paragraph" w:customStyle="1" w:styleId="xl67">
    <w:name w:val="xl67"/>
    <w:basedOn w:val="Normal"/>
    <w:rsid w:val="00116D21"/>
    <w:pPr>
      <w:shd w:val="clear" w:color="000000" w:fill="376091"/>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68">
    <w:name w:val="xl68"/>
    <w:basedOn w:val="Normal"/>
    <w:rsid w:val="00116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styleId="TableofFigures">
    <w:name w:val="table of figures"/>
    <w:basedOn w:val="Normal"/>
    <w:next w:val="Normal"/>
    <w:uiPriority w:val="99"/>
    <w:rsid w:val="00116D21"/>
    <w:pPr>
      <w:tabs>
        <w:tab w:val="right" w:leader="dot" w:pos="9350"/>
      </w:tabs>
      <w:spacing w:after="0" w:line="240" w:lineRule="auto"/>
      <w:ind w:left="810" w:hanging="810"/>
    </w:pPr>
    <w:rPr>
      <w:rFonts w:ascii="Times New Roman" w:eastAsia="Times New Roman" w:hAnsi="Times New Roman" w:cs="Times New Roman"/>
      <w:noProof/>
      <w:sz w:val="24"/>
      <w:szCs w:val="20"/>
    </w:rPr>
  </w:style>
  <w:style w:type="paragraph" w:styleId="NoSpacing">
    <w:name w:val="No Spacing"/>
    <w:uiPriority w:val="1"/>
    <w:qFormat/>
    <w:rsid w:val="00116D21"/>
    <w:pPr>
      <w:spacing w:after="0" w:line="240" w:lineRule="auto"/>
    </w:pPr>
  </w:style>
  <w:style w:type="paragraph" w:customStyle="1" w:styleId="Acronyms">
    <w:name w:val="Acronyms"/>
    <w:basedOn w:val="Normal"/>
    <w:uiPriority w:val="99"/>
    <w:rsid w:val="00116D21"/>
    <w:pPr>
      <w:spacing w:after="0" w:line="240" w:lineRule="auto"/>
      <w:ind w:left="2880"/>
    </w:pPr>
    <w:rPr>
      <w:rFonts w:ascii="Times New Roman" w:eastAsia="Times New Roman" w:hAnsi="Times New Roman" w:cs="Times New Roman"/>
      <w:sz w:val="24"/>
      <w:szCs w:val="20"/>
    </w:rPr>
  </w:style>
  <w:style w:type="paragraph" w:customStyle="1" w:styleId="Appendix">
    <w:name w:val="Appendix"/>
    <w:basedOn w:val="Normal"/>
    <w:uiPriority w:val="99"/>
    <w:rsid w:val="00116D21"/>
    <w:pPr>
      <w:spacing w:after="0" w:line="240" w:lineRule="auto"/>
    </w:pPr>
    <w:rPr>
      <w:rFonts w:ascii="Times New Roman" w:eastAsia="Times New Roman" w:hAnsi="Times New Roman" w:cs="Times New Roman"/>
      <w:b/>
      <w:szCs w:val="20"/>
    </w:rPr>
  </w:style>
  <w:style w:type="character" w:styleId="EndnoteReference">
    <w:name w:val="endnote reference"/>
    <w:basedOn w:val="DefaultParagraphFont"/>
    <w:uiPriority w:val="99"/>
    <w:semiHidden/>
    <w:rsid w:val="00116D21"/>
    <w:rPr>
      <w:rFonts w:cs="Times New Roman"/>
      <w:vertAlign w:val="superscript"/>
    </w:rPr>
  </w:style>
  <w:style w:type="paragraph" w:styleId="EndnoteText">
    <w:name w:val="endnote text"/>
    <w:basedOn w:val="Normal"/>
    <w:link w:val="EndnoteTextChar"/>
    <w:uiPriority w:val="99"/>
    <w:semiHidden/>
    <w:rsid w:val="00116D21"/>
    <w:pPr>
      <w:spacing w:after="0" w:line="240" w:lineRule="auto"/>
    </w:pPr>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uiPriority w:val="99"/>
    <w:semiHidden/>
    <w:rsid w:val="00116D21"/>
    <w:rPr>
      <w:rFonts w:ascii="Times New Roman" w:eastAsia="Times New Roman" w:hAnsi="Times New Roman" w:cs="Times New Roman"/>
      <w:sz w:val="24"/>
      <w:szCs w:val="20"/>
    </w:rPr>
  </w:style>
  <w:style w:type="paragraph" w:styleId="Index1">
    <w:name w:val="index 1"/>
    <w:basedOn w:val="Normal"/>
    <w:next w:val="Normal"/>
    <w:autoRedefine/>
    <w:uiPriority w:val="99"/>
    <w:semiHidden/>
    <w:rsid w:val="00116D21"/>
    <w:pPr>
      <w:spacing w:after="0" w:line="240" w:lineRule="auto"/>
      <w:ind w:left="240" w:hanging="240"/>
    </w:pPr>
    <w:rPr>
      <w:rFonts w:ascii="Times New Roman" w:eastAsia="Times New Roman" w:hAnsi="Times New Roman" w:cs="Times New Roman"/>
      <w:sz w:val="24"/>
      <w:szCs w:val="20"/>
    </w:rPr>
  </w:style>
  <w:style w:type="paragraph" w:styleId="Index2">
    <w:name w:val="index 2"/>
    <w:basedOn w:val="Normal"/>
    <w:next w:val="Normal"/>
    <w:autoRedefine/>
    <w:uiPriority w:val="99"/>
    <w:semiHidden/>
    <w:rsid w:val="00116D21"/>
    <w:pPr>
      <w:spacing w:after="0" w:line="240" w:lineRule="auto"/>
      <w:ind w:left="480" w:hanging="240"/>
    </w:pPr>
    <w:rPr>
      <w:rFonts w:ascii="Times New Roman" w:eastAsia="Times New Roman" w:hAnsi="Times New Roman" w:cs="Times New Roman"/>
      <w:sz w:val="24"/>
      <w:szCs w:val="20"/>
    </w:rPr>
  </w:style>
  <w:style w:type="paragraph" w:styleId="Index3">
    <w:name w:val="index 3"/>
    <w:basedOn w:val="Normal"/>
    <w:next w:val="Normal"/>
    <w:autoRedefine/>
    <w:uiPriority w:val="99"/>
    <w:semiHidden/>
    <w:rsid w:val="00116D21"/>
    <w:pPr>
      <w:spacing w:after="0" w:line="240" w:lineRule="auto"/>
      <w:ind w:left="720" w:hanging="240"/>
    </w:pPr>
    <w:rPr>
      <w:rFonts w:ascii="Times New Roman" w:eastAsia="Times New Roman" w:hAnsi="Times New Roman" w:cs="Times New Roman"/>
      <w:sz w:val="24"/>
      <w:szCs w:val="20"/>
    </w:rPr>
  </w:style>
  <w:style w:type="paragraph" w:styleId="Index4">
    <w:name w:val="index 4"/>
    <w:basedOn w:val="Normal"/>
    <w:next w:val="Normal"/>
    <w:autoRedefine/>
    <w:uiPriority w:val="99"/>
    <w:semiHidden/>
    <w:rsid w:val="00116D21"/>
    <w:pPr>
      <w:spacing w:after="0" w:line="240" w:lineRule="auto"/>
      <w:ind w:left="960" w:hanging="240"/>
    </w:pPr>
    <w:rPr>
      <w:rFonts w:ascii="Times New Roman" w:eastAsia="Times New Roman" w:hAnsi="Times New Roman" w:cs="Times New Roman"/>
      <w:sz w:val="24"/>
      <w:szCs w:val="20"/>
    </w:rPr>
  </w:style>
  <w:style w:type="paragraph" w:styleId="Index5">
    <w:name w:val="index 5"/>
    <w:basedOn w:val="Normal"/>
    <w:next w:val="Normal"/>
    <w:autoRedefine/>
    <w:uiPriority w:val="99"/>
    <w:semiHidden/>
    <w:rsid w:val="00116D21"/>
    <w:pPr>
      <w:spacing w:after="0" w:line="240" w:lineRule="auto"/>
      <w:ind w:left="1200" w:hanging="240"/>
    </w:pPr>
    <w:rPr>
      <w:rFonts w:ascii="Times New Roman" w:eastAsia="Times New Roman" w:hAnsi="Times New Roman" w:cs="Times New Roman"/>
      <w:sz w:val="24"/>
      <w:szCs w:val="20"/>
    </w:rPr>
  </w:style>
  <w:style w:type="paragraph" w:styleId="Index6">
    <w:name w:val="index 6"/>
    <w:basedOn w:val="Normal"/>
    <w:next w:val="Normal"/>
    <w:autoRedefine/>
    <w:uiPriority w:val="99"/>
    <w:semiHidden/>
    <w:rsid w:val="00116D21"/>
    <w:pPr>
      <w:spacing w:after="0" w:line="240" w:lineRule="auto"/>
      <w:ind w:left="1440" w:hanging="240"/>
    </w:pPr>
    <w:rPr>
      <w:rFonts w:ascii="Times New Roman" w:eastAsia="Times New Roman" w:hAnsi="Times New Roman" w:cs="Times New Roman"/>
      <w:sz w:val="24"/>
      <w:szCs w:val="20"/>
    </w:rPr>
  </w:style>
  <w:style w:type="paragraph" w:styleId="Index7">
    <w:name w:val="index 7"/>
    <w:basedOn w:val="Normal"/>
    <w:next w:val="Normal"/>
    <w:autoRedefine/>
    <w:uiPriority w:val="99"/>
    <w:semiHidden/>
    <w:rsid w:val="00116D21"/>
    <w:pPr>
      <w:spacing w:after="0" w:line="240" w:lineRule="auto"/>
      <w:ind w:left="1680" w:hanging="240"/>
    </w:pPr>
    <w:rPr>
      <w:rFonts w:ascii="Times New Roman" w:eastAsia="Times New Roman" w:hAnsi="Times New Roman" w:cs="Times New Roman"/>
      <w:sz w:val="24"/>
      <w:szCs w:val="20"/>
    </w:rPr>
  </w:style>
  <w:style w:type="paragraph" w:styleId="Index8">
    <w:name w:val="index 8"/>
    <w:basedOn w:val="Normal"/>
    <w:next w:val="Normal"/>
    <w:autoRedefine/>
    <w:uiPriority w:val="99"/>
    <w:semiHidden/>
    <w:rsid w:val="00116D21"/>
    <w:pPr>
      <w:spacing w:after="0" w:line="240" w:lineRule="auto"/>
      <w:ind w:left="1920" w:hanging="240"/>
    </w:pPr>
    <w:rPr>
      <w:rFonts w:ascii="Times New Roman" w:eastAsia="Times New Roman" w:hAnsi="Times New Roman" w:cs="Times New Roman"/>
      <w:sz w:val="24"/>
      <w:szCs w:val="20"/>
    </w:rPr>
  </w:style>
  <w:style w:type="paragraph" w:styleId="Index9">
    <w:name w:val="index 9"/>
    <w:basedOn w:val="Normal"/>
    <w:next w:val="Normal"/>
    <w:autoRedefine/>
    <w:uiPriority w:val="99"/>
    <w:semiHidden/>
    <w:rsid w:val="00116D21"/>
    <w:pPr>
      <w:spacing w:after="0" w:line="240" w:lineRule="auto"/>
      <w:ind w:left="2160" w:hanging="240"/>
    </w:pPr>
    <w:rPr>
      <w:rFonts w:ascii="Times New Roman" w:eastAsia="Times New Roman" w:hAnsi="Times New Roman" w:cs="Times New Roman"/>
      <w:sz w:val="24"/>
      <w:szCs w:val="20"/>
    </w:rPr>
  </w:style>
  <w:style w:type="paragraph" w:styleId="IndexHeading">
    <w:name w:val="index heading"/>
    <w:basedOn w:val="Normal"/>
    <w:next w:val="Index1"/>
    <w:uiPriority w:val="99"/>
    <w:semiHidden/>
    <w:rsid w:val="00116D21"/>
    <w:pPr>
      <w:spacing w:after="0" w:line="240" w:lineRule="auto"/>
    </w:pPr>
    <w:rPr>
      <w:rFonts w:ascii="Times New Roman" w:eastAsia="Times New Roman" w:hAnsi="Times New Roman" w:cs="Times New Roman"/>
      <w:sz w:val="24"/>
      <w:szCs w:val="20"/>
    </w:rPr>
  </w:style>
  <w:style w:type="paragraph" w:customStyle="1" w:styleId="NormalIndnobullets">
    <w:name w:val="Normal_Ind_nobullets"/>
    <w:basedOn w:val="Normal"/>
    <w:uiPriority w:val="99"/>
    <w:rsid w:val="00116D21"/>
    <w:pPr>
      <w:spacing w:after="120" w:line="240" w:lineRule="auto"/>
      <w:ind w:left="360"/>
    </w:pPr>
    <w:rPr>
      <w:rFonts w:ascii="Times New Roman" w:eastAsia="Times New Roman" w:hAnsi="Times New Roman" w:cs="Times New Roman"/>
      <w:sz w:val="24"/>
      <w:szCs w:val="20"/>
    </w:rPr>
  </w:style>
  <w:style w:type="paragraph" w:customStyle="1" w:styleId="TitleReferences">
    <w:name w:val="Title_References"/>
    <w:basedOn w:val="Normal"/>
    <w:uiPriority w:val="99"/>
    <w:rsid w:val="00116D21"/>
    <w:pPr>
      <w:spacing w:after="0" w:line="480" w:lineRule="auto"/>
    </w:pPr>
    <w:rPr>
      <w:rFonts w:ascii="Times New Roman" w:eastAsia="Times New Roman" w:hAnsi="Times New Roman" w:cs="Times New Roman"/>
      <w:b/>
      <w:sz w:val="28"/>
      <w:szCs w:val="20"/>
    </w:rPr>
  </w:style>
  <w:style w:type="paragraph" w:customStyle="1" w:styleId="References">
    <w:name w:val="References"/>
    <w:basedOn w:val="TitleReferences"/>
    <w:uiPriority w:val="99"/>
    <w:rsid w:val="00116D21"/>
    <w:pPr>
      <w:spacing w:after="240" w:line="240" w:lineRule="auto"/>
    </w:pPr>
    <w:rPr>
      <w:b w:val="0"/>
      <w:sz w:val="24"/>
    </w:rPr>
  </w:style>
  <w:style w:type="paragraph" w:styleId="TableofAuthorities">
    <w:name w:val="table of authorities"/>
    <w:basedOn w:val="Normal"/>
    <w:next w:val="Normal"/>
    <w:uiPriority w:val="99"/>
    <w:semiHidden/>
    <w:rsid w:val="00116D21"/>
    <w:pPr>
      <w:spacing w:after="0" w:line="240" w:lineRule="auto"/>
      <w:ind w:left="240" w:hanging="240"/>
    </w:pPr>
    <w:rPr>
      <w:rFonts w:ascii="Times New Roman" w:eastAsia="Times New Roman" w:hAnsi="Times New Roman" w:cs="Times New Roman"/>
      <w:sz w:val="24"/>
      <w:szCs w:val="20"/>
    </w:rPr>
  </w:style>
  <w:style w:type="paragraph" w:customStyle="1" w:styleId="TitleAcknow">
    <w:name w:val="Title_Acknow"/>
    <w:basedOn w:val="Normal"/>
    <w:uiPriority w:val="99"/>
    <w:rsid w:val="00116D21"/>
    <w:pPr>
      <w:spacing w:after="0" w:line="480" w:lineRule="auto"/>
    </w:pPr>
    <w:rPr>
      <w:rFonts w:ascii="Times New Roman" w:eastAsia="Times New Roman" w:hAnsi="Times New Roman" w:cs="Times New Roman"/>
      <w:b/>
      <w:sz w:val="24"/>
      <w:szCs w:val="20"/>
    </w:rPr>
  </w:style>
  <w:style w:type="paragraph" w:customStyle="1" w:styleId="TitleExecutive">
    <w:name w:val="Title_Executive"/>
    <w:basedOn w:val="Normal"/>
    <w:next w:val="Normal"/>
    <w:uiPriority w:val="99"/>
    <w:rsid w:val="00116D21"/>
    <w:pPr>
      <w:widowControl w:val="0"/>
      <w:spacing w:after="480" w:line="240" w:lineRule="auto"/>
    </w:pPr>
    <w:rPr>
      <w:rFonts w:ascii="Times New Roman" w:eastAsia="Times New Roman" w:hAnsi="Times New Roman" w:cs="Times New Roman"/>
      <w:b/>
      <w:sz w:val="32"/>
      <w:szCs w:val="20"/>
    </w:rPr>
  </w:style>
  <w:style w:type="paragraph" w:customStyle="1" w:styleId="TitleListsiTOC">
    <w:name w:val="Title_Lists(iTOC)"/>
    <w:basedOn w:val="Normal"/>
    <w:uiPriority w:val="99"/>
    <w:rsid w:val="00116D21"/>
    <w:pPr>
      <w:widowControl w:val="0"/>
      <w:spacing w:after="0" w:line="240" w:lineRule="auto"/>
      <w:jc w:val="center"/>
    </w:pPr>
    <w:rPr>
      <w:rFonts w:ascii="Times New Roman" w:eastAsia="Times New Roman" w:hAnsi="Times New Roman" w:cs="Times New Roman"/>
      <w:b/>
      <w:sz w:val="28"/>
      <w:szCs w:val="20"/>
    </w:rPr>
  </w:style>
  <w:style w:type="paragraph" w:customStyle="1" w:styleId="TitleMain">
    <w:name w:val="Title_Main"/>
    <w:basedOn w:val="Normal"/>
    <w:uiPriority w:val="99"/>
    <w:rsid w:val="00116D21"/>
    <w:pPr>
      <w:widowControl w:val="0"/>
      <w:spacing w:after="0" w:line="240" w:lineRule="auto"/>
      <w:jc w:val="center"/>
    </w:pPr>
    <w:rPr>
      <w:rFonts w:ascii="Times New Roman" w:eastAsia="Times New Roman" w:hAnsi="Times New Roman" w:cs="Times New Roman"/>
      <w:b/>
      <w:sz w:val="32"/>
      <w:szCs w:val="20"/>
    </w:rPr>
  </w:style>
  <w:style w:type="paragraph" w:customStyle="1" w:styleId="TitlePreface">
    <w:name w:val="Title_Preface"/>
    <w:aliases w:val="Lists,etc"/>
    <w:basedOn w:val="Normal"/>
    <w:next w:val="Normal"/>
    <w:uiPriority w:val="99"/>
    <w:rsid w:val="00116D21"/>
    <w:pPr>
      <w:spacing w:after="0" w:line="240" w:lineRule="auto"/>
      <w:jc w:val="center"/>
    </w:pPr>
    <w:rPr>
      <w:rFonts w:ascii="Times New Roman" w:eastAsia="Times New Roman" w:hAnsi="Times New Roman" w:cs="Times New Roman"/>
      <w:b/>
      <w:sz w:val="28"/>
      <w:szCs w:val="20"/>
    </w:rPr>
  </w:style>
  <w:style w:type="paragraph" w:styleId="TOAHeading">
    <w:name w:val="toa heading"/>
    <w:basedOn w:val="Normal"/>
    <w:next w:val="Normal"/>
    <w:uiPriority w:val="99"/>
    <w:semiHidden/>
    <w:rsid w:val="00116D21"/>
    <w:pPr>
      <w:spacing w:before="120" w:after="0" w:line="240" w:lineRule="auto"/>
    </w:pPr>
    <w:rPr>
      <w:rFonts w:ascii="Arial" w:eastAsia="Times New Roman" w:hAnsi="Arial" w:cs="Times New Roman"/>
      <w:b/>
      <w:sz w:val="24"/>
      <w:szCs w:val="20"/>
    </w:rPr>
  </w:style>
  <w:style w:type="paragraph" w:styleId="DocumentMap">
    <w:name w:val="Document Map"/>
    <w:basedOn w:val="Normal"/>
    <w:link w:val="DocumentMapChar"/>
    <w:uiPriority w:val="99"/>
    <w:semiHidden/>
    <w:rsid w:val="00116D21"/>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uiPriority w:val="99"/>
    <w:semiHidden/>
    <w:rsid w:val="00116D21"/>
    <w:rPr>
      <w:rFonts w:ascii="Tahoma" w:eastAsia="Times New Roman" w:hAnsi="Tahoma" w:cs="Times New Roman"/>
      <w:sz w:val="24"/>
      <w:szCs w:val="20"/>
      <w:shd w:val="clear" w:color="auto" w:fill="000080"/>
    </w:rPr>
  </w:style>
  <w:style w:type="paragraph" w:styleId="HTMLPreformatted">
    <w:name w:val="HTML Preformatted"/>
    <w:basedOn w:val="Normal"/>
    <w:link w:val="HTMLPreformattedChar"/>
    <w:uiPriority w:val="99"/>
    <w:rsid w:val="00116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116D21"/>
    <w:rPr>
      <w:rFonts w:ascii="Arial Unicode MS" w:eastAsia="Arial Unicode MS" w:hAnsi="Arial Unicode MS" w:cs="Arial Unicode MS"/>
      <w:sz w:val="20"/>
      <w:szCs w:val="20"/>
    </w:rPr>
  </w:style>
  <w:style w:type="paragraph" w:styleId="List2">
    <w:name w:val="List 2"/>
    <w:basedOn w:val="Normal"/>
    <w:uiPriority w:val="99"/>
    <w:rsid w:val="00116D21"/>
    <w:pPr>
      <w:spacing w:after="120" w:line="240" w:lineRule="auto"/>
      <w:ind w:left="720" w:hanging="360"/>
    </w:pPr>
    <w:rPr>
      <w:rFonts w:ascii="Times" w:eastAsia="Times New Roman" w:hAnsi="Times" w:cs="Times New Roman"/>
      <w:sz w:val="24"/>
      <w:szCs w:val="20"/>
    </w:rPr>
  </w:style>
  <w:style w:type="paragraph" w:styleId="ListBullet">
    <w:name w:val="List Bullet"/>
    <w:basedOn w:val="Normal"/>
    <w:autoRedefine/>
    <w:uiPriority w:val="99"/>
    <w:rsid w:val="00116D21"/>
    <w:pPr>
      <w:spacing w:after="120" w:line="240" w:lineRule="auto"/>
      <w:ind w:left="360"/>
    </w:pPr>
    <w:rPr>
      <w:rFonts w:ascii="Times" w:eastAsia="Times New Roman" w:hAnsi="Times" w:cs="Times New Roman"/>
      <w:sz w:val="24"/>
      <w:szCs w:val="20"/>
    </w:rPr>
  </w:style>
  <w:style w:type="paragraph" w:styleId="ListBullet2">
    <w:name w:val="List Bullet 2"/>
    <w:basedOn w:val="Normal"/>
    <w:autoRedefine/>
    <w:uiPriority w:val="99"/>
    <w:rsid w:val="00116D21"/>
    <w:pPr>
      <w:tabs>
        <w:tab w:val="num" w:pos="720"/>
      </w:tabs>
      <w:spacing w:after="120" w:line="240" w:lineRule="auto"/>
      <w:ind w:left="720" w:hanging="360"/>
    </w:pPr>
    <w:rPr>
      <w:rFonts w:ascii="Times" w:eastAsia="Times New Roman" w:hAnsi="Times" w:cs="Times New Roman"/>
      <w:sz w:val="24"/>
      <w:szCs w:val="20"/>
    </w:rPr>
  </w:style>
  <w:style w:type="paragraph" w:styleId="ListBullet3">
    <w:name w:val="List Bullet 3"/>
    <w:basedOn w:val="Normal"/>
    <w:autoRedefine/>
    <w:uiPriority w:val="99"/>
    <w:rsid w:val="00116D21"/>
    <w:pPr>
      <w:tabs>
        <w:tab w:val="num" w:pos="1080"/>
      </w:tabs>
      <w:spacing w:after="120" w:line="240" w:lineRule="auto"/>
      <w:ind w:left="1080" w:hanging="360"/>
    </w:pPr>
    <w:rPr>
      <w:rFonts w:ascii="Times" w:eastAsia="Times New Roman" w:hAnsi="Times" w:cs="Times New Roman"/>
      <w:sz w:val="24"/>
      <w:szCs w:val="20"/>
    </w:rPr>
  </w:style>
  <w:style w:type="paragraph" w:styleId="ListBullet4">
    <w:name w:val="List Bullet 4"/>
    <w:basedOn w:val="Normal"/>
    <w:autoRedefine/>
    <w:uiPriority w:val="99"/>
    <w:rsid w:val="00116D21"/>
    <w:pPr>
      <w:tabs>
        <w:tab w:val="num" w:pos="1440"/>
      </w:tabs>
      <w:spacing w:after="120" w:line="240" w:lineRule="auto"/>
      <w:ind w:left="1440" w:hanging="360"/>
    </w:pPr>
    <w:rPr>
      <w:rFonts w:ascii="Times" w:eastAsia="Times New Roman" w:hAnsi="Times" w:cs="Times New Roman"/>
      <w:sz w:val="24"/>
      <w:szCs w:val="20"/>
    </w:rPr>
  </w:style>
  <w:style w:type="paragraph" w:styleId="ListBullet5">
    <w:name w:val="List Bullet 5"/>
    <w:basedOn w:val="Normal"/>
    <w:autoRedefine/>
    <w:uiPriority w:val="99"/>
    <w:rsid w:val="00116D21"/>
    <w:pPr>
      <w:tabs>
        <w:tab w:val="num" w:pos="1800"/>
      </w:tabs>
      <w:spacing w:after="120" w:line="240" w:lineRule="auto"/>
      <w:ind w:left="1800" w:hanging="360"/>
    </w:pPr>
    <w:rPr>
      <w:rFonts w:ascii="Times" w:eastAsia="Times New Roman" w:hAnsi="Times" w:cs="Times New Roman"/>
      <w:sz w:val="24"/>
      <w:szCs w:val="20"/>
    </w:rPr>
  </w:style>
  <w:style w:type="paragraph" w:styleId="ListNumber">
    <w:name w:val="List Number"/>
    <w:basedOn w:val="Normal"/>
    <w:uiPriority w:val="99"/>
    <w:rsid w:val="00116D21"/>
    <w:pPr>
      <w:tabs>
        <w:tab w:val="num" w:pos="360"/>
      </w:tabs>
      <w:spacing w:after="120" w:line="240" w:lineRule="auto"/>
      <w:ind w:left="360" w:hanging="360"/>
    </w:pPr>
    <w:rPr>
      <w:rFonts w:ascii="Times" w:eastAsia="Times New Roman" w:hAnsi="Times" w:cs="Times New Roman"/>
      <w:sz w:val="24"/>
      <w:szCs w:val="20"/>
    </w:rPr>
  </w:style>
  <w:style w:type="paragraph" w:styleId="ListNumber2">
    <w:name w:val="List Number 2"/>
    <w:basedOn w:val="Normal"/>
    <w:uiPriority w:val="99"/>
    <w:rsid w:val="00116D21"/>
    <w:pPr>
      <w:tabs>
        <w:tab w:val="num" w:pos="720"/>
      </w:tabs>
      <w:spacing w:after="120" w:line="240" w:lineRule="auto"/>
      <w:ind w:left="720" w:hanging="360"/>
    </w:pPr>
    <w:rPr>
      <w:rFonts w:ascii="Times" w:eastAsia="Times New Roman" w:hAnsi="Times" w:cs="Times New Roman"/>
      <w:sz w:val="24"/>
      <w:szCs w:val="20"/>
    </w:rPr>
  </w:style>
  <w:style w:type="paragraph" w:styleId="ListNumber3">
    <w:name w:val="List Number 3"/>
    <w:basedOn w:val="Normal"/>
    <w:uiPriority w:val="99"/>
    <w:rsid w:val="00116D21"/>
    <w:pPr>
      <w:tabs>
        <w:tab w:val="num" w:pos="1080"/>
      </w:tabs>
      <w:spacing w:after="120" w:line="240" w:lineRule="auto"/>
      <w:ind w:left="1080" w:hanging="360"/>
    </w:pPr>
    <w:rPr>
      <w:rFonts w:ascii="Times" w:eastAsia="Times New Roman" w:hAnsi="Times" w:cs="Times New Roman"/>
      <w:sz w:val="24"/>
      <w:szCs w:val="20"/>
    </w:rPr>
  </w:style>
  <w:style w:type="paragraph" w:styleId="ListNumber4">
    <w:name w:val="List Number 4"/>
    <w:basedOn w:val="Normal"/>
    <w:uiPriority w:val="99"/>
    <w:rsid w:val="00116D21"/>
    <w:pPr>
      <w:tabs>
        <w:tab w:val="num" w:pos="1440"/>
      </w:tabs>
      <w:spacing w:after="120" w:line="240" w:lineRule="auto"/>
      <w:ind w:left="1440" w:hanging="360"/>
    </w:pPr>
    <w:rPr>
      <w:rFonts w:ascii="Times" w:eastAsia="Times New Roman" w:hAnsi="Times" w:cs="Times New Roman"/>
      <w:sz w:val="24"/>
      <w:szCs w:val="20"/>
    </w:rPr>
  </w:style>
  <w:style w:type="paragraph" w:styleId="ListNumber5">
    <w:name w:val="List Number 5"/>
    <w:basedOn w:val="Normal"/>
    <w:uiPriority w:val="99"/>
    <w:rsid w:val="00116D21"/>
    <w:pPr>
      <w:tabs>
        <w:tab w:val="num" w:pos="1800"/>
      </w:tabs>
      <w:spacing w:after="120" w:line="240" w:lineRule="auto"/>
      <w:ind w:left="1800" w:hanging="360"/>
    </w:pPr>
    <w:rPr>
      <w:rFonts w:ascii="Times" w:eastAsia="Times New Roman" w:hAnsi="Times" w:cs="Times New Roman"/>
      <w:sz w:val="24"/>
      <w:szCs w:val="20"/>
    </w:rPr>
  </w:style>
  <w:style w:type="paragraph" w:styleId="BodyTextIndent">
    <w:name w:val="Body Text Indent"/>
    <w:basedOn w:val="Normal"/>
    <w:link w:val="BodyTextIndentChar"/>
    <w:uiPriority w:val="99"/>
    <w:rsid w:val="00116D21"/>
    <w:pPr>
      <w:spacing w:after="0" w:line="240" w:lineRule="auto"/>
      <w:ind w:left="1170" w:hanging="45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116D21"/>
    <w:rPr>
      <w:rFonts w:ascii="Times New Roman" w:eastAsia="Times New Roman" w:hAnsi="Times New Roman" w:cs="Times New Roman"/>
      <w:sz w:val="24"/>
      <w:szCs w:val="20"/>
    </w:rPr>
  </w:style>
  <w:style w:type="paragraph" w:styleId="BodyText3">
    <w:name w:val="Body Text 3"/>
    <w:basedOn w:val="Normal"/>
    <w:link w:val="BodyText3Char"/>
    <w:uiPriority w:val="99"/>
    <w:rsid w:val="00116D21"/>
    <w:pPr>
      <w:keepLines/>
      <w:spacing w:after="0" w:line="240" w:lineRule="auto"/>
    </w:pPr>
    <w:rPr>
      <w:rFonts w:ascii="Arial" w:eastAsia="Times New Roman" w:hAnsi="Arial" w:cs="Arial"/>
      <w:szCs w:val="24"/>
    </w:rPr>
  </w:style>
  <w:style w:type="character" w:customStyle="1" w:styleId="BodyText3Char">
    <w:name w:val="Body Text 3 Char"/>
    <w:basedOn w:val="DefaultParagraphFont"/>
    <w:link w:val="BodyText3"/>
    <w:uiPriority w:val="99"/>
    <w:rsid w:val="00116D21"/>
    <w:rPr>
      <w:rFonts w:ascii="Arial" w:eastAsia="Times New Roman" w:hAnsi="Arial" w:cs="Arial"/>
      <w:szCs w:val="24"/>
    </w:rPr>
  </w:style>
  <w:style w:type="paragraph" w:customStyle="1" w:styleId="Bullet1">
    <w:name w:val="Bullet 1"/>
    <w:basedOn w:val="Normal"/>
    <w:uiPriority w:val="99"/>
    <w:rsid w:val="00116D21"/>
    <w:pPr>
      <w:numPr>
        <w:numId w:val="12"/>
      </w:numPr>
      <w:spacing w:after="120" w:line="240" w:lineRule="auto"/>
    </w:pPr>
    <w:rPr>
      <w:rFonts w:ascii="Times New Roman" w:eastAsia="Times New Roman" w:hAnsi="Times New Roman" w:cs="Times New Roman"/>
      <w:sz w:val="24"/>
      <w:szCs w:val="20"/>
    </w:rPr>
  </w:style>
  <w:style w:type="paragraph" w:styleId="List">
    <w:name w:val="List"/>
    <w:basedOn w:val="Normal"/>
    <w:uiPriority w:val="99"/>
    <w:rsid w:val="00116D21"/>
    <w:pPr>
      <w:spacing w:after="0" w:line="240" w:lineRule="auto"/>
      <w:ind w:left="360" w:hanging="360"/>
    </w:pPr>
    <w:rPr>
      <w:rFonts w:ascii="Times New Roman" w:eastAsia="Times New Roman" w:hAnsi="Times New Roman" w:cs="Times New Roman"/>
      <w:sz w:val="24"/>
      <w:szCs w:val="20"/>
    </w:rPr>
  </w:style>
  <w:style w:type="paragraph" w:styleId="BodyText2">
    <w:name w:val="Body Text 2"/>
    <w:basedOn w:val="Normal"/>
    <w:link w:val="BodyText2Char"/>
    <w:uiPriority w:val="99"/>
    <w:rsid w:val="00116D21"/>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116D21"/>
    <w:rPr>
      <w:rFonts w:ascii="Times New Roman" w:eastAsia="Times New Roman" w:hAnsi="Times New Roman" w:cs="Times New Roman"/>
      <w:sz w:val="24"/>
      <w:szCs w:val="20"/>
    </w:rPr>
  </w:style>
  <w:style w:type="paragraph" w:customStyle="1" w:styleId="NormalCentered">
    <w:name w:val="Normal_Centered"/>
    <w:basedOn w:val="Normal"/>
    <w:uiPriority w:val="99"/>
    <w:rsid w:val="00116D21"/>
    <w:pPr>
      <w:spacing w:after="0" w:line="240" w:lineRule="auto"/>
      <w:jc w:val="center"/>
    </w:pPr>
    <w:rPr>
      <w:rFonts w:ascii="Times New Roman" w:eastAsia="Times New Roman" w:hAnsi="Times New Roman" w:cs="Times New Roman"/>
      <w:sz w:val="24"/>
      <w:szCs w:val="20"/>
    </w:rPr>
  </w:style>
  <w:style w:type="paragraph" w:customStyle="1" w:styleId="NormalInd1">
    <w:name w:val="Normal_Ind_1"/>
    <w:basedOn w:val="Normal"/>
    <w:uiPriority w:val="99"/>
    <w:rsid w:val="00116D21"/>
    <w:pPr>
      <w:numPr>
        <w:numId w:val="10"/>
      </w:numPr>
      <w:spacing w:after="240" w:line="240" w:lineRule="auto"/>
    </w:pPr>
    <w:rPr>
      <w:rFonts w:ascii="Times New Roman" w:eastAsia="Times New Roman" w:hAnsi="Times New Roman" w:cs="Times New Roman"/>
      <w:sz w:val="24"/>
      <w:szCs w:val="20"/>
    </w:rPr>
  </w:style>
  <w:style w:type="paragraph" w:customStyle="1" w:styleId="NormalIndbullets">
    <w:name w:val="Normal_Ind_bullets"/>
    <w:basedOn w:val="Normal"/>
    <w:uiPriority w:val="99"/>
    <w:rsid w:val="00116D21"/>
    <w:pPr>
      <w:numPr>
        <w:numId w:val="11"/>
      </w:numPr>
      <w:spacing w:after="0" w:line="240" w:lineRule="auto"/>
    </w:pPr>
    <w:rPr>
      <w:rFonts w:ascii="Times New Roman" w:eastAsia="Times New Roman" w:hAnsi="Times New Roman" w:cs="Times New Roman"/>
      <w:sz w:val="24"/>
      <w:szCs w:val="20"/>
    </w:rPr>
  </w:style>
  <w:style w:type="character" w:styleId="IntenseReference">
    <w:name w:val="Intense Reference"/>
    <w:basedOn w:val="DefaultParagraphFont"/>
    <w:uiPriority w:val="99"/>
    <w:qFormat/>
    <w:rsid w:val="00116D21"/>
    <w:rPr>
      <w:rFonts w:cs="Times New Roman"/>
      <w:b/>
      <w:bCs/>
      <w:smallCaps/>
      <w:color w:val="C0504D"/>
      <w:spacing w:val="5"/>
      <w:u w:val="single"/>
    </w:rPr>
  </w:style>
  <w:style w:type="character" w:styleId="Emphasis">
    <w:name w:val="Emphasis"/>
    <w:basedOn w:val="DefaultParagraphFont"/>
    <w:uiPriority w:val="99"/>
    <w:qFormat/>
    <w:rsid w:val="00116D21"/>
    <w:rPr>
      <w:rFonts w:cs="Times New Roman"/>
      <w:i/>
      <w:iCs/>
    </w:rPr>
  </w:style>
  <w:style w:type="paragraph" w:customStyle="1" w:styleId="Body">
    <w:name w:val="Body"/>
    <w:uiPriority w:val="99"/>
    <w:rsid w:val="00116D21"/>
    <w:pPr>
      <w:spacing w:after="240" w:line="312" w:lineRule="auto"/>
    </w:pPr>
    <w:rPr>
      <w:rFonts w:ascii="Arial" w:eastAsia="Times New Roman" w:hAnsi="Arial" w:cs="Arial"/>
      <w:sz w:val="20"/>
    </w:rPr>
  </w:style>
  <w:style w:type="paragraph" w:customStyle="1" w:styleId="xl88">
    <w:name w:val="xl88"/>
    <w:basedOn w:val="Normal"/>
    <w:rsid w:val="00116D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9">
    <w:name w:val="xl89"/>
    <w:basedOn w:val="Normal"/>
    <w:rsid w:val="00116D21"/>
    <w:pPr>
      <w:pBdr>
        <w:top w:val="single" w:sz="4" w:space="0" w:color="1F497D"/>
        <w:left w:val="single" w:sz="4" w:space="0" w:color="FFFFFF"/>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18"/>
      <w:szCs w:val="18"/>
    </w:rPr>
  </w:style>
  <w:style w:type="paragraph" w:customStyle="1" w:styleId="xl90">
    <w:name w:val="xl90"/>
    <w:basedOn w:val="Normal"/>
    <w:rsid w:val="00116D21"/>
    <w:pPr>
      <w:pBdr>
        <w:top w:val="single" w:sz="4" w:space="0" w:color="1F497D"/>
        <w:right w:val="single" w:sz="4" w:space="0" w:color="FFFFFF"/>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18"/>
      <w:szCs w:val="18"/>
    </w:rPr>
  </w:style>
  <w:style w:type="paragraph" w:customStyle="1" w:styleId="xl91">
    <w:name w:val="xl91"/>
    <w:basedOn w:val="Normal"/>
    <w:rsid w:val="00116D21"/>
    <w:pPr>
      <w:pBdr>
        <w:left w:val="single" w:sz="4" w:space="0" w:color="FFFFFF"/>
        <w:bottom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18"/>
      <w:szCs w:val="18"/>
    </w:rPr>
  </w:style>
  <w:style w:type="paragraph" w:customStyle="1" w:styleId="xl92">
    <w:name w:val="xl92"/>
    <w:basedOn w:val="Normal"/>
    <w:rsid w:val="00116D21"/>
    <w:pPr>
      <w:pBdr>
        <w:bottom w:val="single" w:sz="4" w:space="0" w:color="auto"/>
        <w:right w:val="single" w:sz="4" w:space="0" w:color="FFFFFF"/>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18"/>
      <w:szCs w:val="18"/>
    </w:rPr>
  </w:style>
</w:styles>
</file>

<file path=word/webSettings.xml><?xml version="1.0" encoding="utf-8"?>
<w:webSettings xmlns:r="http://schemas.openxmlformats.org/officeDocument/2006/relationships" xmlns:w="http://schemas.openxmlformats.org/wordprocessingml/2006/main">
  <w:divs>
    <w:div w:id="76022013">
      <w:bodyDiv w:val="1"/>
      <w:marLeft w:val="0"/>
      <w:marRight w:val="0"/>
      <w:marTop w:val="0"/>
      <w:marBottom w:val="0"/>
      <w:divBdr>
        <w:top w:val="none" w:sz="0" w:space="0" w:color="auto"/>
        <w:left w:val="none" w:sz="0" w:space="0" w:color="auto"/>
        <w:bottom w:val="none" w:sz="0" w:space="0" w:color="auto"/>
        <w:right w:val="none" w:sz="0" w:space="0" w:color="auto"/>
      </w:divBdr>
    </w:div>
    <w:div w:id="348065776">
      <w:bodyDiv w:val="1"/>
      <w:marLeft w:val="0"/>
      <w:marRight w:val="0"/>
      <w:marTop w:val="0"/>
      <w:marBottom w:val="0"/>
      <w:divBdr>
        <w:top w:val="none" w:sz="0" w:space="0" w:color="auto"/>
        <w:left w:val="none" w:sz="0" w:space="0" w:color="auto"/>
        <w:bottom w:val="none" w:sz="0" w:space="0" w:color="auto"/>
        <w:right w:val="none" w:sz="0" w:space="0" w:color="auto"/>
      </w:divBdr>
    </w:div>
    <w:div w:id="369960540">
      <w:bodyDiv w:val="1"/>
      <w:marLeft w:val="0"/>
      <w:marRight w:val="0"/>
      <w:marTop w:val="0"/>
      <w:marBottom w:val="0"/>
      <w:divBdr>
        <w:top w:val="none" w:sz="0" w:space="0" w:color="auto"/>
        <w:left w:val="none" w:sz="0" w:space="0" w:color="auto"/>
        <w:bottom w:val="none" w:sz="0" w:space="0" w:color="auto"/>
        <w:right w:val="none" w:sz="0" w:space="0" w:color="auto"/>
      </w:divBdr>
    </w:div>
    <w:div w:id="1243641674">
      <w:bodyDiv w:val="1"/>
      <w:marLeft w:val="0"/>
      <w:marRight w:val="0"/>
      <w:marTop w:val="0"/>
      <w:marBottom w:val="0"/>
      <w:divBdr>
        <w:top w:val="none" w:sz="0" w:space="0" w:color="auto"/>
        <w:left w:val="none" w:sz="0" w:space="0" w:color="auto"/>
        <w:bottom w:val="none" w:sz="0" w:space="0" w:color="auto"/>
        <w:right w:val="none" w:sz="0" w:space="0" w:color="auto"/>
      </w:divBdr>
    </w:div>
    <w:div w:id="1440177806">
      <w:bodyDiv w:val="1"/>
      <w:marLeft w:val="0"/>
      <w:marRight w:val="0"/>
      <w:marTop w:val="0"/>
      <w:marBottom w:val="0"/>
      <w:divBdr>
        <w:top w:val="none" w:sz="0" w:space="0" w:color="auto"/>
        <w:left w:val="none" w:sz="0" w:space="0" w:color="auto"/>
        <w:bottom w:val="none" w:sz="0" w:space="0" w:color="auto"/>
        <w:right w:val="none" w:sz="0" w:space="0" w:color="auto"/>
      </w:divBdr>
      <w:divsChild>
        <w:div w:id="289626090">
          <w:marLeft w:val="0"/>
          <w:marRight w:val="0"/>
          <w:marTop w:val="0"/>
          <w:marBottom w:val="0"/>
          <w:divBdr>
            <w:top w:val="none" w:sz="0" w:space="0" w:color="auto"/>
            <w:left w:val="none" w:sz="0" w:space="0" w:color="auto"/>
            <w:bottom w:val="none" w:sz="0" w:space="0" w:color="auto"/>
            <w:right w:val="none" w:sz="0" w:space="0" w:color="auto"/>
          </w:divBdr>
          <w:divsChild>
            <w:div w:id="1937900054">
              <w:marLeft w:val="0"/>
              <w:marRight w:val="0"/>
              <w:marTop w:val="112"/>
              <w:marBottom w:val="0"/>
              <w:divBdr>
                <w:top w:val="single" w:sz="8" w:space="6" w:color="666666"/>
                <w:left w:val="none" w:sz="0" w:space="0" w:color="auto"/>
                <w:bottom w:val="none" w:sz="0" w:space="0" w:color="auto"/>
                <w:right w:val="none" w:sz="0" w:space="0" w:color="auto"/>
              </w:divBdr>
            </w:div>
          </w:divsChild>
        </w:div>
      </w:divsChild>
    </w:div>
    <w:div w:id="1553345951">
      <w:bodyDiv w:val="1"/>
      <w:marLeft w:val="0"/>
      <w:marRight w:val="0"/>
      <w:marTop w:val="0"/>
      <w:marBottom w:val="0"/>
      <w:divBdr>
        <w:top w:val="none" w:sz="0" w:space="0" w:color="auto"/>
        <w:left w:val="none" w:sz="0" w:space="0" w:color="auto"/>
        <w:bottom w:val="none" w:sz="0" w:space="0" w:color="auto"/>
        <w:right w:val="none" w:sz="0" w:space="0" w:color="auto"/>
      </w:divBdr>
    </w:div>
    <w:div w:id="1555579218">
      <w:bodyDiv w:val="1"/>
      <w:marLeft w:val="0"/>
      <w:marRight w:val="0"/>
      <w:marTop w:val="0"/>
      <w:marBottom w:val="0"/>
      <w:divBdr>
        <w:top w:val="none" w:sz="0" w:space="0" w:color="auto"/>
        <w:left w:val="none" w:sz="0" w:space="0" w:color="auto"/>
        <w:bottom w:val="none" w:sz="0" w:space="0" w:color="auto"/>
        <w:right w:val="none" w:sz="0" w:space="0" w:color="auto"/>
      </w:divBdr>
    </w:div>
    <w:div w:id="1559631379">
      <w:bodyDiv w:val="1"/>
      <w:marLeft w:val="0"/>
      <w:marRight w:val="0"/>
      <w:marTop w:val="0"/>
      <w:marBottom w:val="0"/>
      <w:divBdr>
        <w:top w:val="none" w:sz="0" w:space="0" w:color="auto"/>
        <w:left w:val="none" w:sz="0" w:space="0" w:color="auto"/>
        <w:bottom w:val="none" w:sz="0" w:space="0" w:color="auto"/>
        <w:right w:val="none" w:sz="0" w:space="0" w:color="auto"/>
      </w:divBdr>
    </w:div>
    <w:div w:id="1578903438">
      <w:bodyDiv w:val="1"/>
      <w:marLeft w:val="0"/>
      <w:marRight w:val="0"/>
      <w:marTop w:val="0"/>
      <w:marBottom w:val="0"/>
      <w:divBdr>
        <w:top w:val="none" w:sz="0" w:space="0" w:color="auto"/>
        <w:left w:val="none" w:sz="0" w:space="0" w:color="auto"/>
        <w:bottom w:val="none" w:sz="0" w:space="0" w:color="auto"/>
        <w:right w:val="none" w:sz="0" w:space="0" w:color="auto"/>
      </w:divBdr>
    </w:div>
    <w:div w:id="1709601120">
      <w:bodyDiv w:val="1"/>
      <w:marLeft w:val="0"/>
      <w:marRight w:val="0"/>
      <w:marTop w:val="0"/>
      <w:marBottom w:val="0"/>
      <w:divBdr>
        <w:top w:val="none" w:sz="0" w:space="0" w:color="auto"/>
        <w:left w:val="none" w:sz="0" w:space="0" w:color="auto"/>
        <w:bottom w:val="none" w:sz="0" w:space="0" w:color="auto"/>
        <w:right w:val="none" w:sz="0" w:space="0" w:color="auto"/>
      </w:divBdr>
    </w:div>
    <w:div w:id="177100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1.emf"/><Relationship Id="rId39"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8.xml"/><Relationship Id="rId42" Type="http://schemas.openxmlformats.org/officeDocument/2006/relationships/chart" Target="charts/chart7.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chart" Target="charts/chart2.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chart" Target="charts/chart6.xml"/><Relationship Id="rId40" Type="http://schemas.openxmlformats.org/officeDocument/2006/relationships/header" Target="header12.xml"/><Relationship Id="rId45" Type="http://schemas.openxmlformats.org/officeDocument/2006/relationships/header" Target="header14.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chart" Target="charts/chart1.xml"/><Relationship Id="rId36" Type="http://schemas.openxmlformats.org/officeDocument/2006/relationships/chart" Target="charts/chart5.xml"/><Relationship Id="rId10" Type="http://schemas.openxmlformats.org/officeDocument/2006/relationships/image" Target="media/image1.png"/><Relationship Id="rId19" Type="http://schemas.openxmlformats.org/officeDocument/2006/relationships/image" Target="media/image5.wmf"/><Relationship Id="rId31" Type="http://schemas.openxmlformats.org/officeDocument/2006/relationships/chart" Target="charts/chart4.xml"/><Relationship Id="rId44" Type="http://schemas.openxmlformats.org/officeDocument/2006/relationships/image" Target="media/image1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package" Target="embeddings/Microsoft_Office_Word_Document1.docx"/><Relationship Id="rId30" Type="http://schemas.openxmlformats.org/officeDocument/2006/relationships/chart" Target="charts/chart3.xml"/><Relationship Id="rId35" Type="http://schemas.openxmlformats.org/officeDocument/2006/relationships/header" Target="header9.xml"/><Relationship Id="rId43" Type="http://schemas.openxmlformats.org/officeDocument/2006/relationships/image" Target="media/image12.emf"/><Relationship Id="rId48" Type="http://schemas.microsoft.com/office/2007/relationships/stylesWithEffects" Target="stylesWithEffects.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ENERGY2\Data\FSC\1563%202011%20Statewide%20Aggregator%20Evaluation\PG&amp;E\Output\Baseline%20results\PG&amp;E%20-%20New%20proxy%20baseline%20tables%20for%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NERGY2\Data\FSC\1563%202011%20Statewide%20Aggregator%20Evaluation\PG&amp;E\Output\Baseline%20results\PG&amp;E%20-%20New%20proxy%20baseline%20tables%20for%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NERGY2\Data\FSC\1563%202011%20Statewide%20Aggregator%20Evaluation\PG&amp;E\Output\Baseline%20results\PG&amp;E%20-%20New%20proxy%20baseline%20tables%20for%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NERGY2\Data\FSC\1563%202011%20Statewide%20Aggregator%20Evaluation\PG&amp;E\Output\Baseline%20results\PG&amp;E%20-%20New%20proxy%20baseline%20tables%20for%20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NERGY2\Data\FSC\1563%202011%20Statewide%20Aggregator%20Evaluation\Draft%20report\Volume%20II%20Tables\Proxy%20baseline%20tables%20for%20re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NERGY2\Data\FSC\1563%202011%20Statewide%20Aggregator%20Evaluation\Draft%20report\Volume%20II%20Tables\Proxy%20baseline%20tables%20for%20repo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NERGY2\Data\FSC\1563%202011%20Statewide%20Aggregator%20Evaluation\Draft%20report\Volume%20II%20Tables\Proxy%20baseline%20tables%20for%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plotArea>
      <c:layout/>
      <c:barChart>
        <c:barDir val="col"/>
        <c:grouping val="clustered"/>
        <c:ser>
          <c:idx val="0"/>
          <c:order val="0"/>
          <c:tx>
            <c:strRef>
              <c:f>Sheet3!$P$6</c:f>
              <c:strCache>
                <c:ptCount val="1"/>
                <c:pt idx="0">
                  <c:v>AMP - DO</c:v>
                </c:pt>
              </c:strCache>
            </c:strRef>
          </c:tx>
          <c:cat>
            <c:multiLvlStrRef>
              <c:f>Sheet3!$M$7:$O$38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Sheet3!$P$7:$P$38</c:f>
              <c:numCache>
                <c:formatCode>0.0%</c:formatCode>
                <c:ptCount val="32"/>
                <c:pt idx="0">
                  <c:v>-0.20657329999999999</c:v>
                </c:pt>
                <c:pt idx="1">
                  <c:v>-5.0524700000000013E-2</c:v>
                </c:pt>
                <c:pt idx="2">
                  <c:v>-4.2401500000000023E-2</c:v>
                </c:pt>
                <c:pt idx="3">
                  <c:v>-4.2411900000000134E-2</c:v>
                </c:pt>
                <c:pt idx="4">
                  <c:v>-4.3425099999999987E-2</c:v>
                </c:pt>
                <c:pt idx="5">
                  <c:v>-4.6739900000000077E-2</c:v>
                </c:pt>
                <c:pt idx="6">
                  <c:v>-3.217470000000007E-2</c:v>
                </c:pt>
                <c:pt idx="7">
                  <c:v>-3.8868400000000004E-2</c:v>
                </c:pt>
                <c:pt idx="8">
                  <c:v>-0.20657329999999999</c:v>
                </c:pt>
                <c:pt idx="9">
                  <c:v>-5.203340000000025E-2</c:v>
                </c:pt>
                <c:pt idx="10">
                  <c:v>-4.4824500000000024E-2</c:v>
                </c:pt>
                <c:pt idx="11">
                  <c:v>-4.5224499999999987E-2</c:v>
                </c:pt>
                <c:pt idx="12">
                  <c:v>-4.6509599999999977E-2</c:v>
                </c:pt>
                <c:pt idx="13">
                  <c:v>-4.9974000000000032E-2</c:v>
                </c:pt>
                <c:pt idx="14">
                  <c:v>-3.453450000000001E-2</c:v>
                </c:pt>
                <c:pt idx="15">
                  <c:v>-3.8541700000000012E-2</c:v>
                </c:pt>
                <c:pt idx="16">
                  <c:v>-0.20745300000000041</c:v>
                </c:pt>
                <c:pt idx="17">
                  <c:v>-5.7435200000000131E-2</c:v>
                </c:pt>
                <c:pt idx="18">
                  <c:v>-5.7435200000000131E-2</c:v>
                </c:pt>
                <c:pt idx="19">
                  <c:v>-5.7435200000000131E-2</c:v>
                </c:pt>
                <c:pt idx="20">
                  <c:v>-5.7435200000000131E-2</c:v>
                </c:pt>
                <c:pt idx="21">
                  <c:v>-5.7435200000000131E-2</c:v>
                </c:pt>
                <c:pt idx="22">
                  <c:v>-5.7435200000000131E-2</c:v>
                </c:pt>
                <c:pt idx="23">
                  <c:v>-5.7435200000000131E-2</c:v>
                </c:pt>
                <c:pt idx="24">
                  <c:v>-0.20745300000000041</c:v>
                </c:pt>
                <c:pt idx="25">
                  <c:v>-5.8014400000000188E-2</c:v>
                </c:pt>
                <c:pt idx="26">
                  <c:v>-5.8715000000000121E-2</c:v>
                </c:pt>
                <c:pt idx="27">
                  <c:v>-5.9075100000000012E-2</c:v>
                </c:pt>
                <c:pt idx="28">
                  <c:v>-5.9319900000000279E-2</c:v>
                </c:pt>
                <c:pt idx="29">
                  <c:v>-5.9408300000000129E-2</c:v>
                </c:pt>
                <c:pt idx="30">
                  <c:v>-5.9408300000000129E-2</c:v>
                </c:pt>
                <c:pt idx="31">
                  <c:v>-5.9408300000000129E-2</c:v>
                </c:pt>
              </c:numCache>
            </c:numRef>
          </c:val>
        </c:ser>
        <c:ser>
          <c:idx val="1"/>
          <c:order val="1"/>
          <c:tx>
            <c:strRef>
              <c:f>Sheet3!$Q$6</c:f>
              <c:strCache>
                <c:ptCount val="1"/>
                <c:pt idx="0">
                  <c:v>AMP - DA</c:v>
                </c:pt>
              </c:strCache>
            </c:strRef>
          </c:tx>
          <c:cat>
            <c:multiLvlStrRef>
              <c:f>Sheet3!$M$7:$O$38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Sheet3!$Q$7:$Q$38</c:f>
              <c:numCache>
                <c:formatCode>0.0%</c:formatCode>
                <c:ptCount val="32"/>
                <c:pt idx="0">
                  <c:v>-0.2393595</c:v>
                </c:pt>
                <c:pt idx="1">
                  <c:v>-0.22780220000000023</c:v>
                </c:pt>
                <c:pt idx="2">
                  <c:v>-0.22465820000000014</c:v>
                </c:pt>
                <c:pt idx="3">
                  <c:v>-0.22307520000000014</c:v>
                </c:pt>
                <c:pt idx="4">
                  <c:v>-0.22150740000000044</c:v>
                </c:pt>
                <c:pt idx="5">
                  <c:v>-0.21830830000000073</c:v>
                </c:pt>
                <c:pt idx="6">
                  <c:v>-0.20552980000000001</c:v>
                </c:pt>
                <c:pt idx="7">
                  <c:v>-0.20017940000000001</c:v>
                </c:pt>
                <c:pt idx="8">
                  <c:v>-0.2393595</c:v>
                </c:pt>
                <c:pt idx="9">
                  <c:v>-0.13558519999999999</c:v>
                </c:pt>
                <c:pt idx="10">
                  <c:v>-0.11785000000000001</c:v>
                </c:pt>
                <c:pt idx="11">
                  <c:v>-0.1123389999999998</c:v>
                </c:pt>
                <c:pt idx="12">
                  <c:v>-0.107309</c:v>
                </c:pt>
                <c:pt idx="13">
                  <c:v>-9.8363200000000012E-2</c:v>
                </c:pt>
                <c:pt idx="14">
                  <c:v>-5.7866500000000279E-2</c:v>
                </c:pt>
                <c:pt idx="15">
                  <c:v>-4.7353300000000133E-2</c:v>
                </c:pt>
                <c:pt idx="16">
                  <c:v>-0.2393595</c:v>
                </c:pt>
                <c:pt idx="17">
                  <c:v>-0.22658880000000023</c:v>
                </c:pt>
                <c:pt idx="18">
                  <c:v>-0.22239730000000041</c:v>
                </c:pt>
                <c:pt idx="19">
                  <c:v>-0.22012269999999987</c:v>
                </c:pt>
                <c:pt idx="20">
                  <c:v>-0.21769800000000053</c:v>
                </c:pt>
                <c:pt idx="21">
                  <c:v>-0.2138737</c:v>
                </c:pt>
                <c:pt idx="22">
                  <c:v>-0.20356469999999999</c:v>
                </c:pt>
                <c:pt idx="23">
                  <c:v>-0.20356469999999999</c:v>
                </c:pt>
                <c:pt idx="24">
                  <c:v>-0.2393595</c:v>
                </c:pt>
                <c:pt idx="25">
                  <c:v>-8.0838900000000047E-2</c:v>
                </c:pt>
                <c:pt idx="26">
                  <c:v>-7.6647400000000004E-2</c:v>
                </c:pt>
                <c:pt idx="27">
                  <c:v>-7.4372800000000183E-2</c:v>
                </c:pt>
                <c:pt idx="28">
                  <c:v>-7.1948099999999987E-2</c:v>
                </c:pt>
                <c:pt idx="29">
                  <c:v>-6.8123800000000012E-2</c:v>
                </c:pt>
                <c:pt idx="30">
                  <c:v>-5.7814800000000131E-2</c:v>
                </c:pt>
                <c:pt idx="31">
                  <c:v>-5.7814800000000131E-2</c:v>
                </c:pt>
              </c:numCache>
            </c:numRef>
          </c:val>
        </c:ser>
        <c:axId val="148904960"/>
        <c:axId val="150799104"/>
      </c:barChart>
      <c:catAx>
        <c:axId val="148904960"/>
        <c:scaling>
          <c:orientation val="minMax"/>
        </c:scaling>
        <c:axPos val="b"/>
        <c:tickLblPos val="high"/>
        <c:crossAx val="150799104"/>
        <c:crosses val="autoZero"/>
        <c:auto val="1"/>
        <c:lblAlgn val="ctr"/>
        <c:lblOffset val="100"/>
      </c:catAx>
      <c:valAx>
        <c:axId val="150799104"/>
        <c:scaling>
          <c:orientation val="minMax"/>
        </c:scaling>
        <c:axPos val="l"/>
        <c:majorGridlines/>
        <c:numFmt formatCode="0.0%" sourceLinked="1"/>
        <c:tickLblPos val="nextTo"/>
        <c:crossAx val="148904960"/>
        <c:crosses val="autoZero"/>
        <c:crossBetween val="between"/>
      </c:valAx>
    </c:plotArea>
    <c:legend>
      <c:legendPos val="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3"/>
  <c:chart>
    <c:plotArea>
      <c:layout/>
      <c:barChart>
        <c:barDir val="col"/>
        <c:grouping val="clustered"/>
        <c:ser>
          <c:idx val="0"/>
          <c:order val="0"/>
          <c:tx>
            <c:strRef>
              <c:f>Sheet3!$P$6</c:f>
              <c:strCache>
                <c:ptCount val="1"/>
                <c:pt idx="0">
                  <c:v>AMP - DO</c:v>
                </c:pt>
              </c:strCache>
            </c:strRef>
          </c:tx>
          <c:cat>
            <c:multiLvlStrRef>
              <c:f>Sheet3!$M$7:$O$38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Sheet3!$P$7:$P$38</c:f>
              <c:numCache>
                <c:formatCode>0.0%</c:formatCode>
                <c:ptCount val="32"/>
                <c:pt idx="0">
                  <c:v>-0.20657329999999999</c:v>
                </c:pt>
                <c:pt idx="1">
                  <c:v>-5.0524700000000013E-2</c:v>
                </c:pt>
                <c:pt idx="2">
                  <c:v>-4.2401500000000023E-2</c:v>
                </c:pt>
                <c:pt idx="3">
                  <c:v>-4.2411900000000113E-2</c:v>
                </c:pt>
                <c:pt idx="4">
                  <c:v>-4.3425099999999987E-2</c:v>
                </c:pt>
                <c:pt idx="5">
                  <c:v>-4.6739900000000029E-2</c:v>
                </c:pt>
                <c:pt idx="6">
                  <c:v>-3.2174700000000042E-2</c:v>
                </c:pt>
                <c:pt idx="7">
                  <c:v>-3.8868400000000004E-2</c:v>
                </c:pt>
                <c:pt idx="8">
                  <c:v>-0.20657329999999999</c:v>
                </c:pt>
                <c:pt idx="9">
                  <c:v>-5.2033400000000146E-2</c:v>
                </c:pt>
                <c:pt idx="10">
                  <c:v>-4.4824500000000024E-2</c:v>
                </c:pt>
                <c:pt idx="11">
                  <c:v>-4.5224499999999987E-2</c:v>
                </c:pt>
                <c:pt idx="12">
                  <c:v>-4.6509599999999977E-2</c:v>
                </c:pt>
                <c:pt idx="13">
                  <c:v>-4.9974000000000018E-2</c:v>
                </c:pt>
                <c:pt idx="14">
                  <c:v>-3.453450000000001E-2</c:v>
                </c:pt>
                <c:pt idx="15">
                  <c:v>-3.8541700000000012E-2</c:v>
                </c:pt>
                <c:pt idx="16">
                  <c:v>-0.20745300000000036</c:v>
                </c:pt>
                <c:pt idx="17">
                  <c:v>-5.7435200000000033E-2</c:v>
                </c:pt>
                <c:pt idx="18">
                  <c:v>-5.7435200000000033E-2</c:v>
                </c:pt>
                <c:pt idx="19">
                  <c:v>-5.7435200000000033E-2</c:v>
                </c:pt>
                <c:pt idx="20">
                  <c:v>-5.7435200000000033E-2</c:v>
                </c:pt>
                <c:pt idx="21">
                  <c:v>-5.7435200000000033E-2</c:v>
                </c:pt>
                <c:pt idx="22">
                  <c:v>-5.7435200000000033E-2</c:v>
                </c:pt>
                <c:pt idx="23">
                  <c:v>-5.7435200000000033E-2</c:v>
                </c:pt>
                <c:pt idx="24">
                  <c:v>-0.20745300000000036</c:v>
                </c:pt>
                <c:pt idx="25">
                  <c:v>-5.8014400000000133E-2</c:v>
                </c:pt>
                <c:pt idx="26">
                  <c:v>-5.8715000000000094E-2</c:v>
                </c:pt>
                <c:pt idx="27">
                  <c:v>-5.9075100000000012E-2</c:v>
                </c:pt>
                <c:pt idx="28">
                  <c:v>-5.9319900000000168E-2</c:v>
                </c:pt>
                <c:pt idx="29">
                  <c:v>-5.9408300000000032E-2</c:v>
                </c:pt>
                <c:pt idx="30">
                  <c:v>-5.9408300000000032E-2</c:v>
                </c:pt>
                <c:pt idx="31">
                  <c:v>-5.9408300000000032E-2</c:v>
                </c:pt>
              </c:numCache>
            </c:numRef>
          </c:val>
        </c:ser>
        <c:ser>
          <c:idx val="1"/>
          <c:order val="1"/>
          <c:tx>
            <c:strRef>
              <c:f>Sheet3!$Q$6</c:f>
              <c:strCache>
                <c:ptCount val="1"/>
                <c:pt idx="0">
                  <c:v>AMP - DA</c:v>
                </c:pt>
              </c:strCache>
            </c:strRef>
          </c:tx>
          <c:cat>
            <c:multiLvlStrRef>
              <c:f>Sheet3!$M$7:$O$38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Sheet3!$Q$7:$Q$38</c:f>
              <c:numCache>
                <c:formatCode>0.0%</c:formatCode>
                <c:ptCount val="32"/>
                <c:pt idx="0">
                  <c:v>-0.2393595</c:v>
                </c:pt>
                <c:pt idx="1">
                  <c:v>-0.22780220000000009</c:v>
                </c:pt>
                <c:pt idx="2">
                  <c:v>-0.22465820000000006</c:v>
                </c:pt>
                <c:pt idx="3">
                  <c:v>-0.22307520000000006</c:v>
                </c:pt>
                <c:pt idx="4">
                  <c:v>-0.22150740000000024</c:v>
                </c:pt>
                <c:pt idx="5">
                  <c:v>-0.21830830000000048</c:v>
                </c:pt>
                <c:pt idx="6">
                  <c:v>-0.20552980000000001</c:v>
                </c:pt>
                <c:pt idx="7">
                  <c:v>-0.20017940000000001</c:v>
                </c:pt>
                <c:pt idx="8">
                  <c:v>-0.2393595</c:v>
                </c:pt>
                <c:pt idx="9">
                  <c:v>-0.13558519999999999</c:v>
                </c:pt>
                <c:pt idx="10">
                  <c:v>-0.11785000000000001</c:v>
                </c:pt>
                <c:pt idx="11">
                  <c:v>-0.11233899999999984</c:v>
                </c:pt>
                <c:pt idx="12">
                  <c:v>-0.107309</c:v>
                </c:pt>
                <c:pt idx="13">
                  <c:v>-9.8363200000000012E-2</c:v>
                </c:pt>
                <c:pt idx="14">
                  <c:v>-5.7866500000000168E-2</c:v>
                </c:pt>
                <c:pt idx="15">
                  <c:v>-4.7353300000000112E-2</c:v>
                </c:pt>
                <c:pt idx="16">
                  <c:v>-0.2393595</c:v>
                </c:pt>
                <c:pt idx="17">
                  <c:v>-0.22658880000000006</c:v>
                </c:pt>
                <c:pt idx="18">
                  <c:v>-0.22239730000000021</c:v>
                </c:pt>
                <c:pt idx="19">
                  <c:v>-0.22012269999999987</c:v>
                </c:pt>
                <c:pt idx="20">
                  <c:v>-0.21769800000000036</c:v>
                </c:pt>
                <c:pt idx="21">
                  <c:v>-0.2138737</c:v>
                </c:pt>
                <c:pt idx="22">
                  <c:v>-0.20356469999999999</c:v>
                </c:pt>
                <c:pt idx="23">
                  <c:v>-0.20356469999999999</c:v>
                </c:pt>
                <c:pt idx="24">
                  <c:v>-0.2393595</c:v>
                </c:pt>
                <c:pt idx="25">
                  <c:v>-8.0838900000000047E-2</c:v>
                </c:pt>
                <c:pt idx="26">
                  <c:v>-7.6647400000000004E-2</c:v>
                </c:pt>
                <c:pt idx="27">
                  <c:v>-7.4372800000000114E-2</c:v>
                </c:pt>
                <c:pt idx="28">
                  <c:v>-7.1948099999999987E-2</c:v>
                </c:pt>
                <c:pt idx="29">
                  <c:v>-6.8123800000000012E-2</c:v>
                </c:pt>
                <c:pt idx="30">
                  <c:v>-5.7814800000000034E-2</c:v>
                </c:pt>
                <c:pt idx="31">
                  <c:v>-5.7814800000000034E-2</c:v>
                </c:pt>
              </c:numCache>
            </c:numRef>
          </c:val>
        </c:ser>
        <c:axId val="150811392"/>
        <c:axId val="150812928"/>
      </c:barChart>
      <c:catAx>
        <c:axId val="150811392"/>
        <c:scaling>
          <c:orientation val="minMax"/>
        </c:scaling>
        <c:axPos val="b"/>
        <c:tickLblPos val="high"/>
        <c:crossAx val="150812928"/>
        <c:crosses val="autoZero"/>
        <c:auto val="1"/>
        <c:lblAlgn val="ctr"/>
        <c:lblOffset val="100"/>
      </c:catAx>
      <c:valAx>
        <c:axId val="150812928"/>
        <c:scaling>
          <c:orientation val="minMax"/>
        </c:scaling>
        <c:axPos val="l"/>
        <c:majorGridlines/>
        <c:numFmt formatCode="0.0%" sourceLinked="1"/>
        <c:tickLblPos val="nextTo"/>
        <c:crossAx val="150811392"/>
        <c:crosses val="autoZero"/>
        <c:crossBetween val="between"/>
      </c:val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manualLayout>
          <c:layoutTarget val="inner"/>
          <c:xMode val="edge"/>
          <c:yMode val="edge"/>
          <c:x val="8.0277673657394993E-2"/>
          <c:y val="0.37607306656791839"/>
          <c:w val="0.89531249105578059"/>
          <c:h val="0.56570861397528971"/>
        </c:manualLayout>
      </c:layout>
      <c:barChart>
        <c:barDir val="col"/>
        <c:grouping val="clustered"/>
        <c:ser>
          <c:idx val="0"/>
          <c:order val="0"/>
          <c:tx>
            <c:strRef>
              <c:f>Sheet3!$R$6</c:f>
              <c:strCache>
                <c:ptCount val="1"/>
                <c:pt idx="0">
                  <c:v>CBP - DO</c:v>
                </c:pt>
              </c:strCache>
            </c:strRef>
          </c:tx>
          <c:cat>
            <c:multiLvlStrRef>
              <c:f>Sheet3!$M$7:$O$38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Sheet3!$R$7:$R$38</c:f>
              <c:numCache>
                <c:formatCode>0.0%</c:formatCode>
                <c:ptCount val="32"/>
                <c:pt idx="0">
                  <c:v>-0.34293820000000008</c:v>
                </c:pt>
                <c:pt idx="1">
                  <c:v>-9.6856000000000067E-2</c:v>
                </c:pt>
                <c:pt idx="2">
                  <c:v>-0.10122260000000038</c:v>
                </c:pt>
                <c:pt idx="3">
                  <c:v>-0.10707060000000022</c:v>
                </c:pt>
                <c:pt idx="4">
                  <c:v>-0.1101859</c:v>
                </c:pt>
                <c:pt idx="5">
                  <c:v>-0.11455609999999998</c:v>
                </c:pt>
                <c:pt idx="6">
                  <c:v>-9.9995200000000048E-2</c:v>
                </c:pt>
                <c:pt idx="7">
                  <c:v>-7.2621900000000003E-2</c:v>
                </c:pt>
                <c:pt idx="8">
                  <c:v>-0.34293820000000008</c:v>
                </c:pt>
                <c:pt idx="9">
                  <c:v>-9.7285800000000006E-2</c:v>
                </c:pt>
                <c:pt idx="10">
                  <c:v>-0.1016524</c:v>
                </c:pt>
                <c:pt idx="11">
                  <c:v>-0.10750050000000012</c:v>
                </c:pt>
                <c:pt idx="12">
                  <c:v>-0.1106158</c:v>
                </c:pt>
                <c:pt idx="13">
                  <c:v>-0.1149859</c:v>
                </c:pt>
                <c:pt idx="14">
                  <c:v>-0.10042500000000019</c:v>
                </c:pt>
                <c:pt idx="15">
                  <c:v>-7.30518E-2</c:v>
                </c:pt>
                <c:pt idx="16">
                  <c:v>-0.34298380000000112</c:v>
                </c:pt>
                <c:pt idx="17">
                  <c:v>-9.9132700000000004E-2</c:v>
                </c:pt>
                <c:pt idx="18">
                  <c:v>-9.8569200000000065E-2</c:v>
                </c:pt>
                <c:pt idx="19">
                  <c:v>-9.8287400000000025E-2</c:v>
                </c:pt>
                <c:pt idx="20">
                  <c:v>-9.8005700000000098E-2</c:v>
                </c:pt>
                <c:pt idx="21">
                  <c:v>-9.7442099999999976E-2</c:v>
                </c:pt>
                <c:pt idx="22">
                  <c:v>-9.4436500000000007E-2</c:v>
                </c:pt>
                <c:pt idx="23">
                  <c:v>-8.6399599999999993E-2</c:v>
                </c:pt>
                <c:pt idx="24">
                  <c:v>-0.34298380000000112</c:v>
                </c:pt>
                <c:pt idx="25">
                  <c:v>-9.9562600000000098E-2</c:v>
                </c:pt>
                <c:pt idx="26">
                  <c:v>-9.8999100000000007E-2</c:v>
                </c:pt>
                <c:pt idx="27">
                  <c:v>-9.871730000000041E-2</c:v>
                </c:pt>
                <c:pt idx="28">
                  <c:v>-9.8435500000000065E-2</c:v>
                </c:pt>
                <c:pt idx="29">
                  <c:v>-9.7872000000000001E-2</c:v>
                </c:pt>
                <c:pt idx="30">
                  <c:v>-9.4866300000000472E-2</c:v>
                </c:pt>
                <c:pt idx="31">
                  <c:v>-8.6829500000000004E-2</c:v>
                </c:pt>
              </c:numCache>
            </c:numRef>
          </c:val>
        </c:ser>
        <c:ser>
          <c:idx val="1"/>
          <c:order val="1"/>
          <c:tx>
            <c:strRef>
              <c:f>Sheet3!$S$6</c:f>
              <c:strCache>
                <c:ptCount val="1"/>
                <c:pt idx="0">
                  <c:v>CBP - DA</c:v>
                </c:pt>
              </c:strCache>
            </c:strRef>
          </c:tx>
          <c:cat>
            <c:multiLvlStrRef>
              <c:f>Sheet3!$M$7:$O$38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Sheet3!$S$7:$S$38</c:f>
              <c:numCache>
                <c:formatCode>0.0%</c:formatCode>
                <c:ptCount val="32"/>
                <c:pt idx="0">
                  <c:v>-0.33624020000000032</c:v>
                </c:pt>
                <c:pt idx="1">
                  <c:v>-0.22315309999999997</c:v>
                </c:pt>
                <c:pt idx="2">
                  <c:v>-0.22089239999999999</c:v>
                </c:pt>
                <c:pt idx="3">
                  <c:v>-0.22540900000000041</c:v>
                </c:pt>
                <c:pt idx="4">
                  <c:v>-0.23350989999999999</c:v>
                </c:pt>
                <c:pt idx="5">
                  <c:v>-0.24872890000000053</c:v>
                </c:pt>
                <c:pt idx="6">
                  <c:v>-0.1816046</c:v>
                </c:pt>
                <c:pt idx="7">
                  <c:v>5.8824700000000001E-2</c:v>
                </c:pt>
                <c:pt idx="8">
                  <c:v>-0.33624020000000032</c:v>
                </c:pt>
                <c:pt idx="9">
                  <c:v>-0.2276089</c:v>
                </c:pt>
                <c:pt idx="10">
                  <c:v>-0.2276176</c:v>
                </c:pt>
                <c:pt idx="11">
                  <c:v>-0.23345969999999999</c:v>
                </c:pt>
                <c:pt idx="12">
                  <c:v>-0.24296420000000082</c:v>
                </c:pt>
                <c:pt idx="13">
                  <c:v>-0.26066540000000005</c:v>
                </c:pt>
                <c:pt idx="14">
                  <c:v>-0.19290189999999999</c:v>
                </c:pt>
                <c:pt idx="15">
                  <c:v>4.2472300000000004E-2</c:v>
                </c:pt>
                <c:pt idx="16">
                  <c:v>-0.33624020000000032</c:v>
                </c:pt>
                <c:pt idx="17">
                  <c:v>-0.19756860000000001</c:v>
                </c:pt>
                <c:pt idx="18">
                  <c:v>-0.20547650000000001</c:v>
                </c:pt>
                <c:pt idx="19">
                  <c:v>-0.20871050000000024</c:v>
                </c:pt>
                <c:pt idx="20">
                  <c:v>-0.21194440000000112</c:v>
                </c:pt>
                <c:pt idx="21">
                  <c:v>-0.21359420000000073</c:v>
                </c:pt>
                <c:pt idx="22">
                  <c:v>-0.21359420000000073</c:v>
                </c:pt>
                <c:pt idx="23">
                  <c:v>-0.21359420000000073</c:v>
                </c:pt>
                <c:pt idx="24">
                  <c:v>-0.33624020000000032</c:v>
                </c:pt>
                <c:pt idx="25">
                  <c:v>-0.20111889999999999</c:v>
                </c:pt>
                <c:pt idx="26">
                  <c:v>-0.21161530000000059</c:v>
                </c:pt>
                <c:pt idx="27">
                  <c:v>-0.21614350000000004</c:v>
                </c:pt>
                <c:pt idx="28">
                  <c:v>-0.22067169999999967</c:v>
                </c:pt>
                <c:pt idx="29">
                  <c:v>-0.22425840000000041</c:v>
                </c:pt>
                <c:pt idx="30">
                  <c:v>-0.22234300000000001</c:v>
                </c:pt>
                <c:pt idx="31">
                  <c:v>-0.23046450000000004</c:v>
                </c:pt>
              </c:numCache>
            </c:numRef>
          </c:val>
        </c:ser>
        <c:axId val="150833024"/>
        <c:axId val="150834560"/>
      </c:barChart>
      <c:catAx>
        <c:axId val="150833024"/>
        <c:scaling>
          <c:orientation val="minMax"/>
        </c:scaling>
        <c:axPos val="b"/>
        <c:tickLblPos val="high"/>
        <c:crossAx val="150834560"/>
        <c:crosses val="autoZero"/>
        <c:auto val="1"/>
        <c:lblAlgn val="ctr"/>
        <c:lblOffset val="100"/>
      </c:catAx>
      <c:valAx>
        <c:axId val="150834560"/>
        <c:scaling>
          <c:orientation val="minMax"/>
        </c:scaling>
        <c:axPos val="l"/>
        <c:majorGridlines/>
        <c:numFmt formatCode="0.0%" sourceLinked="1"/>
        <c:tickLblPos val="nextTo"/>
        <c:crossAx val="150833024"/>
        <c:crosses val="autoZero"/>
        <c:crossBetween val="between"/>
      </c:valAx>
    </c:plotArea>
    <c:legend>
      <c:legendPos val="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4"/>
  <c:chart>
    <c:plotArea>
      <c:layout>
        <c:manualLayout>
          <c:layoutTarget val="inner"/>
          <c:xMode val="edge"/>
          <c:yMode val="edge"/>
          <c:x val="8.0277673657394993E-2"/>
          <c:y val="0.37607306656791806"/>
          <c:w val="0.89531249105578059"/>
          <c:h val="0.56570861397528882"/>
        </c:manualLayout>
      </c:layout>
      <c:barChart>
        <c:barDir val="col"/>
        <c:grouping val="clustered"/>
        <c:ser>
          <c:idx val="0"/>
          <c:order val="0"/>
          <c:tx>
            <c:strRef>
              <c:f>Sheet3!$R$6</c:f>
              <c:strCache>
                <c:ptCount val="1"/>
                <c:pt idx="0">
                  <c:v>CBP - DO</c:v>
                </c:pt>
              </c:strCache>
            </c:strRef>
          </c:tx>
          <c:cat>
            <c:multiLvlStrRef>
              <c:f>Sheet3!$M$7:$O$38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Sheet3!$R$7:$R$38</c:f>
              <c:numCache>
                <c:formatCode>0.0%</c:formatCode>
                <c:ptCount val="32"/>
                <c:pt idx="0">
                  <c:v>-0.34293820000000008</c:v>
                </c:pt>
                <c:pt idx="1">
                  <c:v>-9.6856000000000067E-2</c:v>
                </c:pt>
                <c:pt idx="2">
                  <c:v>-0.10122260000000025</c:v>
                </c:pt>
                <c:pt idx="3">
                  <c:v>-0.10707060000000017</c:v>
                </c:pt>
                <c:pt idx="4">
                  <c:v>-0.1101859</c:v>
                </c:pt>
                <c:pt idx="5">
                  <c:v>-0.11455609999999998</c:v>
                </c:pt>
                <c:pt idx="6">
                  <c:v>-9.9995200000000048E-2</c:v>
                </c:pt>
                <c:pt idx="7">
                  <c:v>-7.2621900000000003E-2</c:v>
                </c:pt>
                <c:pt idx="8">
                  <c:v>-0.34293820000000008</c:v>
                </c:pt>
                <c:pt idx="9">
                  <c:v>-9.7285800000000006E-2</c:v>
                </c:pt>
                <c:pt idx="10">
                  <c:v>-0.1016524</c:v>
                </c:pt>
                <c:pt idx="11">
                  <c:v>-0.10750050000000012</c:v>
                </c:pt>
                <c:pt idx="12">
                  <c:v>-0.1106158</c:v>
                </c:pt>
                <c:pt idx="13">
                  <c:v>-0.1149859</c:v>
                </c:pt>
                <c:pt idx="14">
                  <c:v>-0.10042500000000017</c:v>
                </c:pt>
                <c:pt idx="15">
                  <c:v>-7.30518E-2</c:v>
                </c:pt>
                <c:pt idx="16">
                  <c:v>-0.34298380000000073</c:v>
                </c:pt>
                <c:pt idx="17">
                  <c:v>-9.9132700000000004E-2</c:v>
                </c:pt>
                <c:pt idx="18">
                  <c:v>-9.8569200000000065E-2</c:v>
                </c:pt>
                <c:pt idx="19">
                  <c:v>-9.8287400000000025E-2</c:v>
                </c:pt>
                <c:pt idx="20">
                  <c:v>-9.8005700000000098E-2</c:v>
                </c:pt>
                <c:pt idx="21">
                  <c:v>-9.7442099999999976E-2</c:v>
                </c:pt>
                <c:pt idx="22">
                  <c:v>-9.4436500000000007E-2</c:v>
                </c:pt>
                <c:pt idx="23">
                  <c:v>-8.6399599999999993E-2</c:v>
                </c:pt>
                <c:pt idx="24">
                  <c:v>-0.34298380000000073</c:v>
                </c:pt>
                <c:pt idx="25">
                  <c:v>-9.9562600000000098E-2</c:v>
                </c:pt>
                <c:pt idx="26">
                  <c:v>-9.8999100000000007E-2</c:v>
                </c:pt>
                <c:pt idx="27">
                  <c:v>-9.8717300000000271E-2</c:v>
                </c:pt>
                <c:pt idx="28">
                  <c:v>-9.8435500000000065E-2</c:v>
                </c:pt>
                <c:pt idx="29">
                  <c:v>-9.7872000000000001E-2</c:v>
                </c:pt>
                <c:pt idx="30">
                  <c:v>-9.4866300000000292E-2</c:v>
                </c:pt>
                <c:pt idx="31">
                  <c:v>-8.6829500000000004E-2</c:v>
                </c:pt>
              </c:numCache>
            </c:numRef>
          </c:val>
        </c:ser>
        <c:ser>
          <c:idx val="1"/>
          <c:order val="1"/>
          <c:tx>
            <c:strRef>
              <c:f>Sheet3!$S$6</c:f>
              <c:strCache>
                <c:ptCount val="1"/>
                <c:pt idx="0">
                  <c:v>CBP - DA</c:v>
                </c:pt>
              </c:strCache>
            </c:strRef>
          </c:tx>
          <c:cat>
            <c:multiLvlStrRef>
              <c:f>Sheet3!$M$7:$O$38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Sheet3!$S$7:$S$38</c:f>
              <c:numCache>
                <c:formatCode>0.0%</c:formatCode>
                <c:ptCount val="32"/>
                <c:pt idx="0">
                  <c:v>-0.33624020000000032</c:v>
                </c:pt>
                <c:pt idx="1">
                  <c:v>-0.22315309999999997</c:v>
                </c:pt>
                <c:pt idx="2">
                  <c:v>-0.22089239999999999</c:v>
                </c:pt>
                <c:pt idx="3">
                  <c:v>-0.22540900000000033</c:v>
                </c:pt>
                <c:pt idx="4">
                  <c:v>-0.23350989999999999</c:v>
                </c:pt>
                <c:pt idx="5">
                  <c:v>-0.24872890000000036</c:v>
                </c:pt>
                <c:pt idx="6">
                  <c:v>-0.1816046</c:v>
                </c:pt>
                <c:pt idx="7">
                  <c:v>5.8824700000000001E-2</c:v>
                </c:pt>
                <c:pt idx="8">
                  <c:v>-0.33624020000000032</c:v>
                </c:pt>
                <c:pt idx="9">
                  <c:v>-0.2276089</c:v>
                </c:pt>
                <c:pt idx="10">
                  <c:v>-0.2276176</c:v>
                </c:pt>
                <c:pt idx="11">
                  <c:v>-0.23345969999999999</c:v>
                </c:pt>
                <c:pt idx="12">
                  <c:v>-0.24296420000000052</c:v>
                </c:pt>
                <c:pt idx="13">
                  <c:v>-0.26066540000000005</c:v>
                </c:pt>
                <c:pt idx="14">
                  <c:v>-0.19290189999999999</c:v>
                </c:pt>
                <c:pt idx="15">
                  <c:v>4.2472300000000004E-2</c:v>
                </c:pt>
                <c:pt idx="16">
                  <c:v>-0.33624020000000032</c:v>
                </c:pt>
                <c:pt idx="17">
                  <c:v>-0.19756860000000001</c:v>
                </c:pt>
                <c:pt idx="18">
                  <c:v>-0.20547650000000001</c:v>
                </c:pt>
                <c:pt idx="19">
                  <c:v>-0.20871050000000024</c:v>
                </c:pt>
                <c:pt idx="20">
                  <c:v>-0.21194440000000075</c:v>
                </c:pt>
                <c:pt idx="21">
                  <c:v>-0.21359420000000048</c:v>
                </c:pt>
                <c:pt idx="22">
                  <c:v>-0.21359420000000048</c:v>
                </c:pt>
                <c:pt idx="23">
                  <c:v>-0.21359420000000048</c:v>
                </c:pt>
                <c:pt idx="24">
                  <c:v>-0.33624020000000032</c:v>
                </c:pt>
                <c:pt idx="25">
                  <c:v>-0.20111889999999999</c:v>
                </c:pt>
                <c:pt idx="26">
                  <c:v>-0.21161530000000042</c:v>
                </c:pt>
                <c:pt idx="27">
                  <c:v>-0.21614350000000004</c:v>
                </c:pt>
                <c:pt idx="28">
                  <c:v>-0.22067169999999967</c:v>
                </c:pt>
                <c:pt idx="29">
                  <c:v>-0.22425840000000033</c:v>
                </c:pt>
                <c:pt idx="30">
                  <c:v>-0.22234300000000001</c:v>
                </c:pt>
                <c:pt idx="31">
                  <c:v>-0.23046450000000004</c:v>
                </c:pt>
              </c:numCache>
            </c:numRef>
          </c:val>
        </c:ser>
        <c:axId val="150850944"/>
        <c:axId val="160183424"/>
      </c:barChart>
      <c:catAx>
        <c:axId val="150850944"/>
        <c:scaling>
          <c:orientation val="minMax"/>
        </c:scaling>
        <c:axPos val="b"/>
        <c:tickLblPos val="high"/>
        <c:crossAx val="160183424"/>
        <c:crosses val="autoZero"/>
        <c:auto val="1"/>
        <c:lblAlgn val="ctr"/>
        <c:lblOffset val="100"/>
      </c:catAx>
      <c:valAx>
        <c:axId val="160183424"/>
        <c:scaling>
          <c:orientation val="minMax"/>
        </c:scaling>
        <c:axPos val="l"/>
        <c:majorGridlines/>
        <c:numFmt formatCode="0.0%" sourceLinked="1"/>
        <c:tickLblPos val="nextTo"/>
        <c:crossAx val="150850944"/>
        <c:crosses val="autoZero"/>
        <c:crossBetween val="between"/>
      </c:valAx>
    </c:plotArea>
    <c:legend>
      <c:legendPos val="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
  <c:chart>
    <c:plotArea>
      <c:layout/>
      <c:barChart>
        <c:barDir val="col"/>
        <c:grouping val="clustered"/>
        <c:ser>
          <c:idx val="0"/>
          <c:order val="0"/>
          <c:tx>
            <c:strRef>
              <c:f>'SCE Overview'!$P$6</c:f>
              <c:strCache>
                <c:ptCount val="1"/>
                <c:pt idx="0">
                  <c:v>DRRC - DO</c:v>
                </c:pt>
              </c:strCache>
            </c:strRef>
          </c:tx>
          <c:cat>
            <c:multiLvlStrRef>
              <c:f>'SCE Overview'!$M$7:$O$38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'SCE Overview'!$P$7:$P$38</c:f>
              <c:numCache>
                <c:formatCode>0.0%</c:formatCode>
                <c:ptCount val="32"/>
                <c:pt idx="0">
                  <c:v>-0.16931979999999999</c:v>
                </c:pt>
                <c:pt idx="1">
                  <c:v>-2.8400999999999999E-2</c:v>
                </c:pt>
                <c:pt idx="2">
                  <c:v>-2.1490300000000052E-2</c:v>
                </c:pt>
                <c:pt idx="3">
                  <c:v>-2.0301900000000012E-2</c:v>
                </c:pt>
                <c:pt idx="4">
                  <c:v>-1.9950600000000061E-2</c:v>
                </c:pt>
                <c:pt idx="5">
                  <c:v>-1.9372400000000001E-2</c:v>
                </c:pt>
                <c:pt idx="6">
                  <c:v>8.3230000000000998E-4</c:v>
                </c:pt>
                <c:pt idx="7">
                  <c:v>2.524270000000001E-2</c:v>
                </c:pt>
                <c:pt idx="8">
                  <c:v>-0.16931979999999999</c:v>
                </c:pt>
                <c:pt idx="9">
                  <c:v>-2.8400999999999999E-2</c:v>
                </c:pt>
                <c:pt idx="10">
                  <c:v>-2.1490300000000052E-2</c:v>
                </c:pt>
                <c:pt idx="11">
                  <c:v>-2.0301900000000012E-2</c:v>
                </c:pt>
                <c:pt idx="12">
                  <c:v>-1.9950600000000061E-2</c:v>
                </c:pt>
                <c:pt idx="13">
                  <c:v>-1.9372400000000001E-2</c:v>
                </c:pt>
                <c:pt idx="14">
                  <c:v>8.3230000000000998E-4</c:v>
                </c:pt>
                <c:pt idx="15">
                  <c:v>2.524270000000001E-2</c:v>
                </c:pt>
                <c:pt idx="16">
                  <c:v>-0.16931979999999999</c:v>
                </c:pt>
                <c:pt idx="17">
                  <c:v>-8.5444000000000006E-3</c:v>
                </c:pt>
                <c:pt idx="18">
                  <c:v>-8.5444000000000006E-3</c:v>
                </c:pt>
                <c:pt idx="19">
                  <c:v>-8.5444000000000006E-3</c:v>
                </c:pt>
                <c:pt idx="20">
                  <c:v>-8.5444000000000006E-3</c:v>
                </c:pt>
                <c:pt idx="21">
                  <c:v>-8.5444000000000006E-3</c:v>
                </c:pt>
                <c:pt idx="22">
                  <c:v>-8.5444000000000006E-3</c:v>
                </c:pt>
                <c:pt idx="23">
                  <c:v>-8.5444000000000006E-3</c:v>
                </c:pt>
                <c:pt idx="24">
                  <c:v>-0.16931979999999999</c:v>
                </c:pt>
                <c:pt idx="25">
                  <c:v>-8.5444000000000006E-3</c:v>
                </c:pt>
                <c:pt idx="26">
                  <c:v>-8.5444000000000006E-3</c:v>
                </c:pt>
                <c:pt idx="27">
                  <c:v>-8.5444000000000006E-3</c:v>
                </c:pt>
                <c:pt idx="28">
                  <c:v>-8.5444000000000006E-3</c:v>
                </c:pt>
                <c:pt idx="29">
                  <c:v>-8.5444000000000006E-3</c:v>
                </c:pt>
                <c:pt idx="30">
                  <c:v>-8.5444000000000006E-3</c:v>
                </c:pt>
                <c:pt idx="31">
                  <c:v>-8.5444000000000006E-3</c:v>
                </c:pt>
              </c:numCache>
            </c:numRef>
          </c:val>
        </c:ser>
        <c:ser>
          <c:idx val="1"/>
          <c:order val="1"/>
          <c:tx>
            <c:strRef>
              <c:f>'SCE Overview'!$Q$6</c:f>
              <c:strCache>
                <c:ptCount val="1"/>
                <c:pt idx="0">
                  <c:v>DRRC - DA</c:v>
                </c:pt>
              </c:strCache>
            </c:strRef>
          </c:tx>
          <c:cat>
            <c:multiLvlStrRef>
              <c:f>'SCE Overview'!$M$7:$O$38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'SCE Overview'!$Q$7:$Q$38</c:f>
              <c:numCache>
                <c:formatCode>0.0%</c:formatCode>
                <c:ptCount val="32"/>
                <c:pt idx="0">
                  <c:v>-0.14588899999999999</c:v>
                </c:pt>
                <c:pt idx="1">
                  <c:v>-3.3223799999999998E-2</c:v>
                </c:pt>
                <c:pt idx="2">
                  <c:v>-2.7125699999999999E-2</c:v>
                </c:pt>
                <c:pt idx="3">
                  <c:v>-2.6724499999999977E-2</c:v>
                </c:pt>
                <c:pt idx="4">
                  <c:v>-2.6616000000000011E-2</c:v>
                </c:pt>
                <c:pt idx="5">
                  <c:v>-2.9022399999999997E-2</c:v>
                </c:pt>
                <c:pt idx="6">
                  <c:v>-3.2852000000000298E-3</c:v>
                </c:pt>
                <c:pt idx="7">
                  <c:v>0.49656780000000261</c:v>
                </c:pt>
                <c:pt idx="8">
                  <c:v>-0.14588899999999999</c:v>
                </c:pt>
                <c:pt idx="9">
                  <c:v>-3.3223799999999998E-2</c:v>
                </c:pt>
                <c:pt idx="10">
                  <c:v>-2.7125699999999999E-2</c:v>
                </c:pt>
                <c:pt idx="11">
                  <c:v>-2.6724499999999977E-2</c:v>
                </c:pt>
                <c:pt idx="12">
                  <c:v>-2.6616000000000011E-2</c:v>
                </c:pt>
                <c:pt idx="13">
                  <c:v>-2.9022399999999997E-2</c:v>
                </c:pt>
                <c:pt idx="14">
                  <c:v>-3.2852000000000298E-3</c:v>
                </c:pt>
                <c:pt idx="15">
                  <c:v>0.49656780000000261</c:v>
                </c:pt>
                <c:pt idx="16">
                  <c:v>-0.14588899999999999</c:v>
                </c:pt>
                <c:pt idx="17">
                  <c:v>-7.8224999999999996E-3</c:v>
                </c:pt>
                <c:pt idx="18">
                  <c:v>-7.8224999999999996E-3</c:v>
                </c:pt>
                <c:pt idx="19">
                  <c:v>-7.8224999999999996E-3</c:v>
                </c:pt>
                <c:pt idx="20">
                  <c:v>-7.8224999999999996E-3</c:v>
                </c:pt>
                <c:pt idx="21">
                  <c:v>-7.8224999999999996E-3</c:v>
                </c:pt>
                <c:pt idx="22">
                  <c:v>-7.8224999999999996E-3</c:v>
                </c:pt>
                <c:pt idx="23">
                  <c:v>-7.8224999999999996E-3</c:v>
                </c:pt>
                <c:pt idx="24">
                  <c:v>-0.14588899999999999</c:v>
                </c:pt>
                <c:pt idx="25">
                  <c:v>-7.8224999999999996E-3</c:v>
                </c:pt>
                <c:pt idx="26">
                  <c:v>-7.8224999999999996E-3</c:v>
                </c:pt>
                <c:pt idx="27">
                  <c:v>-7.8224999999999996E-3</c:v>
                </c:pt>
                <c:pt idx="28">
                  <c:v>-7.8224999999999996E-3</c:v>
                </c:pt>
                <c:pt idx="29">
                  <c:v>-7.8224999999999996E-3</c:v>
                </c:pt>
                <c:pt idx="30">
                  <c:v>-7.8224999999999996E-3</c:v>
                </c:pt>
                <c:pt idx="31">
                  <c:v>-7.8224999999999996E-3</c:v>
                </c:pt>
              </c:numCache>
            </c:numRef>
          </c:val>
        </c:ser>
        <c:axId val="160211712"/>
        <c:axId val="160213248"/>
      </c:barChart>
      <c:catAx>
        <c:axId val="160211712"/>
        <c:scaling>
          <c:orientation val="minMax"/>
        </c:scaling>
        <c:axPos val="b"/>
        <c:tickLblPos val="high"/>
        <c:crossAx val="160213248"/>
        <c:crosses val="autoZero"/>
        <c:auto val="1"/>
        <c:lblAlgn val="ctr"/>
        <c:lblOffset val="100"/>
      </c:catAx>
      <c:valAx>
        <c:axId val="160213248"/>
        <c:scaling>
          <c:orientation val="minMax"/>
          <c:max val="0.5"/>
          <c:min val="-0.2"/>
        </c:scaling>
        <c:axPos val="l"/>
        <c:majorGridlines/>
        <c:numFmt formatCode="0.0%" sourceLinked="1"/>
        <c:tickLblPos val="nextTo"/>
        <c:crossAx val="160211712"/>
        <c:crosses val="autoZero"/>
        <c:crossBetween val="between"/>
      </c:valAx>
    </c:plotArea>
    <c:legend>
      <c:legendPos val="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4"/>
  <c:chart>
    <c:plotArea>
      <c:layout>
        <c:manualLayout>
          <c:layoutTarget val="inner"/>
          <c:xMode val="edge"/>
          <c:yMode val="edge"/>
          <c:x val="8.0277673657394993E-2"/>
          <c:y val="0.37607306656792033"/>
          <c:w val="0.89531249105578059"/>
          <c:h val="0.56570861397529471"/>
        </c:manualLayout>
      </c:layout>
      <c:barChart>
        <c:barDir val="col"/>
        <c:grouping val="clustered"/>
        <c:ser>
          <c:idx val="0"/>
          <c:order val="0"/>
          <c:tx>
            <c:strRef>
              <c:f>'SCE Overview'!$R$6</c:f>
              <c:strCache>
                <c:ptCount val="1"/>
                <c:pt idx="0">
                  <c:v>CBP - DO</c:v>
                </c:pt>
              </c:strCache>
            </c:strRef>
          </c:tx>
          <c:cat>
            <c:multiLvlStrRef>
              <c:f>'SCE Overview'!$M$7:$O$38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'SCE Overview'!$R$7:$R$38</c:f>
              <c:numCache>
                <c:formatCode>0.0%</c:formatCode>
                <c:ptCount val="32"/>
                <c:pt idx="0">
                  <c:v>-0.26350460000000031</c:v>
                </c:pt>
                <c:pt idx="1">
                  <c:v>-0.11284929999999985</c:v>
                </c:pt>
                <c:pt idx="2">
                  <c:v>-0.11075570000000012</c:v>
                </c:pt>
                <c:pt idx="3">
                  <c:v>-0.11072129999999999</c:v>
                </c:pt>
                <c:pt idx="4">
                  <c:v>-0.1109412</c:v>
                </c:pt>
                <c:pt idx="5">
                  <c:v>-0.1114928</c:v>
                </c:pt>
                <c:pt idx="6">
                  <c:v>-0.1114928</c:v>
                </c:pt>
                <c:pt idx="7">
                  <c:v>-0.11311470000000012</c:v>
                </c:pt>
                <c:pt idx="8">
                  <c:v>-0.26350460000000031</c:v>
                </c:pt>
                <c:pt idx="9">
                  <c:v>4.0335500000000003E-2</c:v>
                </c:pt>
                <c:pt idx="10">
                  <c:v>4.69556E-2</c:v>
                </c:pt>
                <c:pt idx="11">
                  <c:v>4.7191799999999999E-2</c:v>
                </c:pt>
                <c:pt idx="12">
                  <c:v>4.7144699999999998E-2</c:v>
                </c:pt>
                <c:pt idx="13">
                  <c:v>4.6708199999999998E-2</c:v>
                </c:pt>
                <c:pt idx="14">
                  <c:v>4.6932500000000002E-2</c:v>
                </c:pt>
                <c:pt idx="15">
                  <c:v>4.4918800000000023E-2</c:v>
                </c:pt>
                <c:pt idx="16">
                  <c:v>-0.26350460000000031</c:v>
                </c:pt>
                <c:pt idx="17">
                  <c:v>-0.11697500000000002</c:v>
                </c:pt>
                <c:pt idx="18">
                  <c:v>-0.11697500000000002</c:v>
                </c:pt>
                <c:pt idx="19">
                  <c:v>-0.11697500000000002</c:v>
                </c:pt>
                <c:pt idx="20">
                  <c:v>-0.11697500000000002</c:v>
                </c:pt>
                <c:pt idx="21">
                  <c:v>-0.11697500000000002</c:v>
                </c:pt>
                <c:pt idx="22">
                  <c:v>-0.11697500000000002</c:v>
                </c:pt>
                <c:pt idx="23">
                  <c:v>-0.11697500000000002</c:v>
                </c:pt>
                <c:pt idx="24">
                  <c:v>-0.26350460000000031</c:v>
                </c:pt>
                <c:pt idx="25">
                  <c:v>4.08993E-2</c:v>
                </c:pt>
                <c:pt idx="26">
                  <c:v>4.0224499999999996E-2</c:v>
                </c:pt>
                <c:pt idx="27">
                  <c:v>3.9841400000000006E-2</c:v>
                </c:pt>
                <c:pt idx="28">
                  <c:v>3.9841400000000006E-2</c:v>
                </c:pt>
                <c:pt idx="29">
                  <c:v>3.9841400000000006E-2</c:v>
                </c:pt>
                <c:pt idx="30">
                  <c:v>3.9841400000000006E-2</c:v>
                </c:pt>
                <c:pt idx="31">
                  <c:v>3.9841400000000006E-2</c:v>
                </c:pt>
              </c:numCache>
            </c:numRef>
          </c:val>
        </c:ser>
        <c:ser>
          <c:idx val="1"/>
          <c:order val="1"/>
          <c:tx>
            <c:strRef>
              <c:f>'SCE Overview'!$S$6</c:f>
              <c:strCache>
                <c:ptCount val="1"/>
                <c:pt idx="0">
                  <c:v>CBP - DA</c:v>
                </c:pt>
              </c:strCache>
            </c:strRef>
          </c:tx>
          <c:cat>
            <c:multiLvlStrRef>
              <c:f>'SCE Overview'!$M$7:$O$38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'SCE Overview'!$S$7:$S$38</c:f>
              <c:numCache>
                <c:formatCode>0.0%</c:formatCode>
                <c:ptCount val="32"/>
                <c:pt idx="0">
                  <c:v>-0.32398990000000466</c:v>
                </c:pt>
                <c:pt idx="1">
                  <c:v>-0.14959370000000041</c:v>
                </c:pt>
                <c:pt idx="2">
                  <c:v>-0.13713410000000001</c:v>
                </c:pt>
                <c:pt idx="3">
                  <c:v>-0.13343510000000094</c:v>
                </c:pt>
                <c:pt idx="4">
                  <c:v>-0.13143489999999999</c:v>
                </c:pt>
                <c:pt idx="5">
                  <c:v>-0.1284739</c:v>
                </c:pt>
                <c:pt idx="6">
                  <c:v>-0.12296060000000029</c:v>
                </c:pt>
                <c:pt idx="7">
                  <c:v>-0.1224785</c:v>
                </c:pt>
                <c:pt idx="8">
                  <c:v>-0.32398990000000466</c:v>
                </c:pt>
                <c:pt idx="9">
                  <c:v>-0.13981510000000041</c:v>
                </c:pt>
                <c:pt idx="10">
                  <c:v>-0.12735659999999988</c:v>
                </c:pt>
                <c:pt idx="11">
                  <c:v>-0.12365810000000002</c:v>
                </c:pt>
                <c:pt idx="12">
                  <c:v>-0.1216585</c:v>
                </c:pt>
                <c:pt idx="13">
                  <c:v>-0.11869860000000022</c:v>
                </c:pt>
                <c:pt idx="14">
                  <c:v>-0.10972180000000088</c:v>
                </c:pt>
                <c:pt idx="15">
                  <c:v>-0.11142020000000002</c:v>
                </c:pt>
                <c:pt idx="16">
                  <c:v>-0.32398990000000466</c:v>
                </c:pt>
                <c:pt idx="17">
                  <c:v>-0.13309199999999999</c:v>
                </c:pt>
                <c:pt idx="18">
                  <c:v>-0.13309199999999999</c:v>
                </c:pt>
                <c:pt idx="19">
                  <c:v>-0.13309199999999999</c:v>
                </c:pt>
                <c:pt idx="20">
                  <c:v>-0.13309199999999999</c:v>
                </c:pt>
                <c:pt idx="21">
                  <c:v>-0.13309199999999999</c:v>
                </c:pt>
                <c:pt idx="22">
                  <c:v>-0.13309199999999999</c:v>
                </c:pt>
                <c:pt idx="23">
                  <c:v>-0.13309199999999999</c:v>
                </c:pt>
                <c:pt idx="24">
                  <c:v>-0.32398990000000466</c:v>
                </c:pt>
                <c:pt idx="25">
                  <c:v>-0.12331350000000002</c:v>
                </c:pt>
                <c:pt idx="26">
                  <c:v>-0.12331460000000002</c:v>
                </c:pt>
                <c:pt idx="27">
                  <c:v>-0.12331510000000002</c:v>
                </c:pt>
                <c:pt idx="28">
                  <c:v>-0.12331560000000009</c:v>
                </c:pt>
                <c:pt idx="29">
                  <c:v>-0.12331670000000022</c:v>
                </c:pt>
                <c:pt idx="30">
                  <c:v>-0.11985319999999998</c:v>
                </c:pt>
                <c:pt idx="31">
                  <c:v>-0.12203369999999999</c:v>
                </c:pt>
              </c:numCache>
            </c:numRef>
          </c:val>
        </c:ser>
        <c:axId val="160311552"/>
        <c:axId val="160321536"/>
      </c:barChart>
      <c:catAx>
        <c:axId val="160311552"/>
        <c:scaling>
          <c:orientation val="minMax"/>
        </c:scaling>
        <c:axPos val="b"/>
        <c:tickLblPos val="high"/>
        <c:crossAx val="160321536"/>
        <c:crosses val="autoZero"/>
        <c:auto val="1"/>
        <c:lblAlgn val="ctr"/>
        <c:lblOffset val="100"/>
      </c:catAx>
      <c:valAx>
        <c:axId val="160321536"/>
        <c:scaling>
          <c:orientation val="minMax"/>
        </c:scaling>
        <c:axPos val="l"/>
        <c:majorGridlines/>
        <c:numFmt formatCode="0.0%" sourceLinked="1"/>
        <c:tickLblPos val="nextTo"/>
        <c:crossAx val="160311552"/>
        <c:crosses val="autoZero"/>
        <c:crossBetween val="between"/>
      </c:valAx>
    </c:plotArea>
    <c:legend>
      <c:legendPos val="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style val="4"/>
  <c:chart>
    <c:plotArea>
      <c:layout>
        <c:manualLayout>
          <c:layoutTarget val="inner"/>
          <c:xMode val="edge"/>
          <c:yMode val="edge"/>
          <c:x val="8.0277673657394993E-2"/>
          <c:y val="0.37607306656792044"/>
          <c:w val="0.89531249105578059"/>
          <c:h val="0.56570861397529493"/>
        </c:manualLayout>
      </c:layout>
      <c:barChart>
        <c:barDir val="col"/>
        <c:grouping val="clustered"/>
        <c:ser>
          <c:idx val="0"/>
          <c:order val="0"/>
          <c:tx>
            <c:strRef>
              <c:f>'SDG&amp;E Overview'!$L$6</c:f>
              <c:strCache>
                <c:ptCount val="1"/>
                <c:pt idx="0">
                  <c:v>CBP - DO</c:v>
                </c:pt>
              </c:strCache>
            </c:strRef>
          </c:tx>
          <c:cat>
            <c:multiLvlStrRef>
              <c:f>'SDG&amp;E Overview'!$I$7:$K$38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'SDG&amp;E Overview'!$L$7:$L$38</c:f>
              <c:numCache>
                <c:formatCode>0.0%</c:formatCode>
                <c:ptCount val="32"/>
                <c:pt idx="0">
                  <c:v>-0.44544250000000002</c:v>
                </c:pt>
                <c:pt idx="1">
                  <c:v>-0.18006870000000041</c:v>
                </c:pt>
                <c:pt idx="2">
                  <c:v>-0.17333660000000001</c:v>
                </c:pt>
                <c:pt idx="3">
                  <c:v>-0.1723277</c:v>
                </c:pt>
                <c:pt idx="4">
                  <c:v>-0.1720595</c:v>
                </c:pt>
                <c:pt idx="5">
                  <c:v>-0.17207069999999997</c:v>
                </c:pt>
                <c:pt idx="6">
                  <c:v>-0.17073659999999999</c:v>
                </c:pt>
                <c:pt idx="7">
                  <c:v>-0.17026590000000041</c:v>
                </c:pt>
                <c:pt idx="8">
                  <c:v>-0.44544250000000002</c:v>
                </c:pt>
                <c:pt idx="9">
                  <c:v>-9.0953300000000098E-2</c:v>
                </c:pt>
                <c:pt idx="10">
                  <c:v>-8.0806200000000022E-2</c:v>
                </c:pt>
                <c:pt idx="11">
                  <c:v>-7.8973000000000002E-2</c:v>
                </c:pt>
                <c:pt idx="12">
                  <c:v>-7.8168899999999999E-2</c:v>
                </c:pt>
                <c:pt idx="13">
                  <c:v>-7.7900500000000011E-2</c:v>
                </c:pt>
                <c:pt idx="14">
                  <c:v>-7.6230900000000004E-2</c:v>
                </c:pt>
                <c:pt idx="15">
                  <c:v>-7.5536000000000034E-2</c:v>
                </c:pt>
                <c:pt idx="16">
                  <c:v>-0.44544250000000002</c:v>
                </c:pt>
                <c:pt idx="17">
                  <c:v>-0.17614940000000176</c:v>
                </c:pt>
                <c:pt idx="18">
                  <c:v>-0.17614940000000176</c:v>
                </c:pt>
                <c:pt idx="19">
                  <c:v>-0.17614940000000176</c:v>
                </c:pt>
                <c:pt idx="20">
                  <c:v>-0.17614940000000176</c:v>
                </c:pt>
                <c:pt idx="21">
                  <c:v>-0.17614940000000176</c:v>
                </c:pt>
                <c:pt idx="22">
                  <c:v>-0.17614940000000176</c:v>
                </c:pt>
                <c:pt idx="23">
                  <c:v>-0.17614940000000176</c:v>
                </c:pt>
                <c:pt idx="24">
                  <c:v>-0.44544250000000002</c:v>
                </c:pt>
                <c:pt idx="25">
                  <c:v>-8.1480500000000011E-2</c:v>
                </c:pt>
                <c:pt idx="26">
                  <c:v>-8.1480500000000011E-2</c:v>
                </c:pt>
                <c:pt idx="27">
                  <c:v>-8.1480500000000011E-2</c:v>
                </c:pt>
                <c:pt idx="28">
                  <c:v>-8.1480500000000011E-2</c:v>
                </c:pt>
                <c:pt idx="29">
                  <c:v>-8.1480500000000011E-2</c:v>
                </c:pt>
                <c:pt idx="30">
                  <c:v>-8.1480500000000011E-2</c:v>
                </c:pt>
                <c:pt idx="31">
                  <c:v>-8.1480500000000011E-2</c:v>
                </c:pt>
              </c:numCache>
            </c:numRef>
          </c:val>
        </c:ser>
        <c:ser>
          <c:idx val="1"/>
          <c:order val="1"/>
          <c:tx>
            <c:strRef>
              <c:f>'SDG&amp;E Overview'!$M$6</c:f>
              <c:strCache>
                <c:ptCount val="1"/>
                <c:pt idx="0">
                  <c:v>CBP - DA</c:v>
                </c:pt>
              </c:strCache>
            </c:strRef>
          </c:tx>
          <c:cat>
            <c:multiLvlStrRef>
              <c:f>'SDG&amp;E Overview'!$I$7:$K$38</c:f>
              <c:multiLvlStrCache>
                <c:ptCount val="32"/>
                <c:lvl>
                  <c:pt idx="0">
                    <c:v>Unadj.</c:v>
                  </c:pt>
                  <c:pt idx="1">
                    <c:v>20%</c:v>
                  </c:pt>
                  <c:pt idx="2">
                    <c:v>30%</c:v>
                  </c:pt>
                  <c:pt idx="3">
                    <c:v>35%</c:v>
                  </c:pt>
                  <c:pt idx="4">
                    <c:v>40%</c:v>
                  </c:pt>
                  <c:pt idx="5">
                    <c:v>50%</c:v>
                  </c:pt>
                  <c:pt idx="6">
                    <c:v>2x</c:v>
                  </c:pt>
                  <c:pt idx="7">
                    <c:v>Unlim.</c:v>
                  </c:pt>
                  <c:pt idx="8">
                    <c:v>Unadj.</c:v>
                  </c:pt>
                  <c:pt idx="9">
                    <c:v>20%</c:v>
                  </c:pt>
                  <c:pt idx="10">
                    <c:v>30%</c:v>
                  </c:pt>
                  <c:pt idx="11">
                    <c:v>35%</c:v>
                  </c:pt>
                  <c:pt idx="12">
                    <c:v>40%</c:v>
                  </c:pt>
                  <c:pt idx="13">
                    <c:v>50%</c:v>
                  </c:pt>
                  <c:pt idx="14">
                    <c:v>2x</c:v>
                  </c:pt>
                  <c:pt idx="15">
                    <c:v>Unlim.</c:v>
                  </c:pt>
                  <c:pt idx="16">
                    <c:v>Unadj.</c:v>
                  </c:pt>
                  <c:pt idx="17">
                    <c:v>20%</c:v>
                  </c:pt>
                  <c:pt idx="18">
                    <c:v>30%</c:v>
                  </c:pt>
                  <c:pt idx="19">
                    <c:v>35%</c:v>
                  </c:pt>
                  <c:pt idx="20">
                    <c:v>40%</c:v>
                  </c:pt>
                  <c:pt idx="21">
                    <c:v>50%</c:v>
                  </c:pt>
                  <c:pt idx="22">
                    <c:v>2x</c:v>
                  </c:pt>
                  <c:pt idx="23">
                    <c:v>Unlim.</c:v>
                  </c:pt>
                  <c:pt idx="24">
                    <c:v>Unadj.</c:v>
                  </c:pt>
                  <c:pt idx="25">
                    <c:v>20%</c:v>
                  </c:pt>
                  <c:pt idx="26">
                    <c:v>30%</c:v>
                  </c:pt>
                  <c:pt idx="27">
                    <c:v>35%</c:v>
                  </c:pt>
                  <c:pt idx="28">
                    <c:v>40%</c:v>
                  </c:pt>
                  <c:pt idx="29">
                    <c:v>50%</c:v>
                  </c:pt>
                  <c:pt idx="30">
                    <c:v>2x</c:v>
                  </c:pt>
                  <c:pt idx="31">
                    <c:v>Unlim.</c:v>
                  </c:pt>
                </c:lvl>
                <c:lvl>
                  <c:pt idx="0">
                    <c:v>Aggregator Choice</c:v>
                  </c:pt>
                  <c:pt idx="8">
                    <c:v>Universal</c:v>
                  </c:pt>
                  <c:pt idx="16">
                    <c:v>Aggregator Choice</c:v>
                  </c:pt>
                  <c:pt idx="24">
                    <c:v>Universal</c:v>
                  </c:pt>
                </c:lvl>
                <c:lvl>
                  <c:pt idx="0">
                    <c:v>Individual</c:v>
                  </c:pt>
                  <c:pt idx="16">
                    <c:v>Aggregate</c:v>
                  </c:pt>
                </c:lvl>
              </c:multiLvlStrCache>
            </c:multiLvlStrRef>
          </c:cat>
          <c:val>
            <c:numRef>
              <c:f>'SDG&amp;E Overview'!$M$7:$M$38</c:f>
              <c:numCache>
                <c:formatCode>0.0%</c:formatCode>
                <c:ptCount val="32"/>
                <c:pt idx="0">
                  <c:v>-0.22924900000000151</c:v>
                </c:pt>
                <c:pt idx="1">
                  <c:v>-0.12453810000000012</c:v>
                </c:pt>
                <c:pt idx="2">
                  <c:v>-0.1134836</c:v>
                </c:pt>
                <c:pt idx="3">
                  <c:v>-0.11019959999999998</c:v>
                </c:pt>
                <c:pt idx="4">
                  <c:v>-0.10741600000000009</c:v>
                </c:pt>
                <c:pt idx="5">
                  <c:v>-0.10306690000000029</c:v>
                </c:pt>
                <c:pt idx="6">
                  <c:v>-9.618199999999999E-2</c:v>
                </c:pt>
                <c:pt idx="7">
                  <c:v>-9.618199999999999E-2</c:v>
                </c:pt>
                <c:pt idx="8">
                  <c:v>-0.22924900000000151</c:v>
                </c:pt>
                <c:pt idx="9">
                  <c:v>-4.5555999999999999E-2</c:v>
                </c:pt>
                <c:pt idx="10">
                  <c:v>-5.3563000000000334E-3</c:v>
                </c:pt>
                <c:pt idx="11">
                  <c:v>1.52341E-2</c:v>
                </c:pt>
                <c:pt idx="12">
                  <c:v>2.6976400000000001E-2</c:v>
                </c:pt>
                <c:pt idx="13">
                  <c:v>4.0020600000000003E-2</c:v>
                </c:pt>
                <c:pt idx="14">
                  <c:v>7.5029799999999994E-2</c:v>
                </c:pt>
                <c:pt idx="15">
                  <c:v>7.2235499999999994E-2</c:v>
                </c:pt>
                <c:pt idx="16">
                  <c:v>-0.22924900000000151</c:v>
                </c:pt>
                <c:pt idx="17">
                  <c:v>-9.83879E-2</c:v>
                </c:pt>
                <c:pt idx="18">
                  <c:v>-9.6292500000000003E-2</c:v>
                </c:pt>
                <c:pt idx="19">
                  <c:v>-9.6292500000000003E-2</c:v>
                </c:pt>
                <c:pt idx="20">
                  <c:v>-9.6292500000000003E-2</c:v>
                </c:pt>
                <c:pt idx="21">
                  <c:v>-9.6292500000000003E-2</c:v>
                </c:pt>
                <c:pt idx="22">
                  <c:v>-9.6292500000000003E-2</c:v>
                </c:pt>
                <c:pt idx="23">
                  <c:v>-9.6292500000000003E-2</c:v>
                </c:pt>
                <c:pt idx="24">
                  <c:v>-0.22924900000000151</c:v>
                </c:pt>
                <c:pt idx="25">
                  <c:v>-6.7600000000000803E-5</c:v>
                </c:pt>
                <c:pt idx="26">
                  <c:v>4.5657400000000001E-2</c:v>
                </c:pt>
                <c:pt idx="27">
                  <c:v>6.3737300000000011E-2</c:v>
                </c:pt>
                <c:pt idx="28">
                  <c:v>7.4944999999999998E-2</c:v>
                </c:pt>
                <c:pt idx="29">
                  <c:v>7.8557600000000033E-2</c:v>
                </c:pt>
                <c:pt idx="30">
                  <c:v>7.8557600000000033E-2</c:v>
                </c:pt>
                <c:pt idx="31">
                  <c:v>7.8557600000000033E-2</c:v>
                </c:pt>
              </c:numCache>
            </c:numRef>
          </c:val>
        </c:ser>
        <c:axId val="160333824"/>
        <c:axId val="160335360"/>
      </c:barChart>
      <c:catAx>
        <c:axId val="160333824"/>
        <c:scaling>
          <c:orientation val="minMax"/>
        </c:scaling>
        <c:axPos val="b"/>
        <c:tickLblPos val="high"/>
        <c:crossAx val="160335360"/>
        <c:crosses val="autoZero"/>
        <c:auto val="1"/>
        <c:lblAlgn val="ctr"/>
        <c:lblOffset val="100"/>
      </c:catAx>
      <c:valAx>
        <c:axId val="160335360"/>
        <c:scaling>
          <c:orientation val="minMax"/>
        </c:scaling>
        <c:axPos val="l"/>
        <c:majorGridlines/>
        <c:numFmt formatCode="0.0%" sourceLinked="1"/>
        <c:tickLblPos val="nextTo"/>
        <c:crossAx val="160333824"/>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90C37-A845-4931-B990-39BDB0F17D05}">
  <ds:schemaRefs>
    <ds:schemaRef ds:uri="http://schemas.openxmlformats.org/officeDocument/2006/bibliography"/>
  </ds:schemaRefs>
</ds:datastoreItem>
</file>

<file path=customXml/itemProps2.xml><?xml version="1.0" encoding="utf-8"?>
<ds:datastoreItem xmlns:ds="http://schemas.openxmlformats.org/officeDocument/2006/customXml" ds:itemID="{471D5FCE-E098-478E-9B89-4FD23BF9C520}">
  <ds:schemaRefs>
    <ds:schemaRef ds:uri="http://schemas.openxmlformats.org/officeDocument/2006/bibliography"/>
  </ds:schemaRefs>
</ds:datastoreItem>
</file>

<file path=customXml/itemProps3.xml><?xml version="1.0" encoding="utf-8"?>
<ds:datastoreItem xmlns:ds="http://schemas.openxmlformats.org/officeDocument/2006/customXml" ds:itemID="{BC98CFD4-9EB2-4061-ACEC-78EFA2A33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16853</Words>
  <Characters>96067</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FSC Group</Company>
  <LinksUpToDate>false</LinksUpToDate>
  <CharactersWithSpaces>112695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Dries Berghman</dc:creator>
  <cp:lastModifiedBy>joshbode</cp:lastModifiedBy>
  <cp:revision>4</cp:revision>
  <cp:lastPrinted>2012-05-30T18:59:00Z</cp:lastPrinted>
  <dcterms:created xsi:type="dcterms:W3CDTF">2012-05-30T20:49:00Z</dcterms:created>
  <dcterms:modified xsi:type="dcterms:W3CDTF">2012-05-30T21:18:00Z</dcterms:modified>
</cp:coreProperties>
</file>