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163F6" w14:textId="309AECC2" w:rsidR="00B64016" w:rsidRPr="00B64016" w:rsidRDefault="00B64016" w:rsidP="006F47E7">
      <w:pPr>
        <w:jc w:val="center"/>
        <w:outlineLvl w:val="0"/>
        <w:rPr>
          <w:b/>
        </w:rPr>
      </w:pPr>
      <w:r w:rsidRPr="00B64016">
        <w:rPr>
          <w:b/>
        </w:rPr>
        <w:t>SAN DIEGO GAS &amp; ELECTRIC COMPANY GRC</w:t>
      </w:r>
      <w:r w:rsidR="005F0FD8">
        <w:rPr>
          <w:b/>
        </w:rPr>
        <w:t xml:space="preserve"> PHASE 2</w:t>
      </w:r>
      <w:r w:rsidRPr="00B64016">
        <w:rPr>
          <w:b/>
        </w:rPr>
        <w:t xml:space="preserve"> 2014</w:t>
      </w:r>
    </w:p>
    <w:p w14:paraId="0C149BA1" w14:textId="088D664A" w:rsidR="00B64016" w:rsidRPr="00B64016" w:rsidRDefault="005F0FD8" w:rsidP="00B64016">
      <w:pPr>
        <w:pStyle w:val="ListParagraph"/>
        <w:widowControl/>
        <w:numPr>
          <w:ilvl w:val="0"/>
          <w:numId w:val="5"/>
        </w:numPr>
        <w:spacing w:after="200"/>
        <w:jc w:val="center"/>
        <w:rPr>
          <w:b/>
        </w:rPr>
      </w:pPr>
      <w:r>
        <w:rPr>
          <w:b/>
        </w:rPr>
        <w:t>15-04-012</w:t>
      </w:r>
    </w:p>
    <w:p w14:paraId="11A18AFA" w14:textId="7BE62791" w:rsidR="004D5B51" w:rsidRPr="007F26C0" w:rsidRDefault="00B64016" w:rsidP="006F47E7">
      <w:pPr>
        <w:jc w:val="center"/>
        <w:outlineLvl w:val="0"/>
        <w:rPr>
          <w:b/>
        </w:rPr>
      </w:pPr>
      <w:r w:rsidRPr="00B64016">
        <w:rPr>
          <w:b/>
        </w:rPr>
        <w:t xml:space="preserve"> CALIFORNIA FARM </w:t>
      </w:r>
      <w:r w:rsidR="00F93D40">
        <w:rPr>
          <w:b/>
        </w:rPr>
        <w:t>BUREAU FEDER</w:t>
      </w:r>
      <w:r w:rsidR="006C3764">
        <w:rPr>
          <w:b/>
        </w:rPr>
        <w:t>A</w:t>
      </w:r>
      <w:r w:rsidR="00F93D40">
        <w:rPr>
          <w:b/>
        </w:rPr>
        <w:t>TION DATA REQUEST #</w:t>
      </w:r>
      <w:r w:rsidR="000E0F34">
        <w:rPr>
          <w:b/>
        </w:rPr>
        <w:t>4</w:t>
      </w:r>
    </w:p>
    <w:p w14:paraId="1DC5EC39" w14:textId="77777777" w:rsidR="00623831" w:rsidRDefault="00623831" w:rsidP="00C26996">
      <w:pPr>
        <w:tabs>
          <w:tab w:val="left" w:pos="2144"/>
        </w:tabs>
        <w:autoSpaceDE w:val="0"/>
        <w:autoSpaceDN w:val="0"/>
        <w:adjustRightInd w:val="0"/>
        <w:spacing w:after="0"/>
      </w:pPr>
    </w:p>
    <w:p w14:paraId="307302C7" w14:textId="77777777" w:rsidR="00623831" w:rsidRDefault="00623831" w:rsidP="00623831">
      <w:pPr>
        <w:pStyle w:val="ListParagraph"/>
        <w:numPr>
          <w:ilvl w:val="0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eastAsia="Times New Roman"/>
          <w:color w:val="auto"/>
        </w:rPr>
      </w:pPr>
      <w:r w:rsidRPr="00C20675">
        <w:rPr>
          <w:rFonts w:eastAsia="Times New Roman"/>
          <w:color w:val="auto"/>
        </w:rPr>
        <w:t>P</w:t>
      </w:r>
      <w:r>
        <w:rPr>
          <w:rFonts w:eastAsia="Times New Roman"/>
          <w:color w:val="auto"/>
        </w:rPr>
        <w:t>lease provide the number of PA customers that have been migrated to time-of-use rates so far and the number that have not yet been migrated. Please answer separately for customers with demands of 0-20 kW and for customers with demands &gt;20kW.</w:t>
      </w:r>
    </w:p>
    <w:p w14:paraId="330E66B2" w14:textId="358A9BD2" w:rsidR="00E972B7" w:rsidRDefault="00623831" w:rsidP="00623831">
      <w:pPr>
        <w:pStyle w:val="ListParagraph"/>
        <w:numPr>
          <w:ilvl w:val="0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</w:pPr>
      <w:r>
        <w:rPr>
          <w:rFonts w:eastAsia="Times New Roman"/>
          <w:color w:val="auto"/>
        </w:rPr>
        <w:t>For PA customers that have not yet been migrated to TOU rates, please specify whether SDG&amp;E still plans to migrate all these customers in March/April 2016 (per SDG&amp;E’s response to CFBF data request 1 Question 11). If not, please provide an updated schedule as to when these customers are expected to be migrated to TOU rates, specifying the number of customers that SDG&amp;E expects to migrate in each migration period and answering separately for customers with demands of 0-20 kW and for customers with demands &gt;20kW.</w:t>
      </w:r>
    </w:p>
    <w:p w14:paraId="39FD71CE" w14:textId="649FAEDD" w:rsidR="00F93D40" w:rsidRPr="00E972B7" w:rsidRDefault="00E972B7" w:rsidP="00F93D40">
      <w:pPr>
        <w:pStyle w:val="ListParagraph"/>
        <w:numPr>
          <w:ilvl w:val="0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ascii="Times" w:eastAsia="Times New Roman" w:hAnsi="Times"/>
          <w:color w:val="auto"/>
          <w:sz w:val="20"/>
          <w:szCs w:val="20"/>
        </w:rPr>
      </w:pPr>
      <w:r w:rsidRPr="00623831">
        <w:rPr>
          <w:rFonts w:eastAsia="Times New Roman"/>
          <w:color w:val="auto"/>
        </w:rPr>
        <w:t>With</w:t>
      </w:r>
      <w:r>
        <w:t xml:space="preserve"> regard to </w:t>
      </w:r>
      <w:r w:rsidR="00F15B8E">
        <w:t>the</w:t>
      </w:r>
      <w:r>
        <w:t xml:space="preserve"> proposals</w:t>
      </w:r>
      <w:r w:rsidR="00623831">
        <w:t xml:space="preserve"> presented in SDGE-02</w:t>
      </w:r>
      <w:r>
        <w:t xml:space="preserve"> to phase in the distribution and commodity revenue allocation changes and some rate design changes</w:t>
      </w:r>
      <w:r w:rsidR="00415E32">
        <w:t xml:space="preserve"> over a three-year period</w:t>
      </w:r>
      <w:r>
        <w:t xml:space="preserve">, please specify the dates that the Year 1, Year 2, and Year 3 changes would be implemented </w:t>
      </w:r>
      <w:r w:rsidR="00F15B8E">
        <w:t>under</w:t>
      </w:r>
      <w:r>
        <w:t xml:space="preserve"> each of the following scenarios:</w:t>
      </w:r>
    </w:p>
    <w:p w14:paraId="18A647B7" w14:textId="77777777" w:rsidR="00E972B7" w:rsidRDefault="00E972B7" w:rsidP="00E972B7">
      <w:pPr>
        <w:pStyle w:val="ListParagraph"/>
        <w:numPr>
          <w:ilvl w:val="1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eastAsia="Times New Roman"/>
          <w:color w:val="auto"/>
        </w:rPr>
      </w:pPr>
      <w:r w:rsidRPr="00E972B7">
        <w:rPr>
          <w:rFonts w:eastAsia="Times New Roman"/>
          <w:color w:val="auto"/>
        </w:rPr>
        <w:t>The</w:t>
      </w:r>
      <w:r>
        <w:rPr>
          <w:rFonts w:eastAsia="Times New Roman"/>
          <w:color w:val="auto"/>
        </w:rPr>
        <w:t xml:space="preserve"> GRC Phase 2 decision is first implemented on September 1, 2016.</w:t>
      </w:r>
    </w:p>
    <w:p w14:paraId="0D4A1BA1" w14:textId="52A93DB5" w:rsidR="00E972B7" w:rsidRDefault="00E972B7" w:rsidP="00E972B7">
      <w:pPr>
        <w:pStyle w:val="ListParagraph"/>
        <w:numPr>
          <w:ilvl w:val="1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eastAsia="Times New Roman"/>
          <w:color w:val="auto"/>
        </w:rPr>
      </w:pPr>
      <w:r w:rsidRPr="00E972B7">
        <w:rPr>
          <w:rFonts w:eastAsia="Times New Roman"/>
          <w:color w:val="auto"/>
        </w:rPr>
        <w:t>The</w:t>
      </w:r>
      <w:r>
        <w:rPr>
          <w:rFonts w:eastAsia="Times New Roman"/>
          <w:color w:val="auto"/>
        </w:rPr>
        <w:t xml:space="preserve"> GRC Phase 2 decision is first implemented on November 1, 2016.</w:t>
      </w:r>
    </w:p>
    <w:p w14:paraId="7DC2A485" w14:textId="29870CB0" w:rsidR="00E972B7" w:rsidRDefault="00E972B7" w:rsidP="00E972B7">
      <w:pPr>
        <w:pStyle w:val="ListParagraph"/>
        <w:numPr>
          <w:ilvl w:val="1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The GRC Phase</w:t>
      </w:r>
      <w:r w:rsidRPr="00E972B7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>2 decision is first implemented on January 1, 2017.</w:t>
      </w:r>
    </w:p>
    <w:p w14:paraId="3118D6BF" w14:textId="632814EA" w:rsidR="00E972B7" w:rsidRDefault="00E972B7" w:rsidP="00E972B7">
      <w:pPr>
        <w:pStyle w:val="ListParagraph"/>
        <w:numPr>
          <w:ilvl w:val="1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The GRC Phase</w:t>
      </w:r>
      <w:r w:rsidRPr="00E972B7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>2 decision is first implemented on March 1, 2017.</w:t>
      </w:r>
    </w:p>
    <w:p w14:paraId="4014F39B" w14:textId="77777777" w:rsidR="00415E32" w:rsidRDefault="00F15B8E" w:rsidP="00415E32">
      <w:pPr>
        <w:pStyle w:val="ListParagraph"/>
        <w:numPr>
          <w:ilvl w:val="1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The GRC Phase</w:t>
      </w:r>
      <w:r w:rsidRPr="00E972B7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>2 decision is first implemented on June 1, 2017.</w:t>
      </w:r>
    </w:p>
    <w:p w14:paraId="1543473C" w14:textId="7ED24F28" w:rsidR="00BA5817" w:rsidRPr="00415E32" w:rsidRDefault="00BA5817" w:rsidP="00415E32">
      <w:pPr>
        <w:pStyle w:val="ListParagraph"/>
        <w:numPr>
          <w:ilvl w:val="0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eastAsia="Times New Roman"/>
          <w:color w:val="auto"/>
        </w:rPr>
      </w:pPr>
      <w:r w:rsidRPr="00415E32">
        <w:rPr>
          <w:color w:val="auto"/>
        </w:rPr>
        <w:t xml:space="preserve">Mr. </w:t>
      </w:r>
      <w:proofErr w:type="spellStart"/>
      <w:r w:rsidRPr="00415E32">
        <w:rPr>
          <w:color w:val="auto"/>
        </w:rPr>
        <w:t>Schiermeyer’s</w:t>
      </w:r>
      <w:proofErr w:type="spellEnd"/>
      <w:r w:rsidRPr="00415E32">
        <w:rPr>
          <w:color w:val="auto"/>
        </w:rPr>
        <w:t xml:space="preserve"> testimony states: “In addition to its proposal to update authorized sales for the TY 2016 forecast, SDG&amp;E requests approval to also update authorized sales in 2017 and 2018 via an advice letter to be implemented in January 1 rates that reflect the sales presented in Table KS-6” (KES-10). </w:t>
      </w:r>
    </w:p>
    <w:p w14:paraId="51107F7E" w14:textId="77777777" w:rsidR="00BA5817" w:rsidRDefault="00BA5817" w:rsidP="00BA5817">
      <w:pPr>
        <w:pStyle w:val="ListParagraph"/>
        <w:widowControl/>
        <w:numPr>
          <w:ilvl w:val="1"/>
          <w:numId w:val="11"/>
        </w:numPr>
        <w:autoSpaceDE w:val="0"/>
        <w:autoSpaceDN w:val="0"/>
        <w:adjustRightInd w:val="0"/>
        <w:spacing w:after="240"/>
        <w:rPr>
          <w:color w:val="auto"/>
        </w:rPr>
      </w:pPr>
      <w:r w:rsidRPr="00D26237">
        <w:rPr>
          <w:color w:val="auto"/>
        </w:rPr>
        <w:t xml:space="preserve">Please clarify </w:t>
      </w:r>
      <w:r>
        <w:rPr>
          <w:color w:val="auto"/>
        </w:rPr>
        <w:t>whether SDG&amp;E is requesting to submit advice letters at a later date to implement the sales updates shown in Table KS-6 in January 2017 and January 2018</w:t>
      </w:r>
      <w:r w:rsidRPr="00D26237">
        <w:rPr>
          <w:color w:val="auto"/>
        </w:rPr>
        <w:t>.</w:t>
      </w:r>
      <w:r>
        <w:rPr>
          <w:color w:val="auto"/>
        </w:rPr>
        <w:t xml:space="preserve"> If this is incorrect, please explain what is being requested.</w:t>
      </w:r>
    </w:p>
    <w:p w14:paraId="00F7F58B" w14:textId="002452A5" w:rsidR="00BA5817" w:rsidRDefault="00BA5817" w:rsidP="00BA5817">
      <w:pPr>
        <w:pStyle w:val="ListParagraph"/>
        <w:widowControl/>
        <w:numPr>
          <w:ilvl w:val="1"/>
          <w:numId w:val="11"/>
        </w:numPr>
        <w:autoSpaceDE w:val="0"/>
        <w:autoSpaceDN w:val="0"/>
        <w:adjustRightInd w:val="0"/>
        <w:spacing w:after="240"/>
        <w:rPr>
          <w:color w:val="auto"/>
        </w:rPr>
      </w:pPr>
      <w:r>
        <w:rPr>
          <w:color w:val="auto"/>
        </w:rPr>
        <w:t>Please clarify whether SDG&amp;E is requesting that the precise sales forecast shown in Table KS-6 be implemented in 2017 and 2018, or whether SDG&amp;E is requesting that an update of these sales forecasts be implemented.</w:t>
      </w:r>
      <w:r w:rsidR="00415E32">
        <w:rPr>
          <w:color w:val="auto"/>
        </w:rPr>
        <w:t xml:space="preserve"> If an update, please explain how the update would be developed.</w:t>
      </w:r>
    </w:p>
    <w:p w14:paraId="240EF854" w14:textId="3C7A1DF9" w:rsidR="00B05F56" w:rsidRPr="006C3764" w:rsidRDefault="00BA5817" w:rsidP="00877E51">
      <w:pPr>
        <w:pStyle w:val="ListParagraph"/>
        <w:widowControl/>
        <w:numPr>
          <w:ilvl w:val="1"/>
          <w:numId w:val="11"/>
        </w:numPr>
        <w:autoSpaceDE w:val="0"/>
        <w:autoSpaceDN w:val="0"/>
        <w:adjustRightInd w:val="0"/>
        <w:spacing w:after="0"/>
      </w:pPr>
      <w:r w:rsidRPr="000A05C0">
        <w:rPr>
          <w:color w:val="auto"/>
        </w:rPr>
        <w:t xml:space="preserve">Please </w:t>
      </w:r>
      <w:r w:rsidR="000A05C0">
        <w:rPr>
          <w:rFonts w:eastAsia="Times New Roman"/>
        </w:rPr>
        <w:t xml:space="preserve">specify any changes to revenue allocation, rate design, or rate levels that would result from implementing new sales forecasts in January 2017 and January 2018 and provide a </w:t>
      </w:r>
      <w:proofErr w:type="spellStart"/>
      <w:r w:rsidR="000A05C0">
        <w:rPr>
          <w:rFonts w:eastAsia="Times New Roman"/>
        </w:rPr>
        <w:t>workpaper</w:t>
      </w:r>
      <w:proofErr w:type="spellEnd"/>
      <w:r w:rsidR="000A05C0">
        <w:rPr>
          <w:rFonts w:eastAsia="Times New Roman"/>
        </w:rPr>
        <w:t xml:space="preserve"> with an illustrative </w:t>
      </w:r>
      <w:r w:rsidR="000A05C0">
        <w:rPr>
          <w:rFonts w:eastAsia="Times New Roman"/>
        </w:rPr>
        <w:lastRenderedPageBreak/>
        <w:t>example showing how revenue allocations and rates would change upon implementation of the new sales forecasts. </w:t>
      </w:r>
    </w:p>
    <w:p w14:paraId="4788CF8D" w14:textId="77777777" w:rsidR="006C3764" w:rsidRDefault="006C3764" w:rsidP="006C3764">
      <w:pPr>
        <w:widowControl/>
        <w:autoSpaceDE w:val="0"/>
        <w:autoSpaceDN w:val="0"/>
        <w:adjustRightInd w:val="0"/>
        <w:spacing w:after="0"/>
      </w:pPr>
    </w:p>
    <w:p w14:paraId="09C1DE87" w14:textId="77777777" w:rsidR="006C3764" w:rsidRDefault="006C3764" w:rsidP="006C3764">
      <w:pPr>
        <w:widowControl/>
        <w:autoSpaceDE w:val="0"/>
        <w:autoSpaceDN w:val="0"/>
        <w:adjustRightInd w:val="0"/>
        <w:spacing w:after="0"/>
      </w:pPr>
    </w:p>
    <w:p w14:paraId="6D82A2D4" w14:textId="77777777" w:rsidR="006C3764" w:rsidRDefault="006C3764" w:rsidP="006C3764">
      <w:pPr>
        <w:widowControl/>
        <w:autoSpaceDE w:val="0"/>
        <w:autoSpaceDN w:val="0"/>
        <w:adjustRightInd w:val="0"/>
        <w:spacing w:after="0"/>
      </w:pPr>
    </w:p>
    <w:p w14:paraId="0511815C" w14:textId="77777777" w:rsidR="006C3764" w:rsidRDefault="006C3764" w:rsidP="006C37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Karen Norene Mills</w:t>
      </w:r>
    </w:p>
    <w:p w14:paraId="0B9C6A76" w14:textId="77777777" w:rsidR="006C3764" w:rsidRDefault="006C3764" w:rsidP="006C37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Associate Counsel</w:t>
      </w:r>
    </w:p>
    <w:p w14:paraId="0AACE1A6" w14:textId="77777777" w:rsidR="006C3764" w:rsidRDefault="006C3764" w:rsidP="006C37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California Farm Bureau Federation</w:t>
      </w:r>
    </w:p>
    <w:p w14:paraId="25595A4C" w14:textId="77777777" w:rsidR="006C3764" w:rsidRDefault="006C3764" w:rsidP="006C37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2300 River Plaza Drive</w:t>
      </w:r>
    </w:p>
    <w:p w14:paraId="6FE9E9E7" w14:textId="77777777" w:rsidR="006C3764" w:rsidRDefault="006C3764" w:rsidP="006C37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Sacramento, CA 95833</w:t>
      </w:r>
    </w:p>
    <w:p w14:paraId="7BBF2A04" w14:textId="77777777" w:rsidR="006C3764" w:rsidRDefault="006C3764" w:rsidP="006C37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(916) 561-5655</w:t>
      </w:r>
    </w:p>
    <w:p w14:paraId="6FBBD941" w14:textId="3AF328A0" w:rsidR="006C3764" w:rsidRDefault="006C3764" w:rsidP="006C3764">
      <w:pPr>
        <w:spacing w:after="0"/>
        <w:rPr>
          <w:rFonts w:ascii="Arial" w:hAnsi="Arial" w:cs="Arial"/>
        </w:rPr>
      </w:pPr>
      <w:hyperlink r:id="rId7" w:history="1">
        <w:r w:rsidRPr="000C38AA">
          <w:rPr>
            <w:rStyle w:val="Hyperlink"/>
            <w:rFonts w:ascii="Arial" w:hAnsi="Arial" w:cs="Arial"/>
          </w:rPr>
          <w:t>kmills@cfbf.com</w:t>
        </w:r>
      </w:hyperlink>
    </w:p>
    <w:p w14:paraId="148A91EB" w14:textId="7A69D25D" w:rsidR="006C3764" w:rsidRDefault="006C3764" w:rsidP="006C37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January 25, 2016</w:t>
      </w:r>
      <w:bookmarkStart w:id="0" w:name="_GoBack"/>
      <w:bookmarkEnd w:id="0"/>
    </w:p>
    <w:p w14:paraId="47AD8B49" w14:textId="77777777" w:rsidR="006C3764" w:rsidRPr="00C20675" w:rsidRDefault="006C3764" w:rsidP="006C3764">
      <w:pPr>
        <w:widowControl/>
        <w:autoSpaceDE w:val="0"/>
        <w:autoSpaceDN w:val="0"/>
        <w:adjustRightInd w:val="0"/>
        <w:spacing w:after="0"/>
      </w:pPr>
    </w:p>
    <w:sectPr w:rsidR="006C3764" w:rsidRPr="00C20675" w:rsidSect="009C240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94E4A" w14:textId="77777777" w:rsidR="00623831" w:rsidRDefault="00623831" w:rsidP="006765E8">
      <w:pPr>
        <w:spacing w:after="0"/>
      </w:pPr>
      <w:r>
        <w:separator/>
      </w:r>
    </w:p>
  </w:endnote>
  <w:endnote w:type="continuationSeparator" w:id="0">
    <w:p w14:paraId="4511DEE7" w14:textId="77777777" w:rsidR="00623831" w:rsidRDefault="00623831" w:rsidP="006765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7099A" w14:textId="77777777" w:rsidR="00623831" w:rsidRDefault="00623831" w:rsidP="00A349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88243F" w14:textId="77777777" w:rsidR="00623831" w:rsidRDefault="00623831" w:rsidP="006765E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D92E7" w14:textId="77777777" w:rsidR="00623831" w:rsidRDefault="00623831" w:rsidP="00A349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376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597A30" w14:textId="77777777" w:rsidR="00623831" w:rsidRDefault="00623831" w:rsidP="006765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17E1E" w14:textId="77777777" w:rsidR="00623831" w:rsidRDefault="00623831" w:rsidP="006765E8">
      <w:pPr>
        <w:spacing w:after="0"/>
      </w:pPr>
      <w:r>
        <w:separator/>
      </w:r>
    </w:p>
  </w:footnote>
  <w:footnote w:type="continuationSeparator" w:id="0">
    <w:p w14:paraId="11F353E8" w14:textId="77777777" w:rsidR="00623831" w:rsidRDefault="00623831" w:rsidP="006765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1729"/>
    <w:multiLevelType w:val="hybridMultilevel"/>
    <w:tmpl w:val="4C0CBD66"/>
    <w:lvl w:ilvl="0" w:tplc="5EF0A15E">
      <w:start w:val="1"/>
      <w:numFmt w:val="upperLetter"/>
      <w:pStyle w:val="Header"/>
      <w:lvlText w:val="Appendix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0D3B"/>
    <w:multiLevelType w:val="hybridMultilevel"/>
    <w:tmpl w:val="9FD8C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311"/>
    <w:multiLevelType w:val="hybridMultilevel"/>
    <w:tmpl w:val="B5028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17661"/>
    <w:multiLevelType w:val="multilevel"/>
    <w:tmpl w:val="9962CB12"/>
    <w:styleLink w:val="Appendix"/>
    <w:lvl w:ilvl="0">
      <w:start w:val="1"/>
      <w:numFmt w:val="upperLetter"/>
      <w:lvlText w:val="Appendix %1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sz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FAB1F4D"/>
    <w:multiLevelType w:val="hybridMultilevel"/>
    <w:tmpl w:val="2CBCB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A3543"/>
    <w:multiLevelType w:val="hybridMultilevel"/>
    <w:tmpl w:val="F2AC4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24744"/>
    <w:multiLevelType w:val="hybridMultilevel"/>
    <w:tmpl w:val="612EA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0BB6"/>
    <w:multiLevelType w:val="hybridMultilevel"/>
    <w:tmpl w:val="968CEE60"/>
    <w:lvl w:ilvl="0" w:tplc="8258F5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39A6C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616D3"/>
    <w:multiLevelType w:val="hybridMultilevel"/>
    <w:tmpl w:val="D3EE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A4134"/>
    <w:multiLevelType w:val="hybridMultilevel"/>
    <w:tmpl w:val="561E2C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F536F4"/>
    <w:multiLevelType w:val="hybridMultilevel"/>
    <w:tmpl w:val="64E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E9"/>
    <w:rsid w:val="0000125B"/>
    <w:rsid w:val="00024C96"/>
    <w:rsid w:val="0003022D"/>
    <w:rsid w:val="000632EF"/>
    <w:rsid w:val="00063C97"/>
    <w:rsid w:val="00074201"/>
    <w:rsid w:val="00074FBB"/>
    <w:rsid w:val="00077F02"/>
    <w:rsid w:val="00081099"/>
    <w:rsid w:val="000935C8"/>
    <w:rsid w:val="000A05C0"/>
    <w:rsid w:val="000B72DB"/>
    <w:rsid w:val="000C1931"/>
    <w:rsid w:val="000C47D1"/>
    <w:rsid w:val="000E0F34"/>
    <w:rsid w:val="000F31C3"/>
    <w:rsid w:val="00106A38"/>
    <w:rsid w:val="00112DB0"/>
    <w:rsid w:val="001312D0"/>
    <w:rsid w:val="00132E70"/>
    <w:rsid w:val="00137B85"/>
    <w:rsid w:val="001561FA"/>
    <w:rsid w:val="0016155B"/>
    <w:rsid w:val="00190BAE"/>
    <w:rsid w:val="0019264C"/>
    <w:rsid w:val="001A6D96"/>
    <w:rsid w:val="001B3253"/>
    <w:rsid w:val="001E3737"/>
    <w:rsid w:val="001F4722"/>
    <w:rsid w:val="00214086"/>
    <w:rsid w:val="0024193D"/>
    <w:rsid w:val="00261F6F"/>
    <w:rsid w:val="002657E8"/>
    <w:rsid w:val="00275CDE"/>
    <w:rsid w:val="002A041A"/>
    <w:rsid w:val="002A5B9B"/>
    <w:rsid w:val="002A6431"/>
    <w:rsid w:val="002B5F65"/>
    <w:rsid w:val="002B7147"/>
    <w:rsid w:val="002F1281"/>
    <w:rsid w:val="003107E2"/>
    <w:rsid w:val="00342595"/>
    <w:rsid w:val="00346CDF"/>
    <w:rsid w:val="00360A81"/>
    <w:rsid w:val="00361104"/>
    <w:rsid w:val="003631A8"/>
    <w:rsid w:val="003762A7"/>
    <w:rsid w:val="003835EE"/>
    <w:rsid w:val="00396A9B"/>
    <w:rsid w:val="003A1346"/>
    <w:rsid w:val="003A610E"/>
    <w:rsid w:val="003D3B62"/>
    <w:rsid w:val="003D6189"/>
    <w:rsid w:val="003E527E"/>
    <w:rsid w:val="003E5540"/>
    <w:rsid w:val="003F1171"/>
    <w:rsid w:val="004129E9"/>
    <w:rsid w:val="00415E32"/>
    <w:rsid w:val="00416BD6"/>
    <w:rsid w:val="00423DF1"/>
    <w:rsid w:val="004279E7"/>
    <w:rsid w:val="00442C2D"/>
    <w:rsid w:val="004534E5"/>
    <w:rsid w:val="00495C5D"/>
    <w:rsid w:val="004D0C94"/>
    <w:rsid w:val="004D5B51"/>
    <w:rsid w:val="004F1929"/>
    <w:rsid w:val="0050755C"/>
    <w:rsid w:val="00516FB8"/>
    <w:rsid w:val="00531E60"/>
    <w:rsid w:val="005372B2"/>
    <w:rsid w:val="0055593A"/>
    <w:rsid w:val="00561F85"/>
    <w:rsid w:val="005B2E0E"/>
    <w:rsid w:val="005C2F17"/>
    <w:rsid w:val="005C4F32"/>
    <w:rsid w:val="005D42DF"/>
    <w:rsid w:val="005E3071"/>
    <w:rsid w:val="005F0FD8"/>
    <w:rsid w:val="005F269F"/>
    <w:rsid w:val="005F3985"/>
    <w:rsid w:val="005F75AC"/>
    <w:rsid w:val="00603F4C"/>
    <w:rsid w:val="00604348"/>
    <w:rsid w:val="0062300C"/>
    <w:rsid w:val="0062361F"/>
    <w:rsid w:val="00623831"/>
    <w:rsid w:val="0065539E"/>
    <w:rsid w:val="0067128C"/>
    <w:rsid w:val="006765E8"/>
    <w:rsid w:val="006833E7"/>
    <w:rsid w:val="006A6A57"/>
    <w:rsid w:val="006C3764"/>
    <w:rsid w:val="006D0F0F"/>
    <w:rsid w:val="006D413F"/>
    <w:rsid w:val="006D4F86"/>
    <w:rsid w:val="006D7B10"/>
    <w:rsid w:val="006E1043"/>
    <w:rsid w:val="006E3BF8"/>
    <w:rsid w:val="006F146C"/>
    <w:rsid w:val="006F47E7"/>
    <w:rsid w:val="00701DCF"/>
    <w:rsid w:val="0071053C"/>
    <w:rsid w:val="00737D79"/>
    <w:rsid w:val="00742AE4"/>
    <w:rsid w:val="007468B5"/>
    <w:rsid w:val="00755ACF"/>
    <w:rsid w:val="00755D02"/>
    <w:rsid w:val="00770CD4"/>
    <w:rsid w:val="00782E91"/>
    <w:rsid w:val="00783847"/>
    <w:rsid w:val="00784CCE"/>
    <w:rsid w:val="00795A7C"/>
    <w:rsid w:val="007A1B34"/>
    <w:rsid w:val="007B0C18"/>
    <w:rsid w:val="007B6806"/>
    <w:rsid w:val="007C3B01"/>
    <w:rsid w:val="007C5CB5"/>
    <w:rsid w:val="007D2D95"/>
    <w:rsid w:val="007D3962"/>
    <w:rsid w:val="007E23B8"/>
    <w:rsid w:val="007E5D20"/>
    <w:rsid w:val="007F26C0"/>
    <w:rsid w:val="007F4921"/>
    <w:rsid w:val="007F4D2D"/>
    <w:rsid w:val="007F7B9F"/>
    <w:rsid w:val="00815086"/>
    <w:rsid w:val="00816412"/>
    <w:rsid w:val="00840EEA"/>
    <w:rsid w:val="00846D21"/>
    <w:rsid w:val="00852606"/>
    <w:rsid w:val="00861DA3"/>
    <w:rsid w:val="008816BF"/>
    <w:rsid w:val="00884478"/>
    <w:rsid w:val="008905E7"/>
    <w:rsid w:val="00892CA6"/>
    <w:rsid w:val="00895DD2"/>
    <w:rsid w:val="008962DA"/>
    <w:rsid w:val="008A40F3"/>
    <w:rsid w:val="008B37D2"/>
    <w:rsid w:val="008C6998"/>
    <w:rsid w:val="008D4987"/>
    <w:rsid w:val="008D609E"/>
    <w:rsid w:val="008E23F0"/>
    <w:rsid w:val="008E311A"/>
    <w:rsid w:val="008E5950"/>
    <w:rsid w:val="00900E96"/>
    <w:rsid w:val="00906462"/>
    <w:rsid w:val="0092076C"/>
    <w:rsid w:val="0092184B"/>
    <w:rsid w:val="009313F3"/>
    <w:rsid w:val="00932D55"/>
    <w:rsid w:val="0094314D"/>
    <w:rsid w:val="00955CE3"/>
    <w:rsid w:val="00955FBE"/>
    <w:rsid w:val="00960351"/>
    <w:rsid w:val="00974075"/>
    <w:rsid w:val="00983110"/>
    <w:rsid w:val="009B0FAA"/>
    <w:rsid w:val="009B7F24"/>
    <w:rsid w:val="009C240E"/>
    <w:rsid w:val="009C7F2A"/>
    <w:rsid w:val="00A0068B"/>
    <w:rsid w:val="00A01683"/>
    <w:rsid w:val="00A04B30"/>
    <w:rsid w:val="00A2744F"/>
    <w:rsid w:val="00A34988"/>
    <w:rsid w:val="00A44935"/>
    <w:rsid w:val="00A51B4E"/>
    <w:rsid w:val="00A54643"/>
    <w:rsid w:val="00A55A29"/>
    <w:rsid w:val="00A66494"/>
    <w:rsid w:val="00A72B30"/>
    <w:rsid w:val="00A974B5"/>
    <w:rsid w:val="00AA1B19"/>
    <w:rsid w:val="00AB4AEB"/>
    <w:rsid w:val="00AF459C"/>
    <w:rsid w:val="00AF66FB"/>
    <w:rsid w:val="00B05F56"/>
    <w:rsid w:val="00B10121"/>
    <w:rsid w:val="00B1431E"/>
    <w:rsid w:val="00B56128"/>
    <w:rsid w:val="00B63D5B"/>
    <w:rsid w:val="00B64016"/>
    <w:rsid w:val="00B6416A"/>
    <w:rsid w:val="00B737C0"/>
    <w:rsid w:val="00B86EEA"/>
    <w:rsid w:val="00B96DAD"/>
    <w:rsid w:val="00BA2681"/>
    <w:rsid w:val="00BA5817"/>
    <w:rsid w:val="00BB018A"/>
    <w:rsid w:val="00BC1C19"/>
    <w:rsid w:val="00BD698B"/>
    <w:rsid w:val="00BE498C"/>
    <w:rsid w:val="00C025B8"/>
    <w:rsid w:val="00C07693"/>
    <w:rsid w:val="00C13B23"/>
    <w:rsid w:val="00C17285"/>
    <w:rsid w:val="00C20556"/>
    <w:rsid w:val="00C20675"/>
    <w:rsid w:val="00C26996"/>
    <w:rsid w:val="00C60082"/>
    <w:rsid w:val="00C6069D"/>
    <w:rsid w:val="00C660D8"/>
    <w:rsid w:val="00C945F6"/>
    <w:rsid w:val="00CB68D7"/>
    <w:rsid w:val="00CC43BE"/>
    <w:rsid w:val="00CD1146"/>
    <w:rsid w:val="00CD4644"/>
    <w:rsid w:val="00CE6E49"/>
    <w:rsid w:val="00CF23E4"/>
    <w:rsid w:val="00CF4790"/>
    <w:rsid w:val="00D047A3"/>
    <w:rsid w:val="00D06CE5"/>
    <w:rsid w:val="00D54599"/>
    <w:rsid w:val="00D54790"/>
    <w:rsid w:val="00D5649C"/>
    <w:rsid w:val="00D57411"/>
    <w:rsid w:val="00D61652"/>
    <w:rsid w:val="00D9525B"/>
    <w:rsid w:val="00DA6603"/>
    <w:rsid w:val="00DB0AC7"/>
    <w:rsid w:val="00DB5BC5"/>
    <w:rsid w:val="00DC50DA"/>
    <w:rsid w:val="00DD543F"/>
    <w:rsid w:val="00DD734F"/>
    <w:rsid w:val="00E02A0E"/>
    <w:rsid w:val="00E209BF"/>
    <w:rsid w:val="00E23A7F"/>
    <w:rsid w:val="00E31C70"/>
    <w:rsid w:val="00E61405"/>
    <w:rsid w:val="00E67C93"/>
    <w:rsid w:val="00E7252A"/>
    <w:rsid w:val="00E8275E"/>
    <w:rsid w:val="00E84848"/>
    <w:rsid w:val="00E91E0C"/>
    <w:rsid w:val="00E958F9"/>
    <w:rsid w:val="00E972B7"/>
    <w:rsid w:val="00EA65E4"/>
    <w:rsid w:val="00EA69DA"/>
    <w:rsid w:val="00EA79A1"/>
    <w:rsid w:val="00ED5A39"/>
    <w:rsid w:val="00EE1A1C"/>
    <w:rsid w:val="00EE30EF"/>
    <w:rsid w:val="00F0273B"/>
    <w:rsid w:val="00F036E0"/>
    <w:rsid w:val="00F15B8E"/>
    <w:rsid w:val="00F166DF"/>
    <w:rsid w:val="00F34C0A"/>
    <w:rsid w:val="00F57B45"/>
    <w:rsid w:val="00F77624"/>
    <w:rsid w:val="00F8632A"/>
    <w:rsid w:val="00F93D40"/>
    <w:rsid w:val="00FB7281"/>
    <w:rsid w:val="00FD375F"/>
    <w:rsid w:val="00FF2E0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ADBDB5"/>
  <w15:docId w15:val="{386D80C7-6C4A-496F-A3C7-E72AA93A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ヒラギノ角ゴ Pro W3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F65"/>
    <w:pPr>
      <w:widowControl w:val="0"/>
      <w:spacing w:after="120"/>
    </w:pPr>
    <w:rPr>
      <w:rFonts w:ascii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ppendix">
    <w:name w:val="Appendix"/>
    <w:basedOn w:val="NoList"/>
    <w:rsid w:val="00024C96"/>
    <w:pPr>
      <w:numPr>
        <w:numId w:val="1"/>
      </w:numPr>
    </w:pPr>
  </w:style>
  <w:style w:type="paragraph" w:styleId="Header">
    <w:name w:val="header"/>
    <w:basedOn w:val="Normal"/>
    <w:link w:val="HeaderChar"/>
    <w:rsid w:val="00024C96"/>
    <w:pPr>
      <w:numPr>
        <w:numId w:val="2"/>
      </w:numPr>
      <w:tabs>
        <w:tab w:val="center" w:pos="4320"/>
        <w:tab w:val="right" w:pos="8640"/>
      </w:tabs>
    </w:pPr>
    <w:rPr>
      <w:rFonts w:ascii="Arial" w:eastAsia="Cambria" w:hAnsi="Arial"/>
      <w:b/>
      <w:sz w:val="32"/>
    </w:rPr>
  </w:style>
  <w:style w:type="character" w:customStyle="1" w:styleId="HeaderChar">
    <w:name w:val="Header Char"/>
    <w:basedOn w:val="DefaultParagraphFont"/>
    <w:link w:val="Header"/>
    <w:rsid w:val="00024C96"/>
    <w:rPr>
      <w:rFonts w:ascii="Arial" w:eastAsia="Cambria" w:hAnsi="Arial" w:cs="Times New Roman"/>
      <w:b/>
      <w:sz w:val="32"/>
    </w:rPr>
  </w:style>
  <w:style w:type="paragraph" w:styleId="ListParagraph">
    <w:name w:val="List Paragraph"/>
    <w:basedOn w:val="Normal"/>
    <w:uiPriority w:val="34"/>
    <w:qFormat/>
    <w:rsid w:val="00CD11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65E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65E8"/>
    <w:rPr>
      <w:rFonts w:ascii="Times New Roman" w:hAnsi="Times New Roman" w:cs="Times New 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6765E8"/>
  </w:style>
  <w:style w:type="paragraph" w:styleId="BalloonText">
    <w:name w:val="Balloon Text"/>
    <w:basedOn w:val="Normal"/>
    <w:link w:val="BalloonTextChar"/>
    <w:uiPriority w:val="99"/>
    <w:semiHidden/>
    <w:unhideWhenUsed/>
    <w:rsid w:val="00D564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9C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45F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5F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5F6"/>
    <w:rPr>
      <w:rFonts w:ascii="Times New Roman" w:hAnsi="Times New Roman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5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5F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6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mills@cfb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MRW &amp; Associates, LLC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 Norin</dc:creator>
  <cp:lastModifiedBy>Karen Mills</cp:lastModifiedBy>
  <cp:revision>4</cp:revision>
  <dcterms:created xsi:type="dcterms:W3CDTF">2016-01-22T19:29:00Z</dcterms:created>
  <dcterms:modified xsi:type="dcterms:W3CDTF">2016-01-25T19:22:00Z</dcterms:modified>
</cp:coreProperties>
</file>