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A.14-11-003 and A.14-11-004 Sempra Utilities’ 2016 TY GRC</w:t>
      </w:r>
    </w:p>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 xml:space="preserve">TURN Data Request </w:t>
      </w:r>
    </w:p>
    <w:p w:rsidR="00181615" w:rsidRPr="00181615" w:rsidRDefault="00181615" w:rsidP="00181615">
      <w:pPr>
        <w:spacing w:after="0"/>
        <w:rPr>
          <w:rFonts w:ascii="Times New Roman" w:hAnsi="Times New Roman"/>
          <w:b/>
          <w:sz w:val="24"/>
        </w:rPr>
      </w:pPr>
    </w:p>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 xml:space="preserve">Data Request Number: </w:t>
      </w:r>
      <w:r w:rsidRPr="00181615">
        <w:rPr>
          <w:rFonts w:ascii="Times New Roman" w:hAnsi="Times New Roman"/>
          <w:sz w:val="24"/>
        </w:rPr>
        <w:t>TURN-</w:t>
      </w:r>
      <w:r w:rsidR="00692529">
        <w:rPr>
          <w:rFonts w:ascii="Times New Roman" w:hAnsi="Times New Roman"/>
          <w:sz w:val="24"/>
        </w:rPr>
        <w:t>SEU-3</w:t>
      </w:r>
      <w:r w:rsidRPr="00181615">
        <w:rPr>
          <w:rFonts w:ascii="Times New Roman" w:hAnsi="Times New Roman"/>
          <w:sz w:val="24"/>
        </w:rPr>
        <w:t xml:space="preserve"> (</w:t>
      </w:r>
      <w:r w:rsidR="00692529">
        <w:rPr>
          <w:rFonts w:ascii="Times New Roman" w:hAnsi="Times New Roman"/>
          <w:sz w:val="24"/>
        </w:rPr>
        <w:t>Corproate Center</w:t>
      </w:r>
      <w:r w:rsidRPr="00181615">
        <w:rPr>
          <w:rFonts w:ascii="Times New Roman" w:hAnsi="Times New Roman"/>
          <w:sz w:val="24"/>
        </w:rPr>
        <w:t>)</w:t>
      </w:r>
    </w:p>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 xml:space="preserve">Date Sent: </w:t>
      </w:r>
      <w:r w:rsidR="00692529">
        <w:rPr>
          <w:rFonts w:ascii="Times New Roman" w:hAnsi="Times New Roman"/>
          <w:sz w:val="24"/>
        </w:rPr>
        <w:t>March 20</w:t>
      </w:r>
      <w:r w:rsidRPr="00181615">
        <w:rPr>
          <w:rFonts w:ascii="Times New Roman" w:hAnsi="Times New Roman"/>
          <w:sz w:val="24"/>
        </w:rPr>
        <w:t>, 201</w:t>
      </w:r>
      <w:r w:rsidR="00692529">
        <w:rPr>
          <w:rFonts w:ascii="Times New Roman" w:hAnsi="Times New Roman"/>
          <w:sz w:val="24"/>
        </w:rPr>
        <w:t>5</w:t>
      </w:r>
    </w:p>
    <w:p w:rsidR="00181615" w:rsidRPr="00181615" w:rsidRDefault="00181615" w:rsidP="00181615">
      <w:pPr>
        <w:pStyle w:val="Header"/>
        <w:spacing w:after="0"/>
        <w:jc w:val="center"/>
        <w:rPr>
          <w:rFonts w:ascii="Times New Roman" w:hAnsi="Times New Roman"/>
          <w:sz w:val="24"/>
        </w:rPr>
      </w:pPr>
      <w:r w:rsidRPr="00181615">
        <w:rPr>
          <w:rFonts w:ascii="Times New Roman" w:hAnsi="Times New Roman"/>
          <w:b/>
          <w:sz w:val="24"/>
        </w:rPr>
        <w:t>Response Due:</w:t>
      </w:r>
      <w:r w:rsidR="00692529">
        <w:rPr>
          <w:rFonts w:ascii="Times New Roman" w:hAnsi="Times New Roman"/>
          <w:sz w:val="24"/>
        </w:rPr>
        <w:t xml:space="preserve"> April 3</w:t>
      </w:r>
      <w:r w:rsidRPr="00181615">
        <w:rPr>
          <w:rFonts w:ascii="Times New Roman" w:hAnsi="Times New Roman"/>
          <w:sz w:val="24"/>
        </w:rPr>
        <w:t>, 2015</w:t>
      </w:r>
    </w:p>
    <w:p w:rsidR="00181615" w:rsidRPr="00181615" w:rsidRDefault="00181615" w:rsidP="00181615">
      <w:pPr>
        <w:spacing w:after="0"/>
        <w:rPr>
          <w:rFonts w:ascii="Times New Roman" w:hAnsi="Times New Roman"/>
          <w:sz w:val="24"/>
        </w:rPr>
      </w:pPr>
    </w:p>
    <w:p w:rsidR="00181615" w:rsidRPr="00181615" w:rsidRDefault="00181615" w:rsidP="00181615">
      <w:pPr>
        <w:spacing w:after="0"/>
        <w:rPr>
          <w:rFonts w:ascii="Times New Roman" w:hAnsi="Times New Roman"/>
          <w:sz w:val="24"/>
        </w:rPr>
      </w:pPr>
      <w:r w:rsidRPr="00181615">
        <w:rPr>
          <w:rFonts w:ascii="Times New Roman" w:hAnsi="Times New Roman"/>
          <w:sz w:val="24"/>
        </w:rPr>
        <w:t xml:space="preserve">Please provide an </w:t>
      </w:r>
      <w:r w:rsidRPr="00181615">
        <w:rPr>
          <w:rFonts w:ascii="Times New Roman" w:hAnsi="Times New Roman"/>
          <w:sz w:val="24"/>
          <w:u w:val="single"/>
        </w:rPr>
        <w:t>electronic</w:t>
      </w:r>
      <w:r w:rsidRPr="00181615">
        <w:rPr>
          <w:rFonts w:ascii="Times New Roman" w:hAnsi="Times New Roman"/>
          <w:sz w:val="24"/>
        </w:rPr>
        <w:t xml:space="preserve"> response to the following questions</w:t>
      </w:r>
      <w:bookmarkStart w:id="0" w:name="_GoBack"/>
      <w:bookmarkEnd w:id="0"/>
      <w:r w:rsidRPr="00181615">
        <w:rPr>
          <w:rFonts w:ascii="Times New Roman" w:hAnsi="Times New Roman"/>
          <w:sz w:val="24"/>
        </w:rPr>
        <w:t>.  A hard copy response is unnecessary.  The response should be provided on a CD sent by mail or as attachments sent by e-mail to the following:</w:t>
      </w:r>
    </w:p>
    <w:p w:rsidR="00181615" w:rsidRPr="00181615" w:rsidRDefault="00181615" w:rsidP="00181615">
      <w:pPr>
        <w:spacing w:after="0"/>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1615" w:rsidRPr="00181615">
        <w:tc>
          <w:tcPr>
            <w:tcW w:w="4788" w:type="dxa"/>
          </w:tcPr>
          <w:p w:rsidR="00181615" w:rsidRPr="00181615" w:rsidRDefault="00181615" w:rsidP="00DE4D7C">
            <w:pPr>
              <w:spacing w:after="0"/>
              <w:rPr>
                <w:rFonts w:ascii="Times New Roman" w:hAnsi="Times New Roman"/>
                <w:sz w:val="24"/>
              </w:rPr>
            </w:pPr>
            <w:r w:rsidRPr="00181615">
              <w:rPr>
                <w:rFonts w:ascii="Times New Roman" w:hAnsi="Times New Roman"/>
                <w:sz w:val="24"/>
              </w:rPr>
              <w:t>Bob Finkelstein</w:t>
            </w:r>
          </w:p>
          <w:p w:rsidR="00181615" w:rsidRPr="00181615" w:rsidRDefault="00181615" w:rsidP="00DE4D7C">
            <w:pPr>
              <w:spacing w:after="0"/>
              <w:rPr>
                <w:rFonts w:ascii="Times New Roman" w:hAnsi="Times New Roman"/>
                <w:sz w:val="24"/>
              </w:rPr>
            </w:pPr>
            <w:r w:rsidRPr="00181615">
              <w:rPr>
                <w:rFonts w:ascii="Times New Roman" w:hAnsi="Times New Roman"/>
                <w:sz w:val="24"/>
              </w:rPr>
              <w:t>The Utility Reform Network (TURN)</w:t>
            </w:r>
          </w:p>
          <w:p w:rsidR="00181615" w:rsidRPr="00181615" w:rsidRDefault="00181615" w:rsidP="00DE4D7C">
            <w:pPr>
              <w:spacing w:after="0"/>
              <w:rPr>
                <w:rFonts w:ascii="Times New Roman" w:hAnsi="Times New Roman"/>
                <w:sz w:val="24"/>
              </w:rPr>
            </w:pPr>
            <w:r w:rsidRPr="00181615">
              <w:rPr>
                <w:rFonts w:ascii="Times New Roman" w:hAnsi="Times New Roman"/>
                <w:sz w:val="24"/>
              </w:rPr>
              <w:t>785 Market Street, Suite 1400</w:t>
            </w:r>
          </w:p>
          <w:p w:rsidR="00181615" w:rsidRPr="00181615" w:rsidRDefault="00181615" w:rsidP="00DE4D7C">
            <w:pPr>
              <w:spacing w:after="0"/>
              <w:rPr>
                <w:rFonts w:ascii="Times New Roman" w:hAnsi="Times New Roman"/>
                <w:sz w:val="24"/>
              </w:rPr>
            </w:pPr>
            <w:r w:rsidRPr="00181615">
              <w:rPr>
                <w:rFonts w:ascii="Times New Roman" w:hAnsi="Times New Roman"/>
                <w:sz w:val="24"/>
              </w:rPr>
              <w:t>San Francisco, CA 94103</w:t>
            </w:r>
          </w:p>
          <w:p w:rsidR="00181615" w:rsidRPr="00181615" w:rsidRDefault="0058278B" w:rsidP="00DE4D7C">
            <w:pPr>
              <w:spacing w:after="0"/>
              <w:rPr>
                <w:rFonts w:ascii="Times New Roman" w:hAnsi="Times New Roman"/>
                <w:sz w:val="24"/>
              </w:rPr>
            </w:pPr>
            <w:hyperlink r:id="rId7" w:history="1">
              <w:r w:rsidR="00181615" w:rsidRPr="00181615">
                <w:rPr>
                  <w:rStyle w:val="Hyperlink"/>
                  <w:rFonts w:ascii="Times New Roman" w:hAnsi="Times New Roman"/>
                  <w:sz w:val="24"/>
                </w:rPr>
                <w:t>bfinkelstein@turn.org</w:t>
              </w:r>
            </w:hyperlink>
            <w:r w:rsidR="00181615" w:rsidRPr="00181615">
              <w:rPr>
                <w:rFonts w:ascii="Times New Roman" w:hAnsi="Times New Roman"/>
                <w:sz w:val="24"/>
              </w:rPr>
              <w:t xml:space="preserve"> </w:t>
            </w:r>
          </w:p>
        </w:tc>
        <w:tc>
          <w:tcPr>
            <w:tcW w:w="4788" w:type="dxa"/>
          </w:tcPr>
          <w:p w:rsidR="00181615" w:rsidRDefault="00181615" w:rsidP="00FE6FC6">
            <w:pPr>
              <w:spacing w:after="0"/>
              <w:rPr>
                <w:rFonts w:ascii="Times New Roman" w:hAnsi="Times New Roman"/>
                <w:sz w:val="24"/>
              </w:rPr>
            </w:pPr>
            <w:r>
              <w:rPr>
                <w:rFonts w:ascii="Times New Roman" w:hAnsi="Times New Roman"/>
                <w:sz w:val="24"/>
              </w:rPr>
              <w:t>Garrick Jones</w:t>
            </w:r>
          </w:p>
          <w:p w:rsidR="00181615" w:rsidRDefault="00181615" w:rsidP="00FE6FC6">
            <w:pPr>
              <w:spacing w:after="0"/>
              <w:rPr>
                <w:rFonts w:ascii="Times New Roman" w:hAnsi="Times New Roman"/>
                <w:sz w:val="24"/>
              </w:rPr>
            </w:pPr>
            <w:r>
              <w:rPr>
                <w:rFonts w:ascii="Times New Roman" w:hAnsi="Times New Roman"/>
                <w:sz w:val="24"/>
              </w:rPr>
              <w:t>JBS Energy</w:t>
            </w:r>
          </w:p>
          <w:p w:rsidR="00181615" w:rsidRDefault="00181615" w:rsidP="00FE6FC6">
            <w:pPr>
              <w:spacing w:after="0"/>
              <w:rPr>
                <w:rFonts w:ascii="Times New Roman" w:hAnsi="Times New Roman"/>
                <w:sz w:val="24"/>
              </w:rPr>
            </w:pPr>
            <w:r>
              <w:rPr>
                <w:rFonts w:ascii="Times New Roman" w:hAnsi="Times New Roman"/>
                <w:sz w:val="24"/>
              </w:rPr>
              <w:t>311 D Street, Suite A</w:t>
            </w:r>
          </w:p>
          <w:p w:rsidR="00181615" w:rsidRDefault="00181615" w:rsidP="00FE6FC6">
            <w:pPr>
              <w:spacing w:after="0"/>
              <w:rPr>
                <w:rFonts w:ascii="Times New Roman" w:hAnsi="Times New Roman"/>
                <w:sz w:val="24"/>
              </w:rPr>
            </w:pPr>
            <w:r>
              <w:rPr>
                <w:rFonts w:ascii="Times New Roman" w:hAnsi="Times New Roman"/>
                <w:sz w:val="24"/>
              </w:rPr>
              <w:t>West Sacramento, CA  95605</w:t>
            </w:r>
          </w:p>
          <w:p w:rsidR="00181615" w:rsidRPr="00181615" w:rsidRDefault="0058278B" w:rsidP="00FE6FC6">
            <w:pPr>
              <w:spacing w:after="0"/>
              <w:rPr>
                <w:rFonts w:ascii="Times New Roman" w:hAnsi="Times New Roman"/>
                <w:sz w:val="24"/>
              </w:rPr>
            </w:pPr>
            <w:hyperlink r:id="rId8" w:history="1">
              <w:r w:rsidR="009E20A6" w:rsidRPr="00680EE8">
                <w:rPr>
                  <w:rStyle w:val="Hyperlink"/>
                  <w:rFonts w:ascii="Times New Roman" w:hAnsi="Times New Roman"/>
                  <w:sz w:val="24"/>
                </w:rPr>
                <w:t>garrick@jbsenergy.com</w:t>
              </w:r>
            </w:hyperlink>
            <w:r w:rsidR="00181615">
              <w:rPr>
                <w:rFonts w:ascii="Times New Roman" w:hAnsi="Times New Roman"/>
                <w:sz w:val="24"/>
              </w:rPr>
              <w:t xml:space="preserve"> </w:t>
            </w:r>
          </w:p>
        </w:tc>
      </w:tr>
    </w:tbl>
    <w:p w:rsidR="00181615" w:rsidRPr="00181615" w:rsidRDefault="00181615" w:rsidP="00181615">
      <w:pPr>
        <w:spacing w:after="0"/>
        <w:rPr>
          <w:rFonts w:ascii="Times New Roman" w:hAnsi="Times New Roman"/>
          <w:sz w:val="24"/>
        </w:rPr>
      </w:pPr>
    </w:p>
    <w:p w:rsidR="00181615" w:rsidRPr="00181615" w:rsidRDefault="00181615" w:rsidP="00181615">
      <w:pPr>
        <w:spacing w:after="0"/>
        <w:rPr>
          <w:rFonts w:ascii="Times New Roman" w:hAnsi="Times New Roman"/>
          <w:sz w:val="24"/>
        </w:rPr>
      </w:pPr>
      <w:r w:rsidRPr="00181615">
        <w:rPr>
          <w:rFonts w:ascii="Times New Roman" w:hAnsi="Times New Roman"/>
          <w:sz w:val="24"/>
        </w:rPr>
        <w:t xml:space="preserve">For each question, please provide the name of each person who materially contributed to the preparation of the response.  If different, please also identify the Sempra Utilities witness who would be prepared to respond to cross-examination questions regarding the response. </w:t>
      </w:r>
    </w:p>
    <w:p w:rsidR="00181615" w:rsidRPr="00181615" w:rsidRDefault="00181615" w:rsidP="00181615">
      <w:pPr>
        <w:spacing w:after="0"/>
        <w:rPr>
          <w:rFonts w:ascii="Times New Roman" w:hAnsi="Times New Roman"/>
          <w:sz w:val="24"/>
        </w:rPr>
      </w:pPr>
    </w:p>
    <w:p w:rsidR="00181615" w:rsidRPr="00181615" w:rsidRDefault="00181615" w:rsidP="00181615">
      <w:pPr>
        <w:spacing w:after="0"/>
        <w:rPr>
          <w:rFonts w:ascii="Times New Roman" w:hAnsi="Times New Roman"/>
          <w:sz w:val="24"/>
        </w:rPr>
      </w:pPr>
      <w:r w:rsidRPr="00181615">
        <w:rPr>
          <w:rFonts w:ascii="Times New Roman" w:hAnsi="Times New Roman"/>
          <w:sz w:val="24"/>
        </w:rPr>
        <w:t>For any questions requesting numerical recorded data, please provide all responses in working Excel spreadsheet format if so available, with cells and formulae functioning.</w:t>
      </w:r>
    </w:p>
    <w:p w:rsidR="00181615" w:rsidRPr="00181615" w:rsidRDefault="00181615" w:rsidP="00181615">
      <w:pPr>
        <w:pBdr>
          <w:bottom w:val="single" w:sz="12" w:space="1" w:color="auto"/>
        </w:pBdr>
        <w:spacing w:after="0"/>
        <w:rPr>
          <w:rFonts w:ascii="Times New Roman" w:hAnsi="Times New Roman"/>
          <w:sz w:val="24"/>
        </w:rPr>
      </w:pPr>
    </w:p>
    <w:p w:rsidR="00181615" w:rsidRPr="00181615" w:rsidRDefault="00181615" w:rsidP="00181615">
      <w:pPr>
        <w:pBdr>
          <w:bottom w:val="single" w:sz="12" w:space="1" w:color="auto"/>
        </w:pBdr>
        <w:spacing w:after="0"/>
        <w:rPr>
          <w:rFonts w:ascii="Times New Roman" w:hAnsi="Times New Roman"/>
          <w:sz w:val="24"/>
        </w:rPr>
      </w:pPr>
      <w:r w:rsidRPr="00181615">
        <w:rPr>
          <w:rFonts w:ascii="Times New Roman" w:hAnsi="Times New Roman"/>
          <w:sz w:val="24"/>
        </w:rPr>
        <w:t xml:space="preserve">For any question requesting documents, please interpret the term broadly to include any and all hard copy or electronic documents or records in the possession of either of the Sempra Utilities. </w:t>
      </w:r>
    </w:p>
    <w:p w:rsidR="00375C1B" w:rsidRPr="00181615" w:rsidRDefault="00375C1B" w:rsidP="00375C1B">
      <w:pPr>
        <w:spacing w:line="360" w:lineRule="auto"/>
        <w:jc w:val="center"/>
        <w:rPr>
          <w:rFonts w:ascii="Times New Roman" w:hAnsi="Times New Roman"/>
          <w:b/>
          <w:sz w:val="24"/>
        </w:rPr>
      </w:pPr>
    </w:p>
    <w:p w:rsidR="007E0073" w:rsidRPr="00007BDA" w:rsidRDefault="007E0073" w:rsidP="007E0073">
      <w:pPr>
        <w:pStyle w:val="ListParagraph"/>
        <w:numPr>
          <w:ilvl w:val="0"/>
          <w:numId w:val="14"/>
        </w:numPr>
        <w:autoSpaceDE w:val="0"/>
        <w:autoSpaceDN w:val="0"/>
        <w:adjustRightInd w:val="0"/>
        <w:spacing w:line="360" w:lineRule="auto"/>
        <w:rPr>
          <w:rFonts w:ascii="Times New Roman" w:hAnsi="Times New Roman" w:cs="TimesNewRomanPSMT"/>
          <w:sz w:val="24"/>
          <w:szCs w:val="22"/>
        </w:rPr>
      </w:pPr>
      <w:r w:rsidRPr="00007BDA">
        <w:rPr>
          <w:rFonts w:ascii="Times New Roman" w:hAnsi="Times New Roman"/>
          <w:sz w:val="24"/>
        </w:rPr>
        <w:t xml:space="preserve">Exhibit SCG-19, page PRW-6 lines 26-28 states </w:t>
      </w:r>
      <w:r w:rsidRPr="00007BDA">
        <w:rPr>
          <w:rFonts w:ascii="Times New Roman" w:hAnsi="Times New Roman"/>
          <w:sz w:val="24"/>
          <w:szCs w:val="22"/>
        </w:rPr>
        <w:t>“</w:t>
      </w:r>
      <w:r w:rsidRPr="00007BDA">
        <w:rPr>
          <w:rFonts w:ascii="Times New Roman" w:hAnsi="Times New Roman" w:cs="TimesNewRomanPSMT"/>
          <w:sz w:val="24"/>
          <w:szCs w:val="22"/>
        </w:rPr>
        <w:t xml:space="preserve">The four factors are compiled each year, using prior years’ data as the basis for the following year’s actual allocations.”  </w:t>
      </w:r>
    </w:p>
    <w:p w:rsidR="007E0073" w:rsidRPr="00007BDA" w:rsidRDefault="007E0073" w:rsidP="007E0073">
      <w:pPr>
        <w:pStyle w:val="ListParagraph"/>
        <w:numPr>
          <w:ilvl w:val="1"/>
          <w:numId w:val="14"/>
        </w:numPr>
        <w:autoSpaceDE w:val="0"/>
        <w:autoSpaceDN w:val="0"/>
        <w:adjustRightInd w:val="0"/>
        <w:spacing w:line="360" w:lineRule="auto"/>
        <w:rPr>
          <w:rFonts w:ascii="Times New Roman" w:hAnsi="Times New Roman" w:cs="TimesNewRomanPSMT"/>
          <w:sz w:val="24"/>
          <w:szCs w:val="22"/>
        </w:rPr>
      </w:pPr>
      <w:r w:rsidRPr="00007BDA">
        <w:rPr>
          <w:rFonts w:ascii="Times New Roman" w:hAnsi="Times New Roman" w:cs="TimesNewRomanPSMT"/>
          <w:sz w:val="24"/>
          <w:szCs w:val="22"/>
        </w:rPr>
        <w:t>When in the normal course of business are these factors compiled?</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Are accounting memoranda or documentation prepared internally by Sempra</w:t>
      </w:r>
      <w:r w:rsidRPr="00007BDA">
        <w:rPr>
          <w:rFonts w:ascii="Times New Roman" w:hAnsi="Times New Roman"/>
          <w:sz w:val="24"/>
        </w:rPr>
        <w:t xml:space="preserve"> Energy at the corporate level and/or by either of the Sempra Energy Utilities</w:t>
      </w:r>
      <w:r w:rsidRPr="00007BDA">
        <w:rPr>
          <w:rFonts w:ascii="Times New Roman" w:hAnsi="Times New Roman"/>
          <w:sz w:val="24"/>
        </w:rPr>
        <w:t xml:space="preserve"> in the normal course of business showing the multi-factor allocations for each year?  If so, please provide all </w:t>
      </w:r>
      <w:r w:rsidRPr="00007BDA">
        <w:rPr>
          <w:rFonts w:ascii="Times New Roman" w:hAnsi="Times New Roman"/>
          <w:sz w:val="24"/>
        </w:rPr>
        <w:t xml:space="preserve">such </w:t>
      </w:r>
      <w:r w:rsidRPr="00007BDA">
        <w:rPr>
          <w:rFonts w:ascii="Times New Roman" w:hAnsi="Times New Roman"/>
          <w:sz w:val="24"/>
        </w:rPr>
        <w:t>internal documentation from 2005-2014 (and 2015 if available), including any calculations made as part of those materials.</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provide recorded numerical data for SDG&amp;E, SoCal Gas, and other operations</w:t>
      </w:r>
      <w:r w:rsidRPr="00007BDA">
        <w:rPr>
          <w:rFonts w:ascii="Times New Roman" w:hAnsi="Times New Roman"/>
          <w:sz w:val="24"/>
        </w:rPr>
        <w:t xml:space="preserve"> (referred to as “unregulated” on SCG-19, Workpaper 419)</w:t>
      </w:r>
      <w:r w:rsidRPr="00007BDA">
        <w:rPr>
          <w:rFonts w:ascii="Times New Roman" w:hAnsi="Times New Roman"/>
          <w:sz w:val="24"/>
        </w:rPr>
        <w:t xml:space="preserve"> </w:t>
      </w:r>
      <w:r w:rsidRPr="00007BDA">
        <w:rPr>
          <w:rFonts w:ascii="Times New Roman" w:hAnsi="Times New Roman"/>
          <w:sz w:val="24"/>
        </w:rPr>
        <w:t xml:space="preserve">for </w:t>
      </w:r>
      <w:r w:rsidRPr="00007BDA">
        <w:rPr>
          <w:rFonts w:ascii="Times New Roman" w:hAnsi="Times New Roman"/>
          <w:sz w:val="24"/>
        </w:rPr>
        <w:t xml:space="preserve">each of the four factors (Revenue, Gross Plant Assets &amp; Investments, Operating Expenses and Full-Time Employees or Equivalents) used in the multi-factor allocation for the years 2005-2012 and 2014 (SCG-19, page PRW-6), recognizing that 2013 recorded data are provided on SCG-19, Workpaper 419.  </w:t>
      </w:r>
      <w:r w:rsidRPr="00007BDA">
        <w:rPr>
          <w:rFonts w:ascii="Times New Roman" w:hAnsi="Times New Roman"/>
          <w:sz w:val="24"/>
        </w:rPr>
        <w:t>Please r</w:t>
      </w:r>
      <w:r w:rsidRPr="00007BDA">
        <w:rPr>
          <w:rFonts w:ascii="Times New Roman" w:hAnsi="Times New Roman"/>
          <w:sz w:val="24"/>
        </w:rPr>
        <w:t>eference specific pages of Sempra</w:t>
      </w:r>
      <w:r w:rsidRPr="00007BDA">
        <w:rPr>
          <w:rFonts w:ascii="Times New Roman" w:hAnsi="Times New Roman"/>
          <w:sz w:val="24"/>
        </w:rPr>
        <w:t xml:space="preserve"> Energy</w:t>
      </w:r>
      <w:r w:rsidRPr="00007BDA">
        <w:rPr>
          <w:rFonts w:ascii="Times New Roman" w:hAnsi="Times New Roman"/>
          <w:sz w:val="24"/>
        </w:rPr>
        <w:t>’s 10-K or other public documents where the information is found or provide other source data if these references cannot be made.</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 xml:space="preserve">Regarding the definition of </w:t>
      </w:r>
      <w:r w:rsidRPr="00007BDA">
        <w:rPr>
          <w:rFonts w:ascii="Times New Roman" w:hAnsi="Times New Roman"/>
          <w:sz w:val="24"/>
        </w:rPr>
        <w:t>“</w:t>
      </w:r>
      <w:r w:rsidRPr="00007BDA">
        <w:rPr>
          <w:rFonts w:ascii="Times New Roman" w:hAnsi="Times New Roman"/>
          <w:sz w:val="24"/>
        </w:rPr>
        <w:t>assets</w:t>
      </w:r>
      <w:r w:rsidRPr="00007BDA">
        <w:rPr>
          <w:rFonts w:ascii="Times New Roman" w:hAnsi="Times New Roman"/>
          <w:sz w:val="24"/>
        </w:rPr>
        <w:t>”</w:t>
      </w:r>
      <w:r w:rsidRPr="00007BDA">
        <w:rPr>
          <w:rFonts w:ascii="Times New Roman" w:hAnsi="Times New Roman"/>
          <w:sz w:val="24"/>
        </w:rPr>
        <w:t xml:space="preserve"> used in the four-factor calculation (and further referencing SCG-19, Workpaper 419) and the Consolidated Income Statements and Balance Sheets of Sempra Energy, SDG&amp;E, and SoCal Gas in Sempra </w:t>
      </w:r>
      <w:r w:rsidRPr="00007BDA">
        <w:rPr>
          <w:rFonts w:ascii="Times New Roman" w:hAnsi="Times New Roman"/>
          <w:sz w:val="24"/>
        </w:rPr>
        <w:t>E</w:t>
      </w:r>
      <w:r w:rsidRPr="00007BDA">
        <w:rPr>
          <w:rFonts w:ascii="Times New Roman" w:hAnsi="Times New Roman"/>
          <w:sz w:val="24"/>
        </w:rPr>
        <w:t>nergy’s 2013 10-K report filed in February 2014):</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Please</w:t>
      </w:r>
      <w:r w:rsidRPr="00007BDA">
        <w:rPr>
          <w:rFonts w:ascii="Times New Roman" w:hAnsi="Times New Roman"/>
          <w:sz w:val="24"/>
        </w:rPr>
        <w:t xml:space="preserve"> explain </w:t>
      </w:r>
      <w:r w:rsidRPr="00007BDA">
        <w:rPr>
          <w:rFonts w:ascii="Times New Roman" w:hAnsi="Times New Roman"/>
          <w:sz w:val="24"/>
        </w:rPr>
        <w:t xml:space="preserve">in detail </w:t>
      </w:r>
      <w:r w:rsidRPr="00007BDA">
        <w:rPr>
          <w:rFonts w:ascii="Times New Roman" w:hAnsi="Times New Roman"/>
          <w:sz w:val="24"/>
        </w:rPr>
        <w:t>why goodwill is excluded from the definition of unregulated assets.</w:t>
      </w:r>
      <w:r w:rsidRPr="00007BDA">
        <w:rPr>
          <w:rFonts w:ascii="Times New Roman" w:hAnsi="Times New Roman"/>
          <w:sz w:val="24"/>
        </w:rPr>
        <w:t xml:space="preserve"> </w:t>
      </w:r>
      <w:r w:rsidRPr="00007BDA">
        <w:rPr>
          <w:rFonts w:ascii="Times New Roman" w:hAnsi="Times New Roman"/>
          <w:sz w:val="24"/>
        </w:rPr>
        <w:t>(SCG-19, Workpaper 419)</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Is the regulatory asset for recovery of SONGS closure costs included in SDG&amp;E’s assets used to develop the four-factor calculation</w:t>
      </w:r>
      <w:r w:rsidRPr="00007BDA">
        <w:rPr>
          <w:rFonts w:ascii="Times New Roman" w:hAnsi="Times New Roman"/>
          <w:sz w:val="24"/>
        </w:rPr>
        <w:t xml:space="preserve">?  If so, </w:t>
      </w:r>
      <w:r w:rsidRPr="00007BDA">
        <w:rPr>
          <w:rFonts w:ascii="Times New Roman" w:hAnsi="Times New Roman"/>
          <w:sz w:val="24"/>
        </w:rPr>
        <w:t xml:space="preserve"> </w:t>
      </w:r>
    </w:p>
    <w:p w:rsidR="007E0073" w:rsidRPr="00007BDA" w:rsidDel="00841A5B" w:rsidRDefault="007E0073" w:rsidP="007E0073">
      <w:pPr>
        <w:pStyle w:val="BodyText"/>
        <w:numPr>
          <w:ilvl w:val="2"/>
          <w:numId w:val="14"/>
        </w:numPr>
        <w:spacing w:line="360" w:lineRule="auto"/>
        <w:rPr>
          <w:rFonts w:ascii="Times New Roman" w:hAnsi="Times New Roman"/>
          <w:sz w:val="24"/>
        </w:rPr>
      </w:pPr>
      <w:r w:rsidRPr="00007BDA">
        <w:rPr>
          <w:rFonts w:ascii="Times New Roman" w:hAnsi="Times New Roman"/>
          <w:sz w:val="24"/>
        </w:rPr>
        <w:t>P</w:t>
      </w:r>
      <w:r w:rsidRPr="00007BDA">
        <w:rPr>
          <w:rFonts w:ascii="Times New Roman" w:hAnsi="Times New Roman"/>
          <w:sz w:val="24"/>
        </w:rPr>
        <w:t>lease explain why it should be included.</w:t>
      </w:r>
    </w:p>
    <w:p w:rsidR="007E0073" w:rsidRPr="00007BDA" w:rsidRDefault="007E0073" w:rsidP="007E0073">
      <w:pPr>
        <w:pStyle w:val="BodyText"/>
        <w:numPr>
          <w:ilvl w:val="2"/>
          <w:numId w:val="14"/>
        </w:numPr>
        <w:spacing w:line="360" w:lineRule="auto"/>
        <w:rPr>
          <w:rFonts w:ascii="Times New Roman" w:hAnsi="Times New Roman"/>
          <w:sz w:val="24"/>
        </w:rPr>
      </w:pPr>
      <w:r w:rsidRPr="00007BDA">
        <w:rPr>
          <w:rFonts w:ascii="Times New Roman" w:hAnsi="Times New Roman"/>
          <w:sz w:val="24"/>
        </w:rPr>
        <w:t>P</w:t>
      </w:r>
      <w:r w:rsidRPr="00007BDA">
        <w:rPr>
          <w:rFonts w:ascii="Times New Roman" w:hAnsi="Times New Roman"/>
          <w:sz w:val="24"/>
        </w:rPr>
        <w:t xml:space="preserve">lease provide an estimate of the value of the regulatory asset </w:t>
      </w:r>
      <w:r w:rsidRPr="00007BDA">
        <w:rPr>
          <w:rFonts w:ascii="Times New Roman" w:hAnsi="Times New Roman"/>
          <w:sz w:val="24"/>
        </w:rPr>
        <w:t xml:space="preserve">for recovery of SONGS closure costs </w:t>
      </w:r>
      <w:r w:rsidRPr="00007BDA">
        <w:rPr>
          <w:rFonts w:ascii="Times New Roman" w:hAnsi="Times New Roman"/>
          <w:sz w:val="24"/>
        </w:rPr>
        <w:t>as of the end of 2014.</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Is SDG&amp;E’s nuclear decommissioning trust included in the definition of assets used to develop the four-factor calculation</w:t>
      </w:r>
      <w:r w:rsidRPr="00007BDA">
        <w:rPr>
          <w:rFonts w:ascii="Times New Roman" w:hAnsi="Times New Roman"/>
          <w:sz w:val="24"/>
        </w:rPr>
        <w:t>?  If so, p</w:t>
      </w:r>
      <w:r w:rsidRPr="00007BDA">
        <w:rPr>
          <w:rFonts w:ascii="Times New Roman" w:hAnsi="Times New Roman"/>
          <w:sz w:val="24"/>
        </w:rPr>
        <w:t>lease explain</w:t>
      </w:r>
      <w:r w:rsidRPr="00007BDA">
        <w:rPr>
          <w:rFonts w:ascii="Times New Roman" w:hAnsi="Times New Roman"/>
          <w:sz w:val="24"/>
        </w:rPr>
        <w:t xml:space="preserve"> in detail the basis for SDG&amp;E believing it is reasonable to include </w:t>
      </w:r>
      <w:r w:rsidRPr="00007BDA">
        <w:rPr>
          <w:rFonts w:ascii="Times New Roman" w:hAnsi="Times New Roman"/>
          <w:sz w:val="24"/>
        </w:rPr>
        <w:t>it.</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Is SDG&amp;E’s regulatory asset for legacy meters included in the definition of assets used to develop the four-factor calculation?</w:t>
      </w:r>
      <w:r w:rsidRPr="00007BDA">
        <w:rPr>
          <w:rFonts w:ascii="Times New Roman" w:hAnsi="Times New Roman"/>
          <w:sz w:val="24"/>
        </w:rPr>
        <w:t xml:space="preserve">  If so, please explain in detail the basis for SDG&amp;E believing it is reasonable to include it.</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Given that the Otay Mesa Power Plant is included on Sempra’s and SDG&amp;E’s books as a Variable Interest Entity, a</w:t>
      </w:r>
      <w:r w:rsidRPr="00007BDA">
        <w:rPr>
          <w:rFonts w:ascii="Times New Roman" w:hAnsi="Times New Roman"/>
          <w:sz w:val="24"/>
        </w:rPr>
        <w:t>re the assets, revenues, expenses</w:t>
      </w:r>
      <w:r w:rsidRPr="00007BDA">
        <w:rPr>
          <w:rFonts w:ascii="Times New Roman" w:hAnsi="Times New Roman"/>
          <w:sz w:val="24"/>
        </w:rPr>
        <w:t>, and employees</w:t>
      </w:r>
      <w:r w:rsidRPr="00007BDA">
        <w:rPr>
          <w:rFonts w:ascii="Times New Roman" w:hAnsi="Times New Roman"/>
          <w:sz w:val="24"/>
        </w:rPr>
        <w:t xml:space="preserve"> of the Otay Mesa Power Plant  included in </w:t>
      </w:r>
      <w:r w:rsidRPr="00007BDA">
        <w:rPr>
          <w:rFonts w:ascii="Times New Roman" w:hAnsi="Times New Roman"/>
          <w:sz w:val="24"/>
        </w:rPr>
        <w:t>the</w:t>
      </w:r>
      <w:r w:rsidRPr="00007BDA">
        <w:rPr>
          <w:rFonts w:ascii="Times New Roman" w:hAnsi="Times New Roman"/>
          <w:sz w:val="24"/>
        </w:rPr>
        <w:t xml:space="preserve"> four-factor calculation</w:t>
      </w:r>
      <w:r w:rsidRPr="00007BDA">
        <w:rPr>
          <w:rFonts w:ascii="Times New Roman" w:hAnsi="Times New Roman"/>
          <w:sz w:val="24"/>
        </w:rPr>
        <w:t xml:space="preserve"> made to assign costs to SDG&amp;E</w:t>
      </w:r>
      <w:r w:rsidRPr="00007BDA">
        <w:rPr>
          <w:rFonts w:ascii="Times New Roman" w:hAnsi="Times New Roman"/>
          <w:sz w:val="24"/>
        </w:rPr>
        <w:t>?  If so, please explain why it should be included given that SDG&amp;E does not own it and identify the assets, revenues</w:t>
      </w:r>
      <w:r w:rsidRPr="00007BDA">
        <w:rPr>
          <w:rFonts w:ascii="Times New Roman" w:hAnsi="Times New Roman"/>
          <w:sz w:val="24"/>
        </w:rPr>
        <w:t>,</w:t>
      </w:r>
      <w:r w:rsidRPr="00007BDA">
        <w:rPr>
          <w:rFonts w:ascii="Times New Roman" w:hAnsi="Times New Roman"/>
          <w:sz w:val="24"/>
        </w:rPr>
        <w:t xml:space="preserve"> expenses</w:t>
      </w:r>
      <w:r w:rsidRPr="00007BDA">
        <w:rPr>
          <w:rFonts w:ascii="Times New Roman" w:hAnsi="Times New Roman"/>
          <w:sz w:val="24"/>
        </w:rPr>
        <w:t xml:space="preserve"> and employees</w:t>
      </w:r>
      <w:r w:rsidRPr="00007BDA">
        <w:rPr>
          <w:rFonts w:ascii="Times New Roman" w:hAnsi="Times New Roman"/>
          <w:sz w:val="24"/>
        </w:rPr>
        <w:t xml:space="preserve"> of Otay Mesa (as </w:t>
      </w:r>
      <w:r w:rsidRPr="00007BDA">
        <w:rPr>
          <w:rFonts w:ascii="Times New Roman" w:hAnsi="Times New Roman"/>
          <w:sz w:val="24"/>
        </w:rPr>
        <w:t xml:space="preserve">included </w:t>
      </w:r>
      <w:r w:rsidRPr="00007BDA">
        <w:rPr>
          <w:rFonts w:ascii="Times New Roman" w:hAnsi="Times New Roman"/>
          <w:sz w:val="24"/>
        </w:rPr>
        <w:t>in the four-factor calculation) in each year for 2009-2014.</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Are regulatory assets related to pensions and post-retirement benefits other than pensions (PBOPs) included in SDG&amp;E’s and SoCal’s four</w:t>
      </w:r>
      <w:r w:rsidRPr="00007BDA">
        <w:rPr>
          <w:rFonts w:ascii="Times New Roman" w:hAnsi="Times New Roman"/>
          <w:sz w:val="24"/>
        </w:rPr>
        <w:t>-</w:t>
      </w:r>
      <w:r w:rsidRPr="00007BDA">
        <w:rPr>
          <w:rFonts w:ascii="Times New Roman" w:hAnsi="Times New Roman"/>
          <w:sz w:val="24"/>
        </w:rPr>
        <w:t xml:space="preserve">factor calculation?  </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If so, explain why</w:t>
      </w:r>
      <w:r w:rsidRPr="00007BDA">
        <w:rPr>
          <w:rFonts w:ascii="Times New Roman" w:hAnsi="Times New Roman"/>
          <w:sz w:val="24"/>
        </w:rPr>
        <w:t xml:space="preserve"> the utilities believe</w:t>
      </w:r>
      <w:r w:rsidRPr="00007BDA">
        <w:rPr>
          <w:rFonts w:ascii="Times New Roman" w:hAnsi="Times New Roman"/>
          <w:sz w:val="24"/>
        </w:rPr>
        <w:t xml:space="preserve"> it is reasonable to include regulatory assets related to pensions and PBOPs for SoCal and SDG&amp;E when those assets are balanced with liabilities on the balance sheet.  </w:t>
      </w:r>
      <w:r w:rsidRPr="00007BDA">
        <w:rPr>
          <w:rFonts w:ascii="Times New Roman" w:hAnsi="Times New Roman"/>
          <w:sz w:val="24"/>
        </w:rPr>
        <w:t xml:space="preserve">Please be sure the </w:t>
      </w:r>
      <w:r w:rsidRPr="00007BDA">
        <w:rPr>
          <w:rFonts w:ascii="Times New Roman" w:hAnsi="Times New Roman"/>
          <w:sz w:val="24"/>
        </w:rPr>
        <w:t>explanation address</w:t>
      </w:r>
      <w:r w:rsidRPr="00007BDA">
        <w:rPr>
          <w:rFonts w:ascii="Times New Roman" w:hAnsi="Times New Roman"/>
          <w:sz w:val="24"/>
        </w:rPr>
        <w:t>es</w:t>
      </w:r>
      <w:r w:rsidRPr="00007BDA">
        <w:rPr>
          <w:rFonts w:ascii="Times New Roman" w:hAnsi="Times New Roman"/>
          <w:sz w:val="24"/>
        </w:rPr>
        <w:t xml:space="preserve"> whether this calculation </w:t>
      </w:r>
      <w:r w:rsidRPr="00007BDA">
        <w:rPr>
          <w:rFonts w:ascii="Times New Roman" w:hAnsi="Times New Roman"/>
          <w:sz w:val="24"/>
        </w:rPr>
        <w:t xml:space="preserve">serves to </w:t>
      </w:r>
      <w:r w:rsidRPr="00007BDA">
        <w:rPr>
          <w:rFonts w:ascii="Times New Roman" w:hAnsi="Times New Roman"/>
          <w:sz w:val="24"/>
        </w:rPr>
        <w:t>overweight the utilities</w:t>
      </w:r>
      <w:r w:rsidRPr="00007BDA">
        <w:rPr>
          <w:rFonts w:ascii="Times New Roman" w:hAnsi="Times New Roman"/>
          <w:sz w:val="24"/>
        </w:rPr>
        <w:t xml:space="preserve"> in the four-factor calculation</w:t>
      </w:r>
      <w:r w:rsidRPr="00007BDA">
        <w:rPr>
          <w:rFonts w:ascii="Times New Roman" w:hAnsi="Times New Roman"/>
          <w:sz w:val="24"/>
        </w:rPr>
        <w:t xml:space="preserve">, given that entities owned by Sempra </w:t>
      </w:r>
      <w:r w:rsidRPr="00007BDA">
        <w:rPr>
          <w:rFonts w:ascii="Times New Roman" w:hAnsi="Times New Roman"/>
          <w:sz w:val="24"/>
        </w:rPr>
        <w:t xml:space="preserve">Energy </w:t>
      </w:r>
      <w:r w:rsidRPr="00007BDA">
        <w:rPr>
          <w:rFonts w:ascii="Times New Roman" w:hAnsi="Times New Roman"/>
          <w:sz w:val="24"/>
        </w:rPr>
        <w:t xml:space="preserve">other than U.S. utilities cannot have regulatory assets for pensions and PBOPs.  </w:t>
      </w:r>
    </w:p>
    <w:p w:rsidR="007E0073" w:rsidRPr="00007BDA" w:rsidDel="00D908CE"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 xml:space="preserve">Are regulatory assets for deferred taxes included when making the four-factor calculation, even </w:t>
      </w:r>
      <w:r w:rsidRPr="00007BDA">
        <w:rPr>
          <w:rFonts w:ascii="Times New Roman" w:hAnsi="Times New Roman"/>
          <w:sz w:val="24"/>
        </w:rPr>
        <w:t xml:space="preserve">if </w:t>
      </w:r>
      <w:r w:rsidRPr="00007BDA">
        <w:rPr>
          <w:rFonts w:ascii="Times New Roman" w:hAnsi="Times New Roman"/>
          <w:sz w:val="24"/>
        </w:rPr>
        <w:t xml:space="preserve">regulatory liabilities for deferred taxes are larger than deferred tax regulatory assets?  </w:t>
      </w:r>
    </w:p>
    <w:p w:rsidR="007E0073" w:rsidRPr="00007BDA" w:rsidRDefault="007E0073" w:rsidP="007E0073">
      <w:pPr>
        <w:pStyle w:val="BodyText"/>
        <w:numPr>
          <w:ilvl w:val="2"/>
          <w:numId w:val="14"/>
        </w:numPr>
        <w:spacing w:line="360" w:lineRule="auto"/>
        <w:rPr>
          <w:rFonts w:ascii="Times New Roman" w:hAnsi="Times New Roman"/>
          <w:sz w:val="24"/>
        </w:rPr>
      </w:pPr>
      <w:r w:rsidRPr="00007BDA">
        <w:rPr>
          <w:rFonts w:ascii="Times New Roman" w:hAnsi="Times New Roman"/>
          <w:sz w:val="24"/>
        </w:rPr>
        <w:t xml:space="preserve">If so, please explain why </w:t>
      </w:r>
      <w:r w:rsidRPr="00007BDA">
        <w:rPr>
          <w:rFonts w:ascii="Times New Roman" w:hAnsi="Times New Roman"/>
          <w:sz w:val="24"/>
        </w:rPr>
        <w:t xml:space="preserve">the utilities believe </w:t>
      </w:r>
      <w:r w:rsidRPr="00007BDA">
        <w:rPr>
          <w:rFonts w:ascii="Times New Roman" w:hAnsi="Times New Roman"/>
          <w:sz w:val="24"/>
        </w:rPr>
        <w:t>such treatment is reasonable.</w:t>
      </w:r>
    </w:p>
    <w:p w:rsidR="007E0073" w:rsidRPr="00007BDA" w:rsidRDefault="007E0073" w:rsidP="007E0073">
      <w:pPr>
        <w:pStyle w:val="BodyText"/>
        <w:numPr>
          <w:ilvl w:val="2"/>
          <w:numId w:val="14"/>
        </w:numPr>
        <w:spacing w:line="360" w:lineRule="auto"/>
        <w:rPr>
          <w:rFonts w:ascii="Times New Roman" w:hAnsi="Times New Roman"/>
          <w:sz w:val="24"/>
        </w:rPr>
      </w:pPr>
      <w:r w:rsidRPr="00007BDA">
        <w:rPr>
          <w:rFonts w:ascii="Times New Roman" w:hAnsi="Times New Roman"/>
          <w:sz w:val="24"/>
        </w:rPr>
        <w:t xml:space="preserve">Identify the amounts of assets for deferred taxes for SDG&amp;E, SoCal, and other Sempra </w:t>
      </w:r>
      <w:r w:rsidRPr="00007BDA">
        <w:rPr>
          <w:rFonts w:ascii="Times New Roman" w:hAnsi="Times New Roman"/>
          <w:sz w:val="24"/>
        </w:rPr>
        <w:t xml:space="preserve">subsidiaries </w:t>
      </w:r>
      <w:r w:rsidRPr="00007BDA">
        <w:rPr>
          <w:rFonts w:ascii="Times New Roman" w:hAnsi="Times New Roman"/>
          <w:sz w:val="24"/>
        </w:rPr>
        <w:t xml:space="preserve">included in the four factor calculation for each </w:t>
      </w:r>
      <w:r w:rsidRPr="00007BDA">
        <w:rPr>
          <w:rFonts w:ascii="Times New Roman" w:hAnsi="Times New Roman"/>
          <w:sz w:val="24"/>
        </w:rPr>
        <w:t>year</w:t>
      </w:r>
      <w:r w:rsidRPr="00007BDA">
        <w:rPr>
          <w:rFonts w:ascii="Times New Roman" w:hAnsi="Times New Roman"/>
          <w:sz w:val="24"/>
        </w:rPr>
        <w:t xml:space="preserve"> from</w:t>
      </w:r>
      <w:r w:rsidRPr="00007BDA">
        <w:rPr>
          <w:rFonts w:ascii="Times New Roman" w:hAnsi="Times New Roman"/>
          <w:sz w:val="24"/>
        </w:rPr>
        <w:t xml:space="preserve"> 2009-2013.</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 xml:space="preserve">Is the regulatory asset for </w:t>
      </w:r>
      <w:r w:rsidRPr="00007BDA">
        <w:rPr>
          <w:rFonts w:ascii="Times New Roman" w:hAnsi="Times New Roman"/>
          <w:sz w:val="24"/>
        </w:rPr>
        <w:t xml:space="preserve">SDG&amp;E’s </w:t>
      </w:r>
      <w:r w:rsidRPr="00007BDA">
        <w:rPr>
          <w:rFonts w:ascii="Times New Roman" w:hAnsi="Times New Roman"/>
          <w:sz w:val="24"/>
        </w:rPr>
        <w:t>wildfire litigation costs included in the four-factor method?  If so, please explain why it is included, given that it is offset by expected future claims. (See Sempra Energy 2013 10-K, page 50)</w:t>
      </w:r>
      <w:r w:rsidRPr="00007BDA">
        <w:rPr>
          <w:rFonts w:ascii="Times New Roman" w:hAnsi="Times New Roman"/>
          <w:sz w:val="24"/>
        </w:rPr>
        <w:t>.</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 xml:space="preserve">Please explain why </w:t>
      </w:r>
      <w:r w:rsidRPr="00007BDA">
        <w:rPr>
          <w:rFonts w:ascii="Times New Roman" w:hAnsi="Times New Roman"/>
          <w:sz w:val="24"/>
        </w:rPr>
        <w:t xml:space="preserve">the </w:t>
      </w:r>
      <w:r w:rsidRPr="00007BDA">
        <w:rPr>
          <w:rFonts w:ascii="Times New Roman" w:hAnsi="Times New Roman"/>
          <w:sz w:val="24"/>
        </w:rPr>
        <w:t xml:space="preserve">Sempra </w:t>
      </w:r>
      <w:r w:rsidRPr="00007BDA">
        <w:rPr>
          <w:rFonts w:ascii="Times New Roman" w:hAnsi="Times New Roman"/>
          <w:sz w:val="24"/>
        </w:rPr>
        <w:t xml:space="preserve">Utilities </w:t>
      </w:r>
      <w:r w:rsidRPr="00007BDA">
        <w:rPr>
          <w:rFonts w:ascii="Times New Roman" w:hAnsi="Times New Roman"/>
          <w:sz w:val="24"/>
        </w:rPr>
        <w:t>use gross plant rather than net plant in the definition of assets</w:t>
      </w:r>
      <w:r w:rsidRPr="00007BDA">
        <w:rPr>
          <w:rFonts w:ascii="Times New Roman" w:hAnsi="Times New Roman"/>
          <w:sz w:val="24"/>
        </w:rPr>
        <w:t xml:space="preserve"> in the four-factor method</w:t>
      </w:r>
      <w:r w:rsidRPr="00007BDA">
        <w:rPr>
          <w:rFonts w:ascii="Times New Roman" w:hAnsi="Times New Roman"/>
          <w:sz w:val="24"/>
        </w:rPr>
        <w:t>.</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Is construction work in progress</w:t>
      </w:r>
      <w:r w:rsidRPr="00007BDA">
        <w:rPr>
          <w:rFonts w:ascii="Times New Roman" w:hAnsi="Times New Roman"/>
          <w:sz w:val="24"/>
        </w:rPr>
        <w:t xml:space="preserve"> (CWIP)</w:t>
      </w:r>
      <w:r w:rsidRPr="00007BDA">
        <w:rPr>
          <w:rFonts w:ascii="Times New Roman" w:hAnsi="Times New Roman"/>
          <w:sz w:val="24"/>
        </w:rPr>
        <w:t xml:space="preserve"> included in the definition of assets</w:t>
      </w:r>
      <w:r w:rsidRPr="00007BDA">
        <w:rPr>
          <w:rFonts w:ascii="Times New Roman" w:hAnsi="Times New Roman"/>
          <w:sz w:val="24"/>
        </w:rPr>
        <w:t xml:space="preserve"> in the four-factor method</w:t>
      </w:r>
      <w:r w:rsidRPr="00007BDA">
        <w:rPr>
          <w:rFonts w:ascii="Times New Roman" w:hAnsi="Times New Roman"/>
          <w:sz w:val="24"/>
        </w:rPr>
        <w:t xml:space="preserve"> for (a) SDG&amp;E and SoCal Gas; (b) other Sempra</w:t>
      </w:r>
      <w:r w:rsidRPr="00007BDA">
        <w:rPr>
          <w:rFonts w:ascii="Times New Roman" w:hAnsi="Times New Roman"/>
          <w:sz w:val="24"/>
        </w:rPr>
        <w:t xml:space="preserve">-owned </w:t>
      </w:r>
      <w:r w:rsidRPr="00007BDA">
        <w:rPr>
          <w:rFonts w:ascii="Times New Roman" w:hAnsi="Times New Roman"/>
          <w:sz w:val="24"/>
        </w:rPr>
        <w:t>regulated utilities in the U.S.; (c) other Sempra</w:t>
      </w:r>
      <w:r w:rsidRPr="00007BDA">
        <w:rPr>
          <w:rFonts w:ascii="Times New Roman" w:hAnsi="Times New Roman"/>
          <w:sz w:val="24"/>
        </w:rPr>
        <w:t xml:space="preserve">-owned </w:t>
      </w:r>
      <w:r w:rsidRPr="00007BDA">
        <w:rPr>
          <w:rFonts w:ascii="Times New Roman" w:hAnsi="Times New Roman"/>
          <w:sz w:val="24"/>
        </w:rPr>
        <w:t xml:space="preserve">regulated utilities </w:t>
      </w:r>
      <w:r w:rsidRPr="00007BDA">
        <w:rPr>
          <w:rFonts w:ascii="Times New Roman" w:hAnsi="Times New Roman"/>
          <w:sz w:val="24"/>
        </w:rPr>
        <w:t>outside the U.S.</w:t>
      </w:r>
      <w:r w:rsidRPr="00007BDA">
        <w:rPr>
          <w:rFonts w:ascii="Times New Roman" w:hAnsi="Times New Roman"/>
          <w:sz w:val="24"/>
        </w:rPr>
        <w:t>; (d) Sempra</w:t>
      </w:r>
      <w:r w:rsidRPr="00007BDA">
        <w:rPr>
          <w:rFonts w:ascii="Times New Roman" w:hAnsi="Times New Roman"/>
          <w:sz w:val="24"/>
        </w:rPr>
        <w:t>-owned</w:t>
      </w:r>
      <w:r w:rsidRPr="00007BDA">
        <w:rPr>
          <w:rFonts w:ascii="Times New Roman" w:hAnsi="Times New Roman"/>
          <w:sz w:val="24"/>
        </w:rPr>
        <w:t xml:space="preserve"> non-regulated companies.  If the treatment of CWIP </w:t>
      </w:r>
      <w:r w:rsidRPr="00007BDA">
        <w:rPr>
          <w:rFonts w:ascii="Times New Roman" w:hAnsi="Times New Roman"/>
          <w:sz w:val="24"/>
        </w:rPr>
        <w:t xml:space="preserve">in the asset component of the four-factor method </w:t>
      </w:r>
      <w:r w:rsidRPr="00007BDA">
        <w:rPr>
          <w:rFonts w:ascii="Times New Roman" w:hAnsi="Times New Roman"/>
          <w:sz w:val="24"/>
        </w:rPr>
        <w:t xml:space="preserve">is inconsistent among these four groups of companies, please explain why such treatment is reasonable. </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confirm that</w:t>
      </w:r>
      <w:r w:rsidRPr="00007BDA">
        <w:rPr>
          <w:rFonts w:ascii="Times New Roman" w:hAnsi="Times New Roman"/>
          <w:sz w:val="24"/>
        </w:rPr>
        <w:t xml:space="preserve"> 1)</w:t>
      </w:r>
      <w:r w:rsidRPr="00007BDA">
        <w:rPr>
          <w:rFonts w:ascii="Times New Roman" w:hAnsi="Times New Roman"/>
          <w:sz w:val="24"/>
        </w:rPr>
        <w:t xml:space="preserve"> SDG&amp;E and SoCal include franchise fees in the calculation of O&amp;M expenses </w:t>
      </w:r>
      <w:r w:rsidRPr="00007BDA">
        <w:rPr>
          <w:rFonts w:ascii="Times New Roman" w:hAnsi="Times New Roman"/>
          <w:sz w:val="24"/>
        </w:rPr>
        <w:t xml:space="preserve">under </w:t>
      </w:r>
      <w:r w:rsidRPr="00007BDA">
        <w:rPr>
          <w:rFonts w:ascii="Times New Roman" w:hAnsi="Times New Roman"/>
          <w:sz w:val="24"/>
        </w:rPr>
        <w:t>the four-factor method</w:t>
      </w:r>
      <w:r w:rsidRPr="00007BDA">
        <w:rPr>
          <w:rFonts w:ascii="Times New Roman" w:hAnsi="Times New Roman"/>
          <w:sz w:val="24"/>
        </w:rPr>
        <w:t xml:space="preserve">; and 2) </w:t>
      </w:r>
      <w:r w:rsidRPr="00007BDA">
        <w:rPr>
          <w:rFonts w:ascii="Times New Roman" w:hAnsi="Times New Roman"/>
          <w:sz w:val="24"/>
        </w:rPr>
        <w:t>SDG&amp;E and SoCal would not include those costs if they were a utility users’ excise tax calculated by each community on the basis of revenues</w:t>
      </w:r>
      <w:r w:rsidRPr="00007BDA">
        <w:rPr>
          <w:rFonts w:ascii="Times New Roman" w:hAnsi="Times New Roman"/>
          <w:sz w:val="24"/>
        </w:rPr>
        <w:t xml:space="preserve">.  Please further explain why SDG&amp;E and SoCalGas believe their proposed treatment of franchise fees </w:t>
      </w:r>
      <w:r w:rsidRPr="00007BDA">
        <w:rPr>
          <w:rFonts w:ascii="Times New Roman" w:hAnsi="Times New Roman"/>
          <w:sz w:val="24"/>
        </w:rPr>
        <w:t>is reasonable.</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If not otherwise provided in response to other questions, please provide the source data for number of employees used in the calculations for the utilities and for Sempra for the four-factor allocations used in 2006-2015.</w:t>
      </w:r>
    </w:p>
    <w:p w:rsidR="007E0073" w:rsidRPr="00007BDA" w:rsidRDefault="007E0073" w:rsidP="007E0073">
      <w:pPr>
        <w:pStyle w:val="ListParagraph"/>
        <w:numPr>
          <w:ilvl w:val="0"/>
          <w:numId w:val="14"/>
        </w:numPr>
        <w:autoSpaceDE w:val="0"/>
        <w:autoSpaceDN w:val="0"/>
        <w:adjustRightInd w:val="0"/>
        <w:spacing w:line="360" w:lineRule="auto"/>
        <w:rPr>
          <w:rFonts w:ascii="Times New Roman" w:hAnsi="Times New Roman"/>
          <w:sz w:val="24"/>
          <w:szCs w:val="22"/>
        </w:rPr>
      </w:pPr>
      <w:r w:rsidRPr="00007BDA">
        <w:rPr>
          <w:rFonts w:ascii="Times New Roman" w:hAnsi="Times New Roman"/>
          <w:sz w:val="24"/>
          <w:szCs w:val="22"/>
        </w:rPr>
        <w:t>Exhibit SCG-19, page PRW-6, lines 29-30 states:  “</w:t>
      </w:r>
      <w:r w:rsidRPr="00007BDA">
        <w:rPr>
          <w:rFonts w:ascii="Times New Roman" w:hAnsi="Times New Roman" w:cs="TimesNewRomanPSMT"/>
          <w:sz w:val="24"/>
          <w:szCs w:val="22"/>
        </w:rPr>
        <w:t>To arrive at the forecasted rates for 2016, historical factors from 2011-2013 were projected using a statistical trend forecasting method.”</w:t>
      </w:r>
    </w:p>
    <w:p w:rsidR="007E0073" w:rsidRPr="00007BDA" w:rsidRDefault="007E0073" w:rsidP="007E0073">
      <w:pPr>
        <w:pStyle w:val="ListParagraph"/>
        <w:numPr>
          <w:ilvl w:val="1"/>
          <w:numId w:val="14"/>
        </w:numPr>
        <w:autoSpaceDE w:val="0"/>
        <w:autoSpaceDN w:val="0"/>
        <w:adjustRightInd w:val="0"/>
        <w:spacing w:line="360" w:lineRule="auto"/>
        <w:rPr>
          <w:rFonts w:ascii="Times New Roman" w:hAnsi="Times New Roman"/>
          <w:sz w:val="24"/>
        </w:rPr>
      </w:pPr>
      <w:r w:rsidRPr="00007BDA">
        <w:rPr>
          <w:rFonts w:ascii="Times New Roman" w:hAnsi="Times New Roman"/>
          <w:sz w:val="24"/>
        </w:rPr>
        <w:t xml:space="preserve">Please provide all trend analysis conducted by </w:t>
      </w:r>
      <w:r w:rsidRPr="00007BDA">
        <w:rPr>
          <w:rFonts w:ascii="Times New Roman" w:hAnsi="Times New Roman"/>
          <w:sz w:val="24"/>
        </w:rPr>
        <w:t xml:space="preserve">the </w:t>
      </w:r>
      <w:r w:rsidRPr="00007BDA">
        <w:rPr>
          <w:rFonts w:ascii="Times New Roman" w:hAnsi="Times New Roman"/>
          <w:sz w:val="24"/>
        </w:rPr>
        <w:t>Sempra</w:t>
      </w:r>
      <w:r w:rsidRPr="00007BDA">
        <w:rPr>
          <w:rFonts w:ascii="Times New Roman" w:hAnsi="Times New Roman"/>
          <w:sz w:val="24"/>
        </w:rPr>
        <w:t xml:space="preserve"> Utilities</w:t>
      </w:r>
      <w:r w:rsidRPr="00007BDA">
        <w:rPr>
          <w:rFonts w:ascii="Times New Roman" w:hAnsi="Times New Roman"/>
          <w:sz w:val="24"/>
        </w:rPr>
        <w:t>, including equations, tests of statistical significance</w:t>
      </w:r>
      <w:r w:rsidRPr="00007BDA">
        <w:rPr>
          <w:rFonts w:ascii="Times New Roman" w:hAnsi="Times New Roman"/>
          <w:sz w:val="24"/>
        </w:rPr>
        <w:t xml:space="preserve"> of coefficients</w:t>
      </w:r>
      <w:r w:rsidRPr="00007BDA">
        <w:rPr>
          <w:rFonts w:ascii="Times New Roman" w:hAnsi="Times New Roman"/>
          <w:sz w:val="24"/>
        </w:rPr>
        <w:t>, r-squared</w:t>
      </w:r>
      <w:r w:rsidRPr="00007BDA">
        <w:rPr>
          <w:rFonts w:ascii="Times New Roman" w:hAnsi="Times New Roman"/>
          <w:sz w:val="24"/>
        </w:rPr>
        <w:t>, adjusted r-squared values, F-test values, or any other statistical or algebraic analysis</w:t>
      </w:r>
      <w:r w:rsidRPr="00007BDA">
        <w:rPr>
          <w:rFonts w:ascii="Times New Roman" w:hAnsi="Times New Roman"/>
          <w:sz w:val="24"/>
        </w:rPr>
        <w:t>, used to calculate the 2015 and 2016 forecasts,</w:t>
      </w:r>
      <w:r w:rsidRPr="00007BDA">
        <w:rPr>
          <w:rFonts w:ascii="Times New Roman" w:hAnsi="Times New Roman"/>
          <w:sz w:val="24"/>
        </w:rPr>
        <w:t>.</w:t>
      </w:r>
    </w:p>
    <w:p w:rsidR="007E0073" w:rsidRPr="00007BDA" w:rsidRDefault="007E0073" w:rsidP="007E0073">
      <w:pPr>
        <w:pStyle w:val="ListParagraph"/>
        <w:numPr>
          <w:ilvl w:val="1"/>
          <w:numId w:val="14"/>
        </w:numPr>
        <w:autoSpaceDE w:val="0"/>
        <w:autoSpaceDN w:val="0"/>
        <w:adjustRightInd w:val="0"/>
        <w:spacing w:line="360" w:lineRule="auto"/>
        <w:rPr>
          <w:rFonts w:ascii="Times New Roman" w:hAnsi="Times New Roman"/>
          <w:sz w:val="24"/>
        </w:rPr>
      </w:pPr>
      <w:r w:rsidRPr="00007BDA">
        <w:rPr>
          <w:rFonts w:ascii="Times New Roman" w:hAnsi="Times New Roman"/>
          <w:sz w:val="24"/>
        </w:rPr>
        <w:t xml:space="preserve">Please explain why </w:t>
      </w:r>
      <w:r w:rsidRPr="00007BDA">
        <w:rPr>
          <w:rFonts w:ascii="Times New Roman" w:hAnsi="Times New Roman"/>
          <w:sz w:val="24"/>
        </w:rPr>
        <w:t xml:space="preserve">the </w:t>
      </w:r>
      <w:r w:rsidRPr="00007BDA">
        <w:rPr>
          <w:rFonts w:ascii="Times New Roman" w:hAnsi="Times New Roman"/>
          <w:sz w:val="24"/>
        </w:rPr>
        <w:t xml:space="preserve">Sempra </w:t>
      </w:r>
      <w:r w:rsidRPr="00007BDA">
        <w:rPr>
          <w:rFonts w:ascii="Times New Roman" w:hAnsi="Times New Roman"/>
          <w:sz w:val="24"/>
        </w:rPr>
        <w:t xml:space="preserve">Utilities </w:t>
      </w:r>
      <w:r w:rsidRPr="00007BDA">
        <w:rPr>
          <w:rFonts w:ascii="Times New Roman" w:hAnsi="Times New Roman"/>
          <w:sz w:val="24"/>
        </w:rPr>
        <w:t>believe that it is possible to obtain a valid statistical trend using only three years of data.  Reference all statistics textbooks, manuals, academic treatises, and other documents used to reach the conclusion that a trend can reasonably be forecast using three data points.</w:t>
      </w:r>
    </w:p>
    <w:p w:rsidR="007E0073" w:rsidRPr="00007BDA" w:rsidRDefault="007E0073" w:rsidP="007E0073">
      <w:pPr>
        <w:pStyle w:val="BodyText"/>
        <w:numPr>
          <w:ilvl w:val="1"/>
          <w:numId w:val="14"/>
        </w:numPr>
        <w:spacing w:line="360" w:lineRule="auto"/>
        <w:rPr>
          <w:rFonts w:ascii="Times New Roman" w:hAnsi="Times New Roman"/>
          <w:sz w:val="24"/>
        </w:rPr>
      </w:pPr>
      <w:r w:rsidRPr="00007BDA">
        <w:rPr>
          <w:rFonts w:ascii="Times New Roman" w:hAnsi="Times New Roman"/>
          <w:sz w:val="24"/>
        </w:rPr>
        <w:t xml:space="preserve">Do the revenue calculations for 2013 </w:t>
      </w:r>
      <w:r w:rsidRPr="00007BDA">
        <w:rPr>
          <w:rFonts w:ascii="Times New Roman" w:hAnsi="Times New Roman"/>
          <w:sz w:val="24"/>
        </w:rPr>
        <w:t xml:space="preserve">for purposes of the four-factor allocation </w:t>
      </w:r>
      <w:r w:rsidRPr="00007BDA">
        <w:rPr>
          <w:rFonts w:ascii="Times New Roman" w:hAnsi="Times New Roman"/>
          <w:sz w:val="24"/>
        </w:rPr>
        <w:t>include the deferred revenues to be received due to the retroactive application in 2013 of the 2012 GRC decision for the year 2012 (2013 10-K, p. 19 (electric revenues), p. 21 (SDG&amp;E gas revenues), and p. 22 (SoCal Gas gas revenues)</w:t>
      </w:r>
      <w:r w:rsidRPr="00007BDA">
        <w:rPr>
          <w:rFonts w:ascii="Times New Roman" w:hAnsi="Times New Roman"/>
          <w:sz w:val="24"/>
        </w:rPr>
        <w:t>)</w:t>
      </w:r>
      <w:r w:rsidRPr="00007BDA">
        <w:rPr>
          <w:rFonts w:ascii="Times New Roman" w:hAnsi="Times New Roman"/>
          <w:sz w:val="24"/>
        </w:rPr>
        <w:t xml:space="preserve">.  If so, please calculate how the assignment of those deferred revenues to 2012 instead of 2013 (i.e., the result had the rate case been completed before the end of 2012) </w:t>
      </w:r>
      <w:r w:rsidRPr="00007BDA">
        <w:rPr>
          <w:rFonts w:ascii="Times New Roman" w:hAnsi="Times New Roman"/>
          <w:sz w:val="24"/>
        </w:rPr>
        <w:t xml:space="preserve">would </w:t>
      </w:r>
      <w:r w:rsidRPr="00007BDA">
        <w:rPr>
          <w:rFonts w:ascii="Times New Roman" w:hAnsi="Times New Roman"/>
          <w:sz w:val="24"/>
        </w:rPr>
        <w:t>change the “statistical trend forecasting method” used in this case to calculate the 2016 result and provide workpapers supporting the calculations.</w:t>
      </w:r>
    </w:p>
    <w:p w:rsidR="007E0073" w:rsidRPr="00007BDA" w:rsidRDefault="007E0073" w:rsidP="007E0073">
      <w:pPr>
        <w:pStyle w:val="ListParagraph"/>
        <w:numPr>
          <w:ilvl w:val="0"/>
          <w:numId w:val="14"/>
        </w:numPr>
        <w:tabs>
          <w:tab w:val="center" w:pos="4320"/>
        </w:tabs>
        <w:autoSpaceDE w:val="0"/>
        <w:autoSpaceDN w:val="0"/>
        <w:adjustRightInd w:val="0"/>
        <w:spacing w:line="360" w:lineRule="auto"/>
        <w:rPr>
          <w:rFonts w:ascii="Times New Roman" w:hAnsi="Times New Roman"/>
          <w:sz w:val="24"/>
        </w:rPr>
      </w:pPr>
      <w:r w:rsidRPr="00007BDA">
        <w:rPr>
          <w:rFonts w:ascii="Times New Roman" w:hAnsi="Times New Roman"/>
          <w:sz w:val="24"/>
        </w:rPr>
        <w:t>Regarding the graph on SCG-19, page PRW-7 and Workpaper 419.</w:t>
      </w:r>
      <w:r w:rsidRPr="00007BDA">
        <w:rPr>
          <w:rFonts w:ascii="Times New Roman" w:hAnsi="Times New Roman"/>
          <w:sz w:val="24"/>
        </w:rPr>
        <w:tab/>
      </w:r>
    </w:p>
    <w:p w:rsidR="007E0073" w:rsidRPr="00007BDA" w:rsidRDefault="007E0073" w:rsidP="007E0073">
      <w:pPr>
        <w:pStyle w:val="ListParagraph"/>
        <w:numPr>
          <w:ilvl w:val="1"/>
          <w:numId w:val="14"/>
        </w:numPr>
        <w:autoSpaceDE w:val="0"/>
        <w:autoSpaceDN w:val="0"/>
        <w:adjustRightInd w:val="0"/>
        <w:spacing w:line="360" w:lineRule="auto"/>
        <w:rPr>
          <w:rFonts w:ascii="Times New Roman" w:hAnsi="Times New Roman"/>
          <w:sz w:val="24"/>
        </w:rPr>
      </w:pPr>
      <w:r w:rsidRPr="00007BDA">
        <w:rPr>
          <w:rFonts w:ascii="Times New Roman" w:hAnsi="Times New Roman"/>
          <w:sz w:val="24"/>
        </w:rPr>
        <w:t>Please reproduce the graph and table, adding data points from 2009-2011 to the graph</w:t>
      </w:r>
      <w:r w:rsidRPr="00007BDA">
        <w:rPr>
          <w:rFonts w:ascii="Times New Roman" w:hAnsi="Times New Roman"/>
          <w:sz w:val="24"/>
        </w:rPr>
        <w:t xml:space="preserve"> and table</w:t>
      </w:r>
      <w:r w:rsidRPr="00007BDA">
        <w:rPr>
          <w:rFonts w:ascii="Times New Roman" w:hAnsi="Times New Roman"/>
          <w:sz w:val="24"/>
        </w:rPr>
        <w:t>.</w:t>
      </w:r>
    </w:p>
    <w:p w:rsidR="007E0073" w:rsidRPr="00007BDA" w:rsidRDefault="007E0073" w:rsidP="007E0073">
      <w:pPr>
        <w:pStyle w:val="ListParagraph"/>
        <w:numPr>
          <w:ilvl w:val="1"/>
          <w:numId w:val="14"/>
        </w:numPr>
        <w:autoSpaceDE w:val="0"/>
        <w:autoSpaceDN w:val="0"/>
        <w:adjustRightInd w:val="0"/>
        <w:spacing w:line="360" w:lineRule="auto"/>
        <w:rPr>
          <w:rFonts w:ascii="Times New Roman" w:hAnsi="Times New Roman"/>
          <w:sz w:val="24"/>
        </w:rPr>
      </w:pPr>
      <w:r w:rsidRPr="00007BDA">
        <w:rPr>
          <w:rFonts w:ascii="Times New Roman" w:hAnsi="Times New Roman"/>
          <w:sz w:val="24"/>
        </w:rPr>
        <w:t>Please provide a narrative explaining</w:t>
      </w:r>
      <w:r w:rsidRPr="00007BDA">
        <w:rPr>
          <w:rFonts w:ascii="Times New Roman" w:hAnsi="Times New Roman"/>
          <w:sz w:val="24"/>
        </w:rPr>
        <w:t xml:space="preserve"> in detail </w:t>
      </w:r>
      <w:r w:rsidRPr="00007BDA">
        <w:rPr>
          <w:rFonts w:ascii="Times New Roman" w:hAnsi="Times New Roman"/>
          <w:sz w:val="24"/>
        </w:rPr>
        <w:t xml:space="preserve">why Global Multifactor costs declined from </w:t>
      </w:r>
      <w:r w:rsidRPr="00007BDA">
        <w:rPr>
          <w:rFonts w:ascii="Times New Roman" w:hAnsi="Times New Roman"/>
          <w:sz w:val="24"/>
        </w:rPr>
        <w:t>2011 to 2012</w:t>
      </w:r>
      <w:r w:rsidRPr="00007BDA">
        <w:rPr>
          <w:rFonts w:ascii="Times New Roman" w:hAnsi="Times New Roman"/>
          <w:sz w:val="24"/>
        </w:rPr>
        <w:t xml:space="preserve">.  </w:t>
      </w:r>
    </w:p>
    <w:p w:rsidR="007E0073" w:rsidRPr="00007BDA" w:rsidRDefault="007E0073" w:rsidP="007E0073">
      <w:pPr>
        <w:pStyle w:val="ListParagraph"/>
        <w:numPr>
          <w:ilvl w:val="1"/>
          <w:numId w:val="14"/>
        </w:numPr>
        <w:autoSpaceDE w:val="0"/>
        <w:autoSpaceDN w:val="0"/>
        <w:adjustRightInd w:val="0"/>
        <w:spacing w:line="360" w:lineRule="auto"/>
        <w:rPr>
          <w:rFonts w:ascii="Times New Roman" w:hAnsi="Times New Roman"/>
          <w:sz w:val="24"/>
        </w:rPr>
      </w:pPr>
      <w:r w:rsidRPr="00007BDA">
        <w:rPr>
          <w:rFonts w:ascii="Times New Roman" w:hAnsi="Times New Roman"/>
          <w:sz w:val="24"/>
        </w:rPr>
        <w:t>Please provide a narrative explaining why Global Multifactor costs were approximately constant from 201</w:t>
      </w:r>
      <w:r w:rsidRPr="00007BDA">
        <w:rPr>
          <w:rFonts w:ascii="Times New Roman" w:hAnsi="Times New Roman"/>
          <w:sz w:val="24"/>
        </w:rPr>
        <w:t>2</w:t>
      </w:r>
      <w:r w:rsidRPr="00007BDA">
        <w:rPr>
          <w:rFonts w:ascii="Times New Roman" w:hAnsi="Times New Roman"/>
          <w:sz w:val="24"/>
        </w:rPr>
        <w:t xml:space="preserve"> to 201</w:t>
      </w:r>
      <w:r w:rsidRPr="00007BDA">
        <w:rPr>
          <w:rFonts w:ascii="Times New Roman" w:hAnsi="Times New Roman"/>
          <w:sz w:val="24"/>
        </w:rPr>
        <w:t>3</w:t>
      </w:r>
      <w:r w:rsidRPr="00007BDA">
        <w:rPr>
          <w:rFonts w:ascii="Times New Roman" w:hAnsi="Times New Roman"/>
          <w:sz w:val="24"/>
        </w:rPr>
        <w:t>.</w:t>
      </w:r>
      <w:r w:rsidRPr="00007BDA">
        <w:rPr>
          <w:rFonts w:ascii="Times New Roman" w:hAnsi="Times New Roman"/>
          <w:sz w:val="24"/>
        </w:rPr>
        <w:t xml:space="preserve">  </w:t>
      </w:r>
      <w:r w:rsidRPr="00007BDA">
        <w:rPr>
          <w:rFonts w:ascii="Times New Roman" w:hAnsi="Times New Roman"/>
          <w:sz w:val="24"/>
        </w:rPr>
        <w:t xml:space="preserve">  </w:t>
      </w:r>
    </w:p>
    <w:p w:rsidR="007E0073" w:rsidRPr="00007BDA" w:rsidRDefault="007E0073" w:rsidP="007E0073">
      <w:pPr>
        <w:pStyle w:val="ListParagraph"/>
        <w:numPr>
          <w:ilvl w:val="1"/>
          <w:numId w:val="14"/>
        </w:numPr>
        <w:autoSpaceDE w:val="0"/>
        <w:autoSpaceDN w:val="0"/>
        <w:adjustRightInd w:val="0"/>
        <w:spacing w:line="360" w:lineRule="auto"/>
        <w:rPr>
          <w:rFonts w:ascii="Times New Roman" w:hAnsi="Times New Roman"/>
          <w:sz w:val="24"/>
        </w:rPr>
      </w:pPr>
      <w:r w:rsidRPr="00007BDA">
        <w:rPr>
          <w:rFonts w:ascii="Times New Roman" w:hAnsi="Times New Roman"/>
          <w:sz w:val="24"/>
        </w:rPr>
        <w:t xml:space="preserve">Please explain why the number of Unregulated </w:t>
      </w:r>
      <w:r w:rsidRPr="00007BDA">
        <w:rPr>
          <w:rFonts w:ascii="Times New Roman" w:hAnsi="Times New Roman"/>
          <w:sz w:val="24"/>
        </w:rPr>
        <w:t xml:space="preserve">FTEs </w:t>
      </w:r>
      <w:r w:rsidRPr="00007BDA">
        <w:rPr>
          <w:rFonts w:ascii="Times New Roman" w:hAnsi="Times New Roman"/>
          <w:sz w:val="24"/>
        </w:rPr>
        <w:t>declined by 1000 from 2011 to 2012</w:t>
      </w:r>
      <w:r w:rsidRPr="00007BDA">
        <w:rPr>
          <w:rFonts w:ascii="Times New Roman" w:hAnsi="Times New Roman"/>
          <w:sz w:val="24"/>
        </w:rPr>
        <w:t>, as indicated at page 419 of the workpapers</w:t>
      </w:r>
      <w:r w:rsidRPr="00007BDA">
        <w:rPr>
          <w:rFonts w:ascii="Times New Roman" w:hAnsi="Times New Roman"/>
          <w:sz w:val="24"/>
        </w:rPr>
        <w:t xml:space="preserve">.  </w:t>
      </w:r>
      <w:r w:rsidRPr="00007BDA">
        <w:rPr>
          <w:rFonts w:ascii="Times New Roman" w:hAnsi="Times New Roman"/>
          <w:sz w:val="24"/>
        </w:rPr>
        <w:t xml:space="preserve">Do the Sempra Utilities contend that it is reasonable to expect </w:t>
      </w:r>
      <w:r w:rsidRPr="00007BDA">
        <w:rPr>
          <w:rFonts w:ascii="Times New Roman" w:hAnsi="Times New Roman"/>
          <w:sz w:val="24"/>
        </w:rPr>
        <w:t>such a decline</w:t>
      </w:r>
      <w:r w:rsidRPr="00007BDA">
        <w:rPr>
          <w:rFonts w:ascii="Times New Roman" w:hAnsi="Times New Roman"/>
          <w:sz w:val="24"/>
        </w:rPr>
        <w:t xml:space="preserve"> </w:t>
      </w:r>
      <w:r w:rsidRPr="00007BDA">
        <w:rPr>
          <w:rFonts w:ascii="Times New Roman" w:hAnsi="Times New Roman"/>
          <w:sz w:val="24"/>
        </w:rPr>
        <w:t>to occur again in the 2014-2015 period?</w:t>
      </w:r>
      <w:r w:rsidRPr="00007BDA">
        <w:rPr>
          <w:rFonts w:ascii="Times New Roman" w:hAnsi="Times New Roman"/>
          <w:sz w:val="24"/>
        </w:rPr>
        <w:t xml:space="preserve">  Please explain the response in detail.   </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 xml:space="preserve">Please provide calculations on how each of the four factors changed between 2011 and 2012 due to the sale of the El Dorado/Desert Star plant from an unregulated Sempra affiliate to SDG&amp;E. </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provide calculations on how each of the four factors changed in 201</w:t>
      </w:r>
      <w:r w:rsidRPr="00007BDA">
        <w:rPr>
          <w:rFonts w:ascii="Times New Roman" w:hAnsi="Times New Roman"/>
          <w:sz w:val="24"/>
        </w:rPr>
        <w:t>3</w:t>
      </w:r>
      <w:r w:rsidRPr="00007BDA">
        <w:rPr>
          <w:rFonts w:ascii="Times New Roman" w:hAnsi="Times New Roman"/>
          <w:sz w:val="24"/>
        </w:rPr>
        <w:t xml:space="preserve"> due to the sale of</w:t>
      </w:r>
      <w:r w:rsidRPr="00007BDA">
        <w:rPr>
          <w:rFonts w:ascii="Times New Roman" w:hAnsi="Times New Roman"/>
          <w:sz w:val="24"/>
        </w:rPr>
        <w:t xml:space="preserve"> a 625 MW portion of t</w:t>
      </w:r>
      <w:r w:rsidRPr="00007BDA">
        <w:rPr>
          <w:rFonts w:ascii="Times New Roman" w:hAnsi="Times New Roman"/>
          <w:sz w:val="24"/>
        </w:rPr>
        <w:t>he Mesquite Power plant from an unregulated Sempra affiliate to Salt River Project.</w:t>
      </w:r>
      <w:r w:rsidRPr="00007BDA">
        <w:rPr>
          <w:rFonts w:ascii="Times New Roman" w:hAnsi="Times New Roman"/>
          <w:sz w:val="24"/>
        </w:rPr>
        <w:t xml:space="preserve">  </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identify all power plants that Sempra Global is planning to sell to SDG&amp;E in 2015-2016.</w:t>
      </w:r>
      <w:r w:rsidRPr="00007BDA">
        <w:rPr>
          <w:rFonts w:ascii="Times New Roman" w:hAnsi="Times New Roman"/>
          <w:sz w:val="24"/>
        </w:rPr>
        <w:t xml:space="preserve">  Please also identify all power plants for which Sempra Global and SDG&amp;E are in discussions regarding a purchase by SDG&amp;E in 2015-16.</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provide quantitative information as to how the closure and retirement of SONGS has affected SDG&amp;E’s revenue, assets, operating expenses, and employees</w:t>
      </w:r>
      <w:r w:rsidRPr="00007BDA">
        <w:rPr>
          <w:rFonts w:ascii="Times New Roman" w:hAnsi="Times New Roman"/>
          <w:sz w:val="24"/>
        </w:rPr>
        <w:t xml:space="preserve"> as experienced in 2012-2014.</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 xml:space="preserve">Please explain </w:t>
      </w:r>
      <w:r w:rsidRPr="00007BDA">
        <w:rPr>
          <w:rFonts w:ascii="Times New Roman" w:hAnsi="Times New Roman"/>
          <w:sz w:val="24"/>
        </w:rPr>
        <w:t xml:space="preserve">in detail </w:t>
      </w:r>
      <w:r w:rsidRPr="00007BDA">
        <w:rPr>
          <w:rFonts w:ascii="Times New Roman" w:hAnsi="Times New Roman"/>
          <w:sz w:val="24"/>
        </w:rPr>
        <w:t>how assets that Sempra Energy does not control and</w:t>
      </w:r>
      <w:r w:rsidRPr="00007BDA">
        <w:rPr>
          <w:rFonts w:ascii="Times New Roman" w:hAnsi="Times New Roman"/>
          <w:sz w:val="24"/>
        </w:rPr>
        <w:t>, for purposes of its financial statements,</w:t>
      </w:r>
      <w:r w:rsidRPr="00007BDA">
        <w:rPr>
          <w:rFonts w:ascii="Times New Roman" w:hAnsi="Times New Roman"/>
          <w:sz w:val="24"/>
        </w:rPr>
        <w:t xml:space="preserve"> reports using the equity method are treated in the four factor method.</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explain why an investment 50% owned by Sempra</w:t>
      </w:r>
      <w:r w:rsidRPr="00007BDA">
        <w:rPr>
          <w:rFonts w:ascii="Times New Roman" w:hAnsi="Times New Roman"/>
          <w:sz w:val="24"/>
        </w:rPr>
        <w:t xml:space="preserve"> entities designated as “unregulated” on SCG-19, Workpaper 419 </w:t>
      </w:r>
      <w:r w:rsidRPr="00007BDA">
        <w:rPr>
          <w:rFonts w:ascii="Times New Roman" w:hAnsi="Times New Roman"/>
          <w:sz w:val="24"/>
        </w:rPr>
        <w:t xml:space="preserve"> and 50% owned by another party is treated using the equity method in Sempra’s 10-K filings.</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Reference is made to the Sempra Energy press release “Cameron LNG Liquefaction Project Breaks Ground in Louisiana” (</w:t>
      </w:r>
      <w:hyperlink r:id="rId9" w:history="1">
        <w:r w:rsidRPr="00007BDA">
          <w:rPr>
            <w:rStyle w:val="Hyperlink"/>
            <w:rFonts w:ascii="Times New Roman" w:hAnsi="Times New Roman"/>
            <w:sz w:val="24"/>
          </w:rPr>
          <w:t>http://sempra.mediaroom.com/index.php?s=19080&amp;item=136982</w:t>
        </w:r>
      </w:hyperlink>
      <w:r w:rsidRPr="00007BDA">
        <w:rPr>
          <w:rFonts w:ascii="Times New Roman" w:hAnsi="Times New Roman"/>
          <w:sz w:val="24"/>
        </w:rPr>
        <w:t>).  The release states that the project will cost $10 billion.  Please identify the projected CWIP at the end of 2014 and 2015 for this project.</w:t>
      </w:r>
      <w:r w:rsidRPr="00007BDA">
        <w:rPr>
          <w:rFonts w:ascii="Times New Roman" w:hAnsi="Times New Roman"/>
          <w:sz w:val="24"/>
        </w:rPr>
        <w:tab/>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reconcile the 2013 actual FTEs shown on SCG-19, Workpaper 429 with the 2013 actual FTEs shown on SCG-19, Workpaper 419.</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provide the data shown on SCG-19 Workpaper 430 (number of executive FTEs and VP and director FTEs) for SDG&amp;E, SoCal Gas, Global, and Corporate at the end of each year from 2009-2012</w:t>
      </w:r>
      <w:r w:rsidRPr="00007BDA">
        <w:rPr>
          <w:rFonts w:ascii="Times New Roman" w:hAnsi="Times New Roman"/>
          <w:sz w:val="24"/>
        </w:rPr>
        <w:t xml:space="preserve">; as of </w:t>
      </w:r>
      <w:r w:rsidRPr="00007BDA">
        <w:rPr>
          <w:rFonts w:ascii="Times New Roman" w:hAnsi="Times New Roman"/>
          <w:sz w:val="24"/>
        </w:rPr>
        <w:t xml:space="preserve">June 30, 2014; and </w:t>
      </w:r>
      <w:r w:rsidRPr="00007BDA">
        <w:rPr>
          <w:rFonts w:ascii="Times New Roman" w:hAnsi="Times New Roman"/>
          <w:sz w:val="24"/>
        </w:rPr>
        <w:t xml:space="preserve">as of </w:t>
      </w:r>
      <w:r w:rsidRPr="00007BDA">
        <w:rPr>
          <w:rFonts w:ascii="Times New Roman" w:hAnsi="Times New Roman"/>
          <w:sz w:val="24"/>
        </w:rPr>
        <w:t xml:space="preserve">December 31, 2014.  </w:t>
      </w:r>
    </w:p>
    <w:p w:rsidR="007E0073" w:rsidRPr="00007BDA"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Please provide the</w:t>
      </w:r>
      <w:r w:rsidRPr="00007BDA">
        <w:rPr>
          <w:rFonts w:ascii="Times New Roman" w:hAnsi="Times New Roman"/>
          <w:sz w:val="24"/>
        </w:rPr>
        <w:t xml:space="preserve"> amount of</w:t>
      </w:r>
      <w:r w:rsidRPr="00007BDA">
        <w:rPr>
          <w:rFonts w:ascii="Times New Roman" w:hAnsi="Times New Roman"/>
          <w:sz w:val="24"/>
        </w:rPr>
        <w:t xml:space="preserve"> total compensation for executive FTEs and VP and Director FTEs</w:t>
      </w:r>
      <w:r w:rsidRPr="00007BDA">
        <w:rPr>
          <w:rFonts w:ascii="Times New Roman" w:hAnsi="Times New Roman"/>
          <w:sz w:val="24"/>
        </w:rPr>
        <w:t xml:space="preserve"> (excluding benefits)</w:t>
      </w:r>
      <w:r w:rsidRPr="00007BDA">
        <w:rPr>
          <w:rFonts w:ascii="Times New Roman" w:hAnsi="Times New Roman"/>
          <w:sz w:val="24"/>
        </w:rPr>
        <w:t>, divided into base salaries, short-term incentive programs, long-term incentive programs, and one-time severance payments</w:t>
      </w:r>
      <w:r w:rsidRPr="00007BDA">
        <w:rPr>
          <w:rFonts w:ascii="Times New Roman" w:hAnsi="Times New Roman"/>
          <w:sz w:val="24"/>
        </w:rPr>
        <w:t>,</w:t>
      </w:r>
      <w:r w:rsidRPr="00007BDA">
        <w:rPr>
          <w:rFonts w:ascii="Times New Roman" w:hAnsi="Times New Roman"/>
          <w:sz w:val="24"/>
        </w:rPr>
        <w:t xml:space="preserve"> for SDG&amp;E, SoCal Gas, Global, and Corporate for the years 2009-2014.  Provide </w:t>
      </w:r>
      <w:r w:rsidRPr="00007BDA">
        <w:rPr>
          <w:rFonts w:ascii="Times New Roman" w:hAnsi="Times New Roman"/>
          <w:sz w:val="24"/>
        </w:rPr>
        <w:t xml:space="preserve">the amounts stated both </w:t>
      </w:r>
      <w:r w:rsidRPr="00007BDA">
        <w:rPr>
          <w:rFonts w:ascii="Times New Roman" w:hAnsi="Times New Roman"/>
          <w:sz w:val="24"/>
        </w:rPr>
        <w:t>in nominal dollars and real 2012 dollars.</w:t>
      </w:r>
    </w:p>
    <w:p w:rsidR="00F8752E" w:rsidRPr="007E0073" w:rsidRDefault="007E0073" w:rsidP="007E0073">
      <w:pPr>
        <w:pStyle w:val="BodyText"/>
        <w:numPr>
          <w:ilvl w:val="0"/>
          <w:numId w:val="14"/>
        </w:numPr>
        <w:spacing w:line="360" w:lineRule="auto"/>
        <w:rPr>
          <w:rFonts w:ascii="Times New Roman" w:hAnsi="Times New Roman"/>
          <w:sz w:val="24"/>
        </w:rPr>
      </w:pPr>
      <w:r w:rsidRPr="00007BDA">
        <w:rPr>
          <w:rFonts w:ascii="Times New Roman" w:hAnsi="Times New Roman"/>
          <w:sz w:val="24"/>
        </w:rPr>
        <w:t>Are the Sempra Energy Utilities requesting in rates any stock-based compensation or pensions for members of the Sempra Energy Board of Directors?  If so please provide the amounts of each of these types of compensation assigned to SoCal, SDG&amp;E, and remaining Sempra activities.</w:t>
      </w:r>
    </w:p>
    <w:p w:rsidR="006A36A4" w:rsidRPr="00181615" w:rsidRDefault="006A36A4" w:rsidP="00483981">
      <w:pPr>
        <w:pStyle w:val="ListParagraph"/>
        <w:autoSpaceDE w:val="0"/>
        <w:autoSpaceDN w:val="0"/>
        <w:adjustRightInd w:val="0"/>
        <w:spacing w:after="0"/>
        <w:rPr>
          <w:rFonts w:ascii="Times New Roman" w:hAnsi="Times New Roman"/>
          <w:sz w:val="24"/>
        </w:rPr>
      </w:pPr>
    </w:p>
    <w:sectPr w:rsidR="006A36A4" w:rsidRPr="00181615" w:rsidSect="009E20A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D8D" w:rsidRDefault="00313D8D">
      <w:r>
        <w:separator/>
      </w:r>
    </w:p>
  </w:endnote>
  <w:endnote w:type="continuationSeparator" w:id="0">
    <w:p w:rsidR="00313D8D" w:rsidRDefault="00313D8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D8D" w:rsidRDefault="00313D8D">
      <w:r>
        <w:separator/>
      </w:r>
    </w:p>
  </w:footnote>
  <w:footnote w:type="continuationSeparator" w:id="0">
    <w:p w:rsidR="00313D8D" w:rsidRDefault="00313D8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000CD60"/>
    <w:lvl w:ilvl="0">
      <w:start w:val="1"/>
      <w:numFmt w:val="upperRoman"/>
      <w:pStyle w:val="Heading1"/>
      <w:lvlText w:val="%1."/>
      <w:legacy w:legacy="1" w:legacySpace="144" w:legacyIndent="0"/>
      <w:lvlJc w:val="left"/>
      <w:pPr>
        <w:ind w:left="0" w:firstLine="0"/>
      </w:pPr>
    </w:lvl>
    <w:lvl w:ilvl="1">
      <w:start w:val="1"/>
      <w:numFmt w:val="upperLetter"/>
      <w:pStyle w:val="Heading2"/>
      <w:lvlText w:val="%2."/>
      <w:legacy w:legacy="1" w:legacySpace="144" w:legacyIndent="0"/>
      <w:lvlJc w:val="left"/>
      <w:pPr>
        <w:ind w:left="0" w:firstLine="0"/>
      </w:pPr>
    </w:lvl>
    <w:lvl w:ilvl="2">
      <w:start w:val="1"/>
      <w:numFmt w:val="decimal"/>
      <w:pStyle w:val="Heading3"/>
      <w:lvlText w:val="%3."/>
      <w:legacy w:legacy="1" w:legacySpace="144" w:legacyIndent="0"/>
      <w:lvlJc w:val="left"/>
      <w:pPr>
        <w:ind w:left="0" w:firstLine="0"/>
      </w:pPr>
    </w:lvl>
    <w:lvl w:ilvl="3">
      <w:start w:val="1"/>
      <w:numFmt w:val="lowerLetter"/>
      <w:pStyle w:val="Heading4"/>
      <w:lvlText w:val="%4."/>
      <w:legacy w:legacy="1" w:legacySpace="144" w:legacyIndent="0"/>
      <w:lvlJc w:val="left"/>
    </w:lvl>
    <w:lvl w:ilvl="4">
      <w:start w:val="1"/>
      <w:numFmt w:val="lowerRoman"/>
      <w:pStyle w:val="Heading5"/>
      <w:lvlText w:val="%5."/>
      <w:legacy w:legacy="1" w:legacySpace="144" w:legacyIndent="0"/>
      <w:lvlJc w:val="left"/>
    </w:lvl>
    <w:lvl w:ilvl="5">
      <w:start w:val="1"/>
      <w:numFmt w:val="none"/>
      <w:pStyle w:val="Heading6"/>
      <w:lvlText w:val=""/>
      <w:legacy w:legacy="1" w:legacySpace="144" w:legacyIndent="0"/>
      <w:lvlJc w:val="left"/>
      <w:rPr>
        <w:rFonts w:ascii="Symbol" w:hAnsi="Symbol" w:hint="default"/>
      </w:rPr>
    </w:lvl>
    <w:lvl w:ilvl="6">
      <w:start w:val="1"/>
      <w:numFmt w:val="none"/>
      <w:pStyle w:val="Heading7"/>
      <w:lvlText w:val=""/>
      <w:legacy w:legacy="1" w:legacySpace="144" w:legacyIndent="0"/>
      <w:lvlJc w:val="left"/>
      <w:rPr>
        <w:rFonts w:ascii="Symbol" w:hAnsi="Symbol" w:hint="default"/>
      </w:rPr>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127F3AD4"/>
    <w:multiLevelType w:val="hybridMultilevel"/>
    <w:tmpl w:val="4F40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42E8C"/>
    <w:multiLevelType w:val="hybridMultilevel"/>
    <w:tmpl w:val="0BC856B2"/>
    <w:lvl w:ilvl="0" w:tplc="833AD8E0">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4587711"/>
    <w:multiLevelType w:val="hybridMultilevel"/>
    <w:tmpl w:val="8A1862AC"/>
    <w:lvl w:ilvl="0" w:tplc="0409000F">
      <w:start w:val="1"/>
      <w:numFmt w:val="decimal"/>
      <w:lvlText w:val="%1."/>
      <w:lvlJc w:val="left"/>
      <w:pPr>
        <w:ind w:left="720" w:hanging="360"/>
      </w:pPr>
      <w:rPr>
        <w:rFonts w:hint="default"/>
      </w:rPr>
    </w:lvl>
    <w:lvl w:ilvl="1" w:tplc="634610EC">
      <w:start w:val="1"/>
      <w:numFmt w:val="lowerLetter"/>
      <w:lvlText w:val="%2."/>
      <w:lvlJc w:val="left"/>
      <w:pPr>
        <w:ind w:left="1440" w:hanging="360"/>
      </w:pPr>
      <w:rPr>
        <w:rFonts w:ascii="Book Antiqua" w:eastAsia="Times New Roman" w:hAnsi="Book Antiqu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447F2"/>
    <w:multiLevelType w:val="hybridMultilevel"/>
    <w:tmpl w:val="5D784E7E"/>
    <w:lvl w:ilvl="0" w:tplc="C7AE16F0">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86A5A20"/>
    <w:multiLevelType w:val="hybridMultilevel"/>
    <w:tmpl w:val="92A64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num>
  <w:num w:numId="12">
    <w:abstractNumId w:val="5"/>
  </w:num>
  <w:num w:numId="13">
    <w:abstractNumId w:val="4"/>
  </w:num>
  <w:num w:numId="14">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stylePaneFormatFilter w:val="3001"/>
  <w:doNotTrackMoves/>
  <w:defaultTabStop w:val="720"/>
  <w:noPunctuationKerning/>
  <w:characterSpacingControl w:val="doNotCompress"/>
  <w:footnotePr>
    <w:footnote w:id="-1"/>
    <w:footnote w:id="0"/>
  </w:footnotePr>
  <w:endnotePr>
    <w:endnote w:id="-1"/>
    <w:endnote w:id="0"/>
  </w:endnotePr>
  <w:compat/>
  <w:rsids>
    <w:rsidRoot w:val="0070718C"/>
    <w:rsid w:val="00043B50"/>
    <w:rsid w:val="00073935"/>
    <w:rsid w:val="00080E0C"/>
    <w:rsid w:val="00160439"/>
    <w:rsid w:val="00164B5B"/>
    <w:rsid w:val="00174E3C"/>
    <w:rsid w:val="00181615"/>
    <w:rsid w:val="00186BA2"/>
    <w:rsid w:val="00196E47"/>
    <w:rsid w:val="001A1190"/>
    <w:rsid w:val="002141B8"/>
    <w:rsid w:val="002631F8"/>
    <w:rsid w:val="00282F23"/>
    <w:rsid w:val="002C22C7"/>
    <w:rsid w:val="002E3EBA"/>
    <w:rsid w:val="002F24B8"/>
    <w:rsid w:val="00313D8D"/>
    <w:rsid w:val="003144B7"/>
    <w:rsid w:val="00350EA8"/>
    <w:rsid w:val="00375C1B"/>
    <w:rsid w:val="003A2432"/>
    <w:rsid w:val="003A3A30"/>
    <w:rsid w:val="003A4E5C"/>
    <w:rsid w:val="003B1DDB"/>
    <w:rsid w:val="003F722C"/>
    <w:rsid w:val="0044635A"/>
    <w:rsid w:val="0047073F"/>
    <w:rsid w:val="00483981"/>
    <w:rsid w:val="004A278A"/>
    <w:rsid w:val="004F0D3A"/>
    <w:rsid w:val="004F7AF6"/>
    <w:rsid w:val="00511236"/>
    <w:rsid w:val="00526744"/>
    <w:rsid w:val="00541089"/>
    <w:rsid w:val="00575EBB"/>
    <w:rsid w:val="0058278B"/>
    <w:rsid w:val="005E5105"/>
    <w:rsid w:val="00625AE3"/>
    <w:rsid w:val="0067263E"/>
    <w:rsid w:val="00685ED1"/>
    <w:rsid w:val="00692529"/>
    <w:rsid w:val="006A36A4"/>
    <w:rsid w:val="006C154F"/>
    <w:rsid w:val="006E0355"/>
    <w:rsid w:val="006F697D"/>
    <w:rsid w:val="0070718C"/>
    <w:rsid w:val="007161F8"/>
    <w:rsid w:val="00721489"/>
    <w:rsid w:val="00763207"/>
    <w:rsid w:val="007728D9"/>
    <w:rsid w:val="00787E64"/>
    <w:rsid w:val="007E0073"/>
    <w:rsid w:val="008003B3"/>
    <w:rsid w:val="00805761"/>
    <w:rsid w:val="00806585"/>
    <w:rsid w:val="008247A5"/>
    <w:rsid w:val="008533BF"/>
    <w:rsid w:val="00855AA9"/>
    <w:rsid w:val="008B39D8"/>
    <w:rsid w:val="009A6E8B"/>
    <w:rsid w:val="009B44CE"/>
    <w:rsid w:val="009B7279"/>
    <w:rsid w:val="009E20A6"/>
    <w:rsid w:val="009E3738"/>
    <w:rsid w:val="00A429C8"/>
    <w:rsid w:val="00A447F7"/>
    <w:rsid w:val="00A753BD"/>
    <w:rsid w:val="00A91D31"/>
    <w:rsid w:val="00B1487F"/>
    <w:rsid w:val="00B52893"/>
    <w:rsid w:val="00B564D4"/>
    <w:rsid w:val="00B60C6F"/>
    <w:rsid w:val="00B977AA"/>
    <w:rsid w:val="00C3195A"/>
    <w:rsid w:val="00C40F3C"/>
    <w:rsid w:val="00C51D35"/>
    <w:rsid w:val="00CA6767"/>
    <w:rsid w:val="00D44ABF"/>
    <w:rsid w:val="00DB7604"/>
    <w:rsid w:val="00DD77B8"/>
    <w:rsid w:val="00E13751"/>
    <w:rsid w:val="00E24438"/>
    <w:rsid w:val="00E65BE1"/>
    <w:rsid w:val="00E70D87"/>
    <w:rsid w:val="00E70EE7"/>
    <w:rsid w:val="00F54C9E"/>
    <w:rsid w:val="00F7410B"/>
    <w:rsid w:val="00F8752E"/>
    <w:rsid w:val="00FC52DE"/>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Plain Text" w:uiPriority="99"/>
    <w:lsdException w:name="List Paragraph" w:uiPriority="34"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BodyText"/>
    <w:qFormat/>
    <w:rsid w:val="00186BA2"/>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BodyText"/>
    <w:qFormat/>
    <w:rsid w:val="00186BA2"/>
    <w:pPr>
      <w:numPr>
        <w:ilvl w:val="1"/>
        <w:numId w:val="2"/>
      </w:numPr>
      <w:tabs>
        <w:tab w:val="clear" w:pos="540"/>
        <w:tab w:val="left" w:pos="450"/>
      </w:tabs>
      <w:suppressAutoHyphens/>
      <w:outlineLvl w:val="1"/>
    </w:pPr>
    <w:rPr>
      <w:i/>
      <w:sz w:val="26"/>
    </w:rPr>
  </w:style>
  <w:style w:type="paragraph" w:styleId="Heading3">
    <w:name w:val="heading 3"/>
    <w:basedOn w:val="Normal"/>
    <w:next w:val="BodyText"/>
    <w:qFormat/>
    <w:rsid w:val="00186BA2"/>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BodyText"/>
    <w:qFormat/>
    <w:rsid w:val="00186BA2"/>
    <w:pPr>
      <w:keepNext/>
      <w:keepLines/>
      <w:numPr>
        <w:ilvl w:val="3"/>
        <w:numId w:val="4"/>
      </w:numPr>
      <w:tabs>
        <w:tab w:val="left" w:pos="450"/>
      </w:tabs>
      <w:spacing w:before="120" w:after="0"/>
      <w:outlineLvl w:val="3"/>
    </w:pPr>
    <w:rPr>
      <w:i/>
    </w:rPr>
  </w:style>
  <w:style w:type="paragraph" w:styleId="Heading5">
    <w:name w:val="heading 5"/>
    <w:basedOn w:val="Normal"/>
    <w:next w:val="BodyText"/>
    <w:qFormat/>
    <w:rsid w:val="00186BA2"/>
    <w:pPr>
      <w:keepNext/>
      <w:keepLines/>
      <w:numPr>
        <w:ilvl w:val="4"/>
        <w:numId w:val="5"/>
      </w:numPr>
      <w:tabs>
        <w:tab w:val="left" w:pos="450"/>
      </w:tabs>
      <w:spacing w:before="120" w:after="0"/>
      <w:outlineLvl w:val="4"/>
    </w:pPr>
  </w:style>
  <w:style w:type="paragraph" w:styleId="Heading6">
    <w:name w:val="heading 6"/>
    <w:basedOn w:val="Normal"/>
    <w:next w:val="BodyText"/>
    <w:qFormat/>
    <w:rsid w:val="00186BA2"/>
    <w:pPr>
      <w:keepNext/>
      <w:keepLines/>
      <w:numPr>
        <w:ilvl w:val="5"/>
        <w:numId w:val="6"/>
      </w:numPr>
      <w:tabs>
        <w:tab w:val="left" w:pos="450"/>
      </w:tabs>
      <w:spacing w:before="120" w:after="0"/>
      <w:outlineLvl w:val="5"/>
    </w:pPr>
  </w:style>
  <w:style w:type="paragraph" w:styleId="Heading7">
    <w:name w:val="heading 7"/>
    <w:basedOn w:val="Normal"/>
    <w:next w:val="Normal"/>
    <w:qFormat/>
    <w:rsid w:val="00186BA2"/>
    <w:pPr>
      <w:keepNext/>
      <w:keepLines/>
      <w:numPr>
        <w:ilvl w:val="6"/>
        <w:numId w:val="7"/>
      </w:numPr>
      <w:tabs>
        <w:tab w:val="left" w:pos="450"/>
      </w:tabs>
      <w:spacing w:after="0" w:line="240" w:lineRule="atLeast"/>
      <w:outlineLvl w:val="6"/>
    </w:pPr>
  </w:style>
  <w:style w:type="paragraph" w:styleId="Heading8">
    <w:name w:val="heading 8"/>
    <w:basedOn w:val="Normal"/>
    <w:next w:val="BodyText"/>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rsid w:val="00186BA2"/>
    <w:pPr>
      <w:numPr>
        <w:ilvl w:val="8"/>
        <w:numId w:val="9"/>
      </w:numPr>
      <w:outlineLvl w:val="8"/>
    </w:pPr>
    <w:rPr>
      <w:rFonts w:ascii="Times New Roman" w:hAnsi="Times New Roman"/>
      <w:i/>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174E3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rsid w:val="005C4AFB"/>
    <w:rPr>
      <w:rFonts w:ascii="Lucida Grande" w:hAnsi="Lucida Grande"/>
      <w:sz w:val="18"/>
      <w:szCs w:val="18"/>
    </w:rPr>
  </w:style>
  <w:style w:type="paragraph" w:customStyle="1" w:styleId="bulletlist">
    <w:name w:val="bullet list"/>
    <w:basedOn w:val="answerfirst"/>
    <w:rsid w:val="006F697D"/>
    <w:pPr>
      <w:numPr>
        <w:numId w:val="10"/>
      </w:numPr>
      <w:tabs>
        <w:tab w:val="clear" w:pos="720"/>
        <w:tab w:val="num" w:pos="1080"/>
      </w:tabs>
      <w:ind w:left="1080"/>
    </w:pPr>
  </w:style>
  <w:style w:type="paragraph" w:styleId="Caption">
    <w:name w:val="caption"/>
    <w:basedOn w:val="Normal"/>
    <w:next w:val="BodyText"/>
    <w:qFormat/>
    <w:rsid w:val="00D44ABF"/>
    <w:pPr>
      <w:keepNext/>
      <w:keepLines/>
      <w:suppressAutoHyphens/>
      <w:spacing w:before="240" w:after="120" w:line="0" w:lineRule="atLeast"/>
      <w:jc w:val="center"/>
    </w:pPr>
    <w:rPr>
      <w:b/>
    </w:rPr>
  </w:style>
  <w:style w:type="paragraph" w:customStyle="1" w:styleId="chapterheading">
    <w:name w:val="chapter heading"/>
    <w:next w:val="Normal"/>
    <w:rsid w:val="00186BA2"/>
    <w:pPr>
      <w:pageBreakBefore/>
      <w:pBdr>
        <w:top w:val="single" w:sz="12" w:space="1" w:color="auto"/>
        <w:between w:val="single" w:sz="12" w:space="1" w:color="auto"/>
      </w:pBdr>
      <w:spacing w:after="420"/>
    </w:pPr>
    <w:rPr>
      <w:rFonts w:ascii="Book Antiqua" w:hAnsi="Book Antiqua"/>
      <w:b/>
      <w:kern w:val="36"/>
      <w:sz w:val="36"/>
    </w:rPr>
  </w:style>
  <w:style w:type="character" w:styleId="CommentReference">
    <w:name w:val="annotation reference"/>
    <w:basedOn w:val="DefaultParagraphFont"/>
    <w:semiHidden/>
    <w:rsid w:val="00186BA2"/>
    <w:rPr>
      <w:sz w:val="16"/>
    </w:rPr>
  </w:style>
  <w:style w:type="paragraph" w:styleId="CommentText">
    <w:name w:val="annotation text"/>
    <w:basedOn w:val="Normal"/>
    <w:link w:val="CommentTextChar"/>
    <w:semiHidden/>
    <w:rsid w:val="00186BA2"/>
    <w:rPr>
      <w:sz w:val="20"/>
    </w:rPr>
  </w:style>
  <w:style w:type="character" w:styleId="EndnoteReference">
    <w:name w:val="endnote reference"/>
    <w:basedOn w:val="DefaultParagraphFont"/>
    <w:semiHidden/>
    <w:rsid w:val="00186BA2"/>
    <w:rPr>
      <w:vertAlign w:val="superscript"/>
    </w:rPr>
  </w:style>
  <w:style w:type="paragraph" w:styleId="Footer">
    <w:name w:val="footer"/>
    <w:basedOn w:val="Normal"/>
    <w:rsid w:val="00186BA2"/>
    <w:pPr>
      <w:tabs>
        <w:tab w:val="center" w:pos="4320"/>
        <w:tab w:val="right" w:pos="8640"/>
      </w:tabs>
    </w:pPr>
    <w:rPr>
      <w:sz w:val="18"/>
    </w:rPr>
  </w:style>
  <w:style w:type="character" w:styleId="FootnoteReference">
    <w:name w:val="footnote reference"/>
    <w:basedOn w:val="DefaultParagraphFont"/>
    <w:semiHidden/>
    <w:rsid w:val="00186BA2"/>
    <w:rPr>
      <w:position w:val="6"/>
      <w:sz w:val="16"/>
    </w:rPr>
  </w:style>
  <w:style w:type="paragraph" w:styleId="FootnoteText">
    <w:name w:val="footnote text"/>
    <w:basedOn w:val="Normal"/>
    <w:semiHidden/>
    <w:rsid w:val="00805761"/>
    <w:pPr>
      <w:tabs>
        <w:tab w:val="left" w:pos="180"/>
      </w:tabs>
      <w:spacing w:after="120"/>
    </w:pPr>
    <w:rPr>
      <w:sz w:val="20"/>
    </w:rPr>
  </w:style>
  <w:style w:type="paragraph" w:styleId="Header">
    <w:name w:val="header"/>
    <w:basedOn w:val="Normal"/>
    <w:link w:val="HeaderChar"/>
    <w:rsid w:val="00186BA2"/>
    <w:pPr>
      <w:tabs>
        <w:tab w:val="center" w:pos="4320"/>
        <w:tab w:val="right" w:pos="8640"/>
      </w:tabs>
    </w:pPr>
  </w:style>
  <w:style w:type="paragraph" w:customStyle="1" w:styleId="highlight">
    <w:name w:val="highlight"/>
    <w:basedOn w:val="Normal"/>
    <w:rsid w:val="00186BA2"/>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Index1">
    <w:name w:val="index 1"/>
    <w:basedOn w:val="Normal"/>
    <w:next w:val="Normal"/>
    <w:semiHidden/>
    <w:rsid w:val="00186BA2"/>
  </w:style>
  <w:style w:type="paragraph" w:styleId="Index2">
    <w:name w:val="index 2"/>
    <w:basedOn w:val="Normal"/>
    <w:next w:val="Normal"/>
    <w:semiHidden/>
    <w:rsid w:val="00186BA2"/>
    <w:pPr>
      <w:ind w:left="360"/>
    </w:pPr>
  </w:style>
  <w:style w:type="paragraph" w:styleId="Index3">
    <w:name w:val="index 3"/>
    <w:basedOn w:val="Normal"/>
    <w:next w:val="Normal"/>
    <w:semiHidden/>
    <w:rsid w:val="00186BA2"/>
    <w:pPr>
      <w:ind w:left="720"/>
    </w:pPr>
  </w:style>
  <w:style w:type="paragraph" w:styleId="Index4">
    <w:name w:val="index 4"/>
    <w:basedOn w:val="Normal"/>
    <w:next w:val="Normal"/>
    <w:semiHidden/>
    <w:rsid w:val="00186BA2"/>
    <w:pPr>
      <w:ind w:left="1080"/>
    </w:pPr>
  </w:style>
  <w:style w:type="paragraph" w:styleId="Index5">
    <w:name w:val="index 5"/>
    <w:basedOn w:val="Normal"/>
    <w:next w:val="Normal"/>
    <w:semiHidden/>
    <w:rsid w:val="00186BA2"/>
    <w:pPr>
      <w:ind w:left="1440"/>
    </w:pPr>
  </w:style>
  <w:style w:type="paragraph" w:styleId="Index6">
    <w:name w:val="index 6"/>
    <w:basedOn w:val="Normal"/>
    <w:next w:val="Normal"/>
    <w:semiHidden/>
    <w:rsid w:val="00186BA2"/>
    <w:pPr>
      <w:ind w:left="1800"/>
    </w:pPr>
  </w:style>
  <w:style w:type="paragraph" w:styleId="Index7">
    <w:name w:val="index 7"/>
    <w:basedOn w:val="Normal"/>
    <w:next w:val="Normal"/>
    <w:semiHidden/>
    <w:rsid w:val="00186BA2"/>
    <w:pPr>
      <w:ind w:left="2160"/>
    </w:pPr>
  </w:style>
  <w:style w:type="paragraph" w:styleId="IndexHeading">
    <w:name w:val="index heading"/>
    <w:basedOn w:val="Normal"/>
    <w:next w:val="Index1"/>
    <w:semiHidden/>
    <w:rsid w:val="00186BA2"/>
  </w:style>
  <w:style w:type="paragraph" w:customStyle="1" w:styleId="question">
    <w:name w:val="question"/>
    <w:basedOn w:val="Normal"/>
    <w:next w:val="answerfirst"/>
    <w:rsid w:val="00F7410B"/>
    <w:pPr>
      <w:tabs>
        <w:tab w:val="left" w:pos="720"/>
      </w:tabs>
      <w:ind w:left="720" w:hanging="720"/>
    </w:pPr>
    <w:rPr>
      <w:b/>
    </w:rPr>
  </w:style>
  <w:style w:type="paragraph" w:styleId="List">
    <w:name w:val="List"/>
    <w:basedOn w:val="Normal"/>
    <w:next w:val="Normal"/>
    <w:rsid w:val="00186BA2"/>
    <w:pPr>
      <w:keepLines/>
      <w:tabs>
        <w:tab w:val="left" w:pos="1890"/>
      </w:tabs>
      <w:spacing w:before="58"/>
      <w:ind w:left="1890" w:right="720" w:hanging="630"/>
    </w:pPr>
  </w:style>
  <w:style w:type="paragraph" w:styleId="NormalIndent">
    <w:name w:val="Normal Indent"/>
    <w:basedOn w:val="Normal"/>
    <w:rsid w:val="00186BA2"/>
    <w:pPr>
      <w:ind w:left="720"/>
    </w:pPr>
  </w:style>
  <w:style w:type="paragraph" w:customStyle="1" w:styleId="numberedlist">
    <w:name w:val="numbered list"/>
    <w:basedOn w:val="BodyText"/>
    <w:rsid w:val="00186BA2"/>
    <w:pPr>
      <w:tabs>
        <w:tab w:val="left" w:pos="2250"/>
      </w:tabs>
      <w:spacing w:before="40" w:after="120"/>
      <w:ind w:left="709" w:hanging="360"/>
    </w:pPr>
  </w:style>
  <w:style w:type="character" w:styleId="PageNumber">
    <w:name w:val="page number"/>
    <w:basedOn w:val="DefaultParagraphFont"/>
    <w:rsid w:val="00186BA2"/>
  </w:style>
  <w:style w:type="paragraph" w:customStyle="1" w:styleId="tablebody">
    <w:name w:val="table body"/>
    <w:basedOn w:val="Normal"/>
    <w:rsid w:val="00186BA2"/>
    <w:pPr>
      <w:keepNext/>
      <w:keepLines/>
      <w:spacing w:after="0"/>
    </w:pPr>
  </w:style>
  <w:style w:type="paragraph" w:customStyle="1" w:styleId="tablecolumnhead">
    <w:name w:val="table column head"/>
    <w:basedOn w:val="Normal"/>
    <w:next w:val="tablebody"/>
    <w:rsid w:val="00186BA2"/>
    <w:pPr>
      <w:keepNext/>
      <w:keepLines/>
      <w:spacing w:after="0"/>
    </w:pPr>
    <w:rPr>
      <w:b/>
      <w:sz w:val="20"/>
    </w:rPr>
  </w:style>
  <w:style w:type="paragraph" w:styleId="TableofFigures">
    <w:name w:val="table of figures"/>
    <w:basedOn w:val="Normal"/>
    <w:next w:val="Normal"/>
    <w:semiHidden/>
    <w:rsid w:val="00186BA2"/>
    <w:pPr>
      <w:tabs>
        <w:tab w:val="right" w:leader="hyphen" w:pos="8640"/>
      </w:tabs>
      <w:spacing w:after="0"/>
      <w:ind w:left="446" w:hanging="446"/>
    </w:pPr>
    <w:rPr>
      <w:sz w:val="20"/>
    </w:rPr>
  </w:style>
  <w:style w:type="paragraph" w:customStyle="1" w:styleId="testimonyheading">
    <w:name w:val="testimony heading"/>
    <w:basedOn w:val="chapterheading"/>
    <w:next w:val="Normal"/>
    <w:rsid w:val="00186BA2"/>
    <w:pPr>
      <w:pBdr>
        <w:top w:val="none" w:sz="0" w:space="0" w:color="auto"/>
        <w:between w:val="none" w:sz="0" w:space="0" w:color="auto"/>
      </w:pBdr>
      <w:jc w:val="center"/>
    </w:pPr>
    <w:rPr>
      <w:sz w:val="28"/>
    </w:rPr>
  </w:style>
  <w:style w:type="paragraph" w:styleId="Title">
    <w:name w:val="Title"/>
    <w:basedOn w:val="chapterheading"/>
    <w:qFormat/>
    <w:rsid w:val="00186BA2"/>
    <w:pPr>
      <w:pageBreakBefore w:val="0"/>
      <w:pBdr>
        <w:top w:val="single" w:sz="36" w:space="1" w:color="auto"/>
        <w:between w:val="none" w:sz="0" w:space="0" w:color="auto"/>
      </w:pBdr>
      <w:spacing w:before="480" w:after="6000" w:line="480" w:lineRule="atLeast"/>
    </w:pPr>
    <w:rPr>
      <w:sz w:val="40"/>
    </w:rPr>
  </w:style>
  <w:style w:type="paragraph" w:styleId="TOC1">
    <w:name w:val="toc 1"/>
    <w:basedOn w:val="Normal"/>
    <w:next w:val="Normal"/>
    <w:semiHidden/>
    <w:rsid w:val="00186BA2"/>
    <w:pPr>
      <w:pBdr>
        <w:top w:val="single" w:sz="12" w:space="1" w:color="auto"/>
      </w:pBdr>
      <w:tabs>
        <w:tab w:val="left" w:pos="900"/>
        <w:tab w:val="right" w:leader="dot" w:pos="8640"/>
      </w:tabs>
      <w:spacing w:before="180" w:after="0"/>
      <w:ind w:left="900" w:hanging="900"/>
    </w:pPr>
    <w:rPr>
      <w:b/>
    </w:rPr>
  </w:style>
  <w:style w:type="paragraph" w:styleId="TOC2">
    <w:name w:val="toc 2"/>
    <w:basedOn w:val="Normal"/>
    <w:next w:val="Normal"/>
    <w:semiHidden/>
    <w:rsid w:val="00186BA2"/>
    <w:pPr>
      <w:tabs>
        <w:tab w:val="right" w:leader="dot" w:pos="8640"/>
      </w:tabs>
      <w:spacing w:after="0"/>
      <w:ind w:left="633" w:hanging="446"/>
    </w:pPr>
    <w:rPr>
      <w:b/>
      <w:noProof/>
    </w:rPr>
  </w:style>
  <w:style w:type="paragraph" w:styleId="TOC3">
    <w:name w:val="toc 3"/>
    <w:basedOn w:val="TOC2"/>
    <w:next w:val="Normal"/>
    <w:semiHidden/>
    <w:rsid w:val="00186BA2"/>
    <w:pPr>
      <w:keepLines/>
      <w:ind w:left="1260" w:right="720" w:hanging="540"/>
    </w:pPr>
    <w:rPr>
      <w:b w:val="0"/>
      <w:sz w:val="20"/>
    </w:rPr>
  </w:style>
  <w:style w:type="paragraph" w:styleId="TOC4">
    <w:name w:val="toc 4"/>
    <w:basedOn w:val="TOC2"/>
    <w:next w:val="Normal"/>
    <w:semiHidden/>
    <w:rsid w:val="00186BA2"/>
    <w:pPr>
      <w:ind w:left="1620" w:hanging="533"/>
    </w:pPr>
    <w:rPr>
      <w:b w:val="0"/>
      <w:sz w:val="20"/>
    </w:rPr>
  </w:style>
  <w:style w:type="paragraph" w:styleId="TOC5">
    <w:name w:val="toc 5"/>
    <w:basedOn w:val="TOC2"/>
    <w:next w:val="Normal"/>
    <w:semiHidden/>
    <w:rsid w:val="00186BA2"/>
    <w:pPr>
      <w:ind w:left="1980" w:hanging="533"/>
    </w:pPr>
    <w:rPr>
      <w:b w:val="0"/>
      <w:sz w:val="20"/>
    </w:rPr>
  </w:style>
  <w:style w:type="paragraph" w:styleId="TOC6">
    <w:name w:val="toc 6"/>
    <w:basedOn w:val="TOC2"/>
    <w:next w:val="Normal"/>
    <w:semiHidden/>
    <w:rsid w:val="00186BA2"/>
    <w:pPr>
      <w:ind w:left="2340" w:hanging="540"/>
    </w:pPr>
    <w:rPr>
      <w:b w:val="0"/>
      <w:sz w:val="20"/>
    </w:rPr>
  </w:style>
  <w:style w:type="paragraph" w:styleId="TOC7">
    <w:name w:val="toc 7"/>
    <w:basedOn w:val="TOC2"/>
    <w:next w:val="Normal"/>
    <w:semiHidden/>
    <w:rsid w:val="00186BA2"/>
    <w:pPr>
      <w:tabs>
        <w:tab w:val="left" w:pos="1170"/>
        <w:tab w:val="left" w:leader="dot" w:pos="8190"/>
        <w:tab w:val="right" w:pos="8640"/>
      </w:tabs>
    </w:pPr>
    <w:rPr>
      <w:sz w:val="20"/>
    </w:rPr>
  </w:style>
  <w:style w:type="paragraph" w:styleId="TOC8">
    <w:name w:val="toc 8"/>
    <w:basedOn w:val="Normal"/>
    <w:next w:val="Normal"/>
    <w:semiHidden/>
    <w:rsid w:val="00186BA2"/>
    <w:pPr>
      <w:tabs>
        <w:tab w:val="left" w:leader="dot" w:pos="8280"/>
        <w:tab w:val="right" w:pos="8640"/>
      </w:tabs>
    </w:pPr>
    <w:rPr>
      <w:sz w:val="20"/>
    </w:rPr>
  </w:style>
  <w:style w:type="paragraph" w:styleId="TOC9">
    <w:name w:val="toc 9"/>
    <w:basedOn w:val="Normal"/>
    <w:next w:val="Normal"/>
    <w:semiHidden/>
    <w:rsid w:val="00186BA2"/>
    <w:pPr>
      <w:tabs>
        <w:tab w:val="right" w:leader="dot" w:pos="8640"/>
      </w:tabs>
      <w:ind w:left="1760"/>
    </w:pPr>
  </w:style>
  <w:style w:type="paragraph" w:customStyle="1" w:styleId="tocchapterheading">
    <w:name w:val="toc chapter heading"/>
    <w:next w:val="Normal"/>
    <w:rsid w:val="00186BA2"/>
    <w:pPr>
      <w:keepNext/>
      <w:pBdr>
        <w:top w:val="single" w:sz="6" w:space="1" w:color="auto"/>
      </w:pBdr>
      <w:spacing w:before="240"/>
      <w:ind w:left="360" w:hanging="360"/>
    </w:pPr>
    <w:rPr>
      <w:rFonts w:ascii="Book Antiqua" w:hAnsi="Book Antiqua"/>
      <w:b/>
      <w:noProof/>
    </w:rPr>
  </w:style>
  <w:style w:type="paragraph" w:styleId="BodyText">
    <w:name w:val="Body Text"/>
    <w:basedOn w:val="Normal"/>
    <w:link w:val="BodyTextChar"/>
    <w:rsid w:val="002631F8"/>
  </w:style>
  <w:style w:type="paragraph" w:customStyle="1" w:styleId="Quote1">
    <w:name w:val="Quote1"/>
    <w:basedOn w:val="Normal"/>
    <w:rsid w:val="003B1DDB"/>
    <w:pPr>
      <w:ind w:left="720" w:right="720"/>
    </w:pPr>
  </w:style>
  <w:style w:type="paragraph" w:styleId="BodyTextIndent">
    <w:name w:val="Body Text Indent"/>
    <w:basedOn w:val="BodyText"/>
    <w:rsid w:val="0067263E"/>
    <w:pPr>
      <w:ind w:firstLine="360"/>
    </w:pPr>
  </w:style>
  <w:style w:type="paragraph" w:customStyle="1" w:styleId="answerfirst">
    <w:name w:val="answer first"/>
    <w:basedOn w:val="BodyText"/>
    <w:next w:val="answerbodytext"/>
    <w:rsid w:val="006F697D"/>
    <w:pPr>
      <w:ind w:left="720" w:hanging="720"/>
    </w:pPr>
  </w:style>
  <w:style w:type="paragraph" w:customStyle="1" w:styleId="answerbodytext">
    <w:name w:val="answer body text"/>
    <w:basedOn w:val="answerfirst"/>
    <w:rsid w:val="0067263E"/>
    <w:pPr>
      <w:ind w:firstLine="0"/>
    </w:pPr>
  </w:style>
  <w:style w:type="table" w:styleId="TableGrid">
    <w:name w:val="Table Grid"/>
    <w:basedOn w:val="TableNormal"/>
    <w:rsid w:val="00625AE3"/>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manual">
    <w:name w:val="footnote text manual"/>
    <w:basedOn w:val="FootnoteText"/>
    <w:rsid w:val="00805761"/>
  </w:style>
  <w:style w:type="character" w:customStyle="1" w:styleId="BodyTextChar">
    <w:name w:val="Body Text Char"/>
    <w:basedOn w:val="DefaultParagraphFont"/>
    <w:link w:val="BodyText"/>
    <w:rsid w:val="002631F8"/>
    <w:rPr>
      <w:rFonts w:ascii="Book Antiqua" w:hAnsi="Book Antiqua"/>
      <w:sz w:val="22"/>
    </w:rPr>
  </w:style>
  <w:style w:type="character" w:styleId="Hyperlink">
    <w:name w:val="Hyperlink"/>
    <w:basedOn w:val="DefaultParagraphFont"/>
    <w:rsid w:val="00350EA8"/>
    <w:rPr>
      <w:color w:val="0000FF" w:themeColor="hyperlink"/>
      <w:u w:val="single"/>
    </w:rPr>
  </w:style>
  <w:style w:type="paragraph" w:styleId="ListParagraph">
    <w:name w:val="List Paragraph"/>
    <w:basedOn w:val="Normal"/>
    <w:uiPriority w:val="34"/>
    <w:qFormat/>
    <w:rsid w:val="007728D9"/>
    <w:pPr>
      <w:ind w:left="720"/>
      <w:contextualSpacing/>
    </w:pPr>
  </w:style>
  <w:style w:type="character" w:styleId="FollowedHyperlink">
    <w:name w:val="FollowedHyperlink"/>
    <w:basedOn w:val="DefaultParagraphFont"/>
    <w:rsid w:val="00855AA9"/>
    <w:rPr>
      <w:color w:val="800080" w:themeColor="followedHyperlink"/>
      <w:u w:val="single"/>
    </w:rPr>
  </w:style>
  <w:style w:type="character" w:customStyle="1" w:styleId="BalloonTextChar1">
    <w:name w:val="Balloon Text Char1"/>
    <w:basedOn w:val="DefaultParagraphFont"/>
    <w:link w:val="BalloonText"/>
    <w:rsid w:val="00174E3C"/>
    <w:rPr>
      <w:rFonts w:ascii="Lucida Grande" w:hAnsi="Lucida Grande"/>
      <w:sz w:val="18"/>
      <w:szCs w:val="18"/>
    </w:rPr>
  </w:style>
  <w:style w:type="paragraph" w:styleId="CommentSubject">
    <w:name w:val="annotation subject"/>
    <w:basedOn w:val="CommentText"/>
    <w:next w:val="CommentText"/>
    <w:link w:val="CommentSubjectChar"/>
    <w:rsid w:val="00F54C9E"/>
    <w:rPr>
      <w:b/>
      <w:bCs/>
    </w:rPr>
  </w:style>
  <w:style w:type="character" w:customStyle="1" w:styleId="CommentTextChar">
    <w:name w:val="Comment Text Char"/>
    <w:basedOn w:val="DefaultParagraphFont"/>
    <w:link w:val="CommentText"/>
    <w:semiHidden/>
    <w:rsid w:val="00F54C9E"/>
    <w:rPr>
      <w:rFonts w:ascii="Book Antiqua" w:hAnsi="Book Antiqua"/>
    </w:rPr>
  </w:style>
  <w:style w:type="character" w:customStyle="1" w:styleId="CommentSubjectChar">
    <w:name w:val="Comment Subject Char"/>
    <w:basedOn w:val="CommentTextChar"/>
    <w:link w:val="CommentSubject"/>
    <w:rsid w:val="00F54C9E"/>
    <w:rPr>
      <w:rFonts w:ascii="Book Antiqua" w:hAnsi="Book Antiqua"/>
      <w:b/>
      <w:bCs/>
    </w:rPr>
  </w:style>
  <w:style w:type="character" w:customStyle="1" w:styleId="HeaderChar">
    <w:name w:val="Header Char"/>
    <w:basedOn w:val="DefaultParagraphFont"/>
    <w:link w:val="Header"/>
    <w:rsid w:val="00181615"/>
    <w:rPr>
      <w:rFonts w:ascii="Book Antiqua" w:hAnsi="Book Antiqua"/>
      <w:sz w:val="22"/>
    </w:rPr>
  </w:style>
  <w:style w:type="paragraph" w:styleId="PlainText">
    <w:name w:val="Plain Text"/>
    <w:basedOn w:val="Normal"/>
    <w:link w:val="PlainTextChar"/>
    <w:uiPriority w:val="99"/>
    <w:unhideWhenUsed/>
    <w:rsid w:val="007E0073"/>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7E0073"/>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TOC9"/>
    <w:qFormat/>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TOC9"/>
    <w:qFormat/>
    <w:pPr>
      <w:numPr>
        <w:ilvl w:val="1"/>
        <w:numId w:val="2"/>
      </w:numPr>
      <w:tabs>
        <w:tab w:val="clear" w:pos="540"/>
        <w:tab w:val="left" w:pos="450"/>
      </w:tabs>
      <w:suppressAutoHyphens/>
      <w:outlineLvl w:val="1"/>
    </w:pPr>
    <w:rPr>
      <w:i/>
      <w:sz w:val="26"/>
    </w:rPr>
  </w:style>
  <w:style w:type="paragraph" w:styleId="Heading3">
    <w:name w:val="heading 3"/>
    <w:basedOn w:val="Normal"/>
    <w:next w:val="TOC9"/>
    <w:qFormat/>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TOC9"/>
    <w:qFormat/>
    <w:pPr>
      <w:keepNext/>
      <w:keepLines/>
      <w:numPr>
        <w:ilvl w:val="3"/>
        <w:numId w:val="4"/>
      </w:numPr>
      <w:tabs>
        <w:tab w:val="left" w:pos="450"/>
      </w:tabs>
      <w:spacing w:before="120" w:after="0"/>
      <w:outlineLvl w:val="3"/>
    </w:pPr>
    <w:rPr>
      <w:i/>
    </w:rPr>
  </w:style>
  <w:style w:type="paragraph" w:styleId="Heading5">
    <w:name w:val="heading 5"/>
    <w:basedOn w:val="Normal"/>
    <w:next w:val="TOC9"/>
    <w:qFormat/>
    <w:pPr>
      <w:keepNext/>
      <w:keepLines/>
      <w:numPr>
        <w:ilvl w:val="4"/>
        <w:numId w:val="5"/>
      </w:numPr>
      <w:tabs>
        <w:tab w:val="left" w:pos="450"/>
      </w:tabs>
      <w:spacing w:before="120" w:after="0"/>
      <w:outlineLvl w:val="4"/>
    </w:pPr>
  </w:style>
  <w:style w:type="paragraph" w:styleId="Heading6">
    <w:name w:val="heading 6"/>
    <w:basedOn w:val="Normal"/>
    <w:next w:val="TOC9"/>
    <w:qFormat/>
    <w:pPr>
      <w:keepNext/>
      <w:keepLines/>
      <w:numPr>
        <w:ilvl w:val="5"/>
        <w:numId w:val="6"/>
      </w:numPr>
      <w:tabs>
        <w:tab w:val="left" w:pos="450"/>
      </w:tabs>
      <w:spacing w:before="120" w:after="0"/>
      <w:outlineLvl w:val="5"/>
    </w:pPr>
  </w:style>
  <w:style w:type="paragraph" w:styleId="Heading7">
    <w:name w:val="heading 7"/>
    <w:basedOn w:val="Normal"/>
    <w:next w:val="Normal"/>
    <w:qFormat/>
    <w:pPr>
      <w:keepNext/>
      <w:keepLines/>
      <w:numPr>
        <w:ilvl w:val="6"/>
        <w:numId w:val="7"/>
      </w:numPr>
      <w:tabs>
        <w:tab w:val="left" w:pos="450"/>
      </w:tabs>
      <w:spacing w:after="0" w:line="240" w:lineRule="atLeast"/>
      <w:outlineLvl w:val="6"/>
    </w:pPr>
  </w:style>
  <w:style w:type="paragraph" w:styleId="Heading8">
    <w:name w:val="heading 8"/>
    <w:basedOn w:val="Normal"/>
    <w:next w:val="TOC9"/>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pPr>
      <w:numPr>
        <w:ilvl w:val="8"/>
        <w:numId w:val="9"/>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
    <w:name w:val="bullet list"/>
    <w:basedOn w:val="Quote1"/>
    <w:rsid w:val="006F697D"/>
    <w:pPr>
      <w:numPr>
        <w:numId w:val="10"/>
      </w:numPr>
      <w:tabs>
        <w:tab w:val="clear" w:pos="720"/>
        <w:tab w:val="num" w:pos="1080"/>
      </w:tabs>
      <w:ind w:left="1080"/>
    </w:pPr>
  </w:style>
  <w:style w:type="paragraph" w:styleId="BalloonTextChar">
    <w:name w:val="caption"/>
    <w:basedOn w:val="Normal"/>
    <w:next w:val="TOC9"/>
    <w:qFormat/>
    <w:rsid w:val="00D44ABF"/>
    <w:pPr>
      <w:keepNext/>
      <w:keepLines/>
      <w:suppressAutoHyphens/>
      <w:spacing w:before="240" w:after="120" w:line="0" w:lineRule="atLeast"/>
      <w:jc w:val="center"/>
    </w:pPr>
    <w:rPr>
      <w:b/>
    </w:rPr>
  </w:style>
  <w:style w:type="paragraph" w:customStyle="1" w:styleId="bulletlist">
    <w:name w:val="chapter heading"/>
    <w:next w:val="Normal"/>
    <w:pPr>
      <w:pageBreakBefore/>
      <w:pBdr>
        <w:top w:val="single" w:sz="12" w:space="1" w:color="auto"/>
        <w:between w:val="single" w:sz="12" w:space="1" w:color="auto"/>
      </w:pBdr>
      <w:spacing w:after="420"/>
    </w:pPr>
    <w:rPr>
      <w:rFonts w:ascii="Book Antiqua" w:hAnsi="Book Antiqua"/>
      <w:b/>
      <w:kern w:val="36"/>
      <w:sz w:val="36"/>
    </w:rPr>
  </w:style>
  <w:style w:type="character" w:styleId="Caption">
    <w:name w:val="annotation reference"/>
    <w:basedOn w:val="DefaultParagraphFont"/>
    <w:semiHidden/>
    <w:rPr>
      <w:sz w:val="16"/>
    </w:rPr>
  </w:style>
  <w:style w:type="paragraph" w:styleId="chapterheading">
    <w:name w:val="annotation text"/>
    <w:basedOn w:val="Normal"/>
    <w:semiHidden/>
    <w:rPr>
      <w:sz w:val="20"/>
    </w:rPr>
  </w:style>
  <w:style w:type="character" w:styleId="CommentReference">
    <w:name w:val="endnote reference"/>
    <w:basedOn w:val="DefaultParagraphFont"/>
    <w:semiHidden/>
    <w:rPr>
      <w:vertAlign w:val="superscript"/>
    </w:rPr>
  </w:style>
  <w:style w:type="paragraph" w:styleId="CommentText">
    <w:name w:val="footer"/>
    <w:basedOn w:val="Normal"/>
    <w:pPr>
      <w:tabs>
        <w:tab w:val="center" w:pos="4320"/>
        <w:tab w:val="right" w:pos="8640"/>
      </w:tabs>
    </w:pPr>
    <w:rPr>
      <w:sz w:val="18"/>
    </w:rPr>
  </w:style>
  <w:style w:type="character" w:styleId="EndnoteReference">
    <w:name w:val="footnote reference"/>
    <w:basedOn w:val="DefaultParagraphFont"/>
    <w:semiHidden/>
    <w:rPr>
      <w:position w:val="6"/>
      <w:sz w:val="16"/>
    </w:rPr>
  </w:style>
  <w:style w:type="paragraph" w:styleId="Footer">
    <w:name w:val="footnote text"/>
    <w:basedOn w:val="Normal"/>
    <w:semiHidden/>
    <w:rsid w:val="00805761"/>
    <w:pPr>
      <w:tabs>
        <w:tab w:val="left" w:pos="180"/>
      </w:tabs>
      <w:spacing w:after="120"/>
    </w:pPr>
    <w:rPr>
      <w:sz w:val="20"/>
    </w:rPr>
  </w:style>
  <w:style w:type="paragraph" w:styleId="FootnoteReference">
    <w:name w:val="header"/>
    <w:basedOn w:val="Normal"/>
    <w:pPr>
      <w:tabs>
        <w:tab w:val="center" w:pos="4320"/>
        <w:tab w:val="right" w:pos="8640"/>
      </w:tabs>
    </w:pPr>
  </w:style>
  <w:style w:type="paragraph" w:customStyle="1" w:styleId="FootnoteText">
    <w:name w:val="highlight"/>
    <w:basedOn w:val="Normal"/>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Header">
    <w:name w:val="index 1"/>
    <w:basedOn w:val="Normal"/>
    <w:next w:val="Normal"/>
    <w:semiHidden/>
  </w:style>
  <w:style w:type="paragraph" w:styleId="highlight">
    <w:name w:val="index 2"/>
    <w:basedOn w:val="Normal"/>
    <w:next w:val="Normal"/>
    <w:semiHidden/>
    <w:pPr>
      <w:ind w:left="360"/>
    </w:pPr>
  </w:style>
  <w:style w:type="paragraph" w:styleId="Index1">
    <w:name w:val="index 3"/>
    <w:basedOn w:val="Normal"/>
    <w:next w:val="Normal"/>
    <w:semiHidden/>
    <w:pPr>
      <w:ind w:left="720"/>
    </w:pPr>
  </w:style>
  <w:style w:type="paragraph" w:styleId="Index2">
    <w:name w:val="index 4"/>
    <w:basedOn w:val="Normal"/>
    <w:next w:val="Normal"/>
    <w:semiHidden/>
    <w:pPr>
      <w:ind w:left="1080"/>
    </w:pPr>
  </w:style>
  <w:style w:type="paragraph" w:styleId="Index3">
    <w:name w:val="index 5"/>
    <w:basedOn w:val="Normal"/>
    <w:next w:val="Normal"/>
    <w:semiHidden/>
    <w:pPr>
      <w:ind w:left="1440"/>
    </w:pPr>
  </w:style>
  <w:style w:type="paragraph" w:styleId="Index4">
    <w:name w:val="index 6"/>
    <w:basedOn w:val="Normal"/>
    <w:next w:val="Normal"/>
    <w:semiHidden/>
    <w:pPr>
      <w:ind w:left="1800"/>
    </w:pPr>
  </w:style>
  <w:style w:type="paragraph" w:styleId="Index5">
    <w:name w:val="index 7"/>
    <w:basedOn w:val="Normal"/>
    <w:next w:val="Normal"/>
    <w:semiHidden/>
    <w:pPr>
      <w:ind w:left="2160"/>
    </w:pPr>
  </w:style>
  <w:style w:type="paragraph" w:styleId="Index6">
    <w:name w:val="index heading"/>
    <w:basedOn w:val="Normal"/>
    <w:next w:val="Header"/>
    <w:semiHidden/>
  </w:style>
  <w:style w:type="paragraph" w:customStyle="1" w:styleId="Index7">
    <w:name w:val="question"/>
    <w:basedOn w:val="Normal"/>
    <w:next w:val="Quote1"/>
    <w:rsid w:val="00F7410B"/>
    <w:pPr>
      <w:tabs>
        <w:tab w:val="left" w:pos="720"/>
      </w:tabs>
      <w:ind w:left="720" w:hanging="720"/>
    </w:pPr>
    <w:rPr>
      <w:b/>
    </w:rPr>
  </w:style>
  <w:style w:type="paragraph" w:styleId="IndexHeading">
    <w:name w:val="List"/>
    <w:basedOn w:val="Normal"/>
    <w:next w:val="Normal"/>
    <w:pPr>
      <w:keepLines/>
      <w:tabs>
        <w:tab w:val="left" w:pos="1890"/>
      </w:tabs>
      <w:spacing w:before="58"/>
      <w:ind w:left="1890" w:right="720" w:hanging="630"/>
    </w:pPr>
  </w:style>
  <w:style w:type="paragraph" w:styleId="question">
    <w:name w:val="Normal Indent"/>
    <w:basedOn w:val="Normal"/>
    <w:pPr>
      <w:ind w:left="720"/>
    </w:pPr>
  </w:style>
  <w:style w:type="paragraph" w:customStyle="1" w:styleId="List">
    <w:name w:val="numbered list"/>
    <w:basedOn w:val="TOC9"/>
    <w:pPr>
      <w:tabs>
        <w:tab w:val="left" w:pos="2250"/>
      </w:tabs>
      <w:spacing w:before="40" w:after="120"/>
      <w:ind w:left="709" w:hanging="360"/>
    </w:pPr>
  </w:style>
  <w:style w:type="character" w:styleId="NormalIndent">
    <w:name w:val="page number"/>
    <w:basedOn w:val="DefaultParagraphFont"/>
  </w:style>
  <w:style w:type="paragraph" w:customStyle="1" w:styleId="numberedlist">
    <w:name w:val="table body"/>
    <w:basedOn w:val="Normal"/>
    <w:pPr>
      <w:keepNext/>
      <w:keepLines/>
      <w:spacing w:after="0"/>
    </w:pPr>
  </w:style>
  <w:style w:type="paragraph" w:customStyle="1" w:styleId="PageNumber">
    <w:name w:val="table column head"/>
    <w:basedOn w:val="Normal"/>
    <w:next w:val="numberedlist"/>
    <w:pPr>
      <w:keepNext/>
      <w:keepLines/>
      <w:spacing w:after="0"/>
    </w:pPr>
    <w:rPr>
      <w:b/>
      <w:sz w:val="20"/>
    </w:rPr>
  </w:style>
  <w:style w:type="paragraph" w:styleId="tablebody">
    <w:name w:val="table of figures"/>
    <w:basedOn w:val="Normal"/>
    <w:next w:val="Normal"/>
    <w:semiHidden/>
    <w:pPr>
      <w:tabs>
        <w:tab w:val="right" w:leader="hyphen" w:pos="8640"/>
      </w:tabs>
      <w:spacing w:after="0"/>
      <w:ind w:left="446" w:hanging="446"/>
    </w:pPr>
    <w:rPr>
      <w:sz w:val="20"/>
    </w:rPr>
  </w:style>
  <w:style w:type="paragraph" w:customStyle="1" w:styleId="tablecolumnhead">
    <w:name w:val="testimony heading"/>
    <w:basedOn w:val="bulletlist"/>
    <w:next w:val="Normal"/>
    <w:pPr>
      <w:pBdr>
        <w:top w:val="none" w:sz="0" w:space="0" w:color="auto"/>
        <w:between w:val="none" w:sz="0" w:space="0" w:color="auto"/>
      </w:pBdr>
      <w:jc w:val="center"/>
    </w:pPr>
    <w:rPr>
      <w:sz w:val="28"/>
    </w:rPr>
  </w:style>
  <w:style w:type="paragraph" w:styleId="TableofFigures">
    <w:name w:val="Title"/>
    <w:basedOn w:val="bulletlist"/>
    <w:qFormat/>
    <w:pPr>
      <w:pageBreakBefore w:val="0"/>
      <w:pBdr>
        <w:top w:val="single" w:sz="36" w:space="1" w:color="auto"/>
        <w:between w:val="none" w:sz="0" w:space="0" w:color="auto"/>
      </w:pBdr>
      <w:spacing w:before="480" w:after="6000" w:line="480" w:lineRule="atLeast"/>
    </w:pPr>
    <w:rPr>
      <w:sz w:val="40"/>
    </w:rPr>
  </w:style>
  <w:style w:type="paragraph" w:styleId="testimonyheading">
    <w:name w:val="toc 1"/>
    <w:basedOn w:val="Normal"/>
    <w:next w:val="Normal"/>
    <w:semiHidden/>
    <w:pPr>
      <w:pBdr>
        <w:top w:val="single" w:sz="12" w:space="1" w:color="auto"/>
      </w:pBdr>
      <w:tabs>
        <w:tab w:val="left" w:pos="900"/>
        <w:tab w:val="right" w:leader="dot" w:pos="8640"/>
      </w:tabs>
      <w:spacing w:before="180" w:after="0"/>
      <w:ind w:left="900" w:hanging="900"/>
    </w:pPr>
    <w:rPr>
      <w:b/>
    </w:rPr>
  </w:style>
  <w:style w:type="paragraph" w:styleId="Title">
    <w:name w:val="toc 2"/>
    <w:basedOn w:val="Normal"/>
    <w:next w:val="Normal"/>
    <w:semiHidden/>
    <w:pPr>
      <w:tabs>
        <w:tab w:val="right" w:leader="dot" w:pos="8640"/>
      </w:tabs>
      <w:spacing w:after="0"/>
      <w:ind w:left="633" w:hanging="446"/>
    </w:pPr>
    <w:rPr>
      <w:b/>
      <w:noProof/>
    </w:rPr>
  </w:style>
  <w:style w:type="paragraph" w:styleId="TOC1">
    <w:name w:val="toc 3"/>
    <w:basedOn w:val="Title"/>
    <w:next w:val="Normal"/>
    <w:semiHidden/>
    <w:pPr>
      <w:keepLines/>
      <w:ind w:left="1260" w:right="720" w:hanging="540"/>
    </w:pPr>
    <w:rPr>
      <w:b w:val="0"/>
      <w:sz w:val="20"/>
    </w:rPr>
  </w:style>
  <w:style w:type="paragraph" w:styleId="TOC2">
    <w:name w:val="toc 4"/>
    <w:basedOn w:val="Title"/>
    <w:next w:val="Normal"/>
    <w:semiHidden/>
    <w:pPr>
      <w:ind w:left="1620" w:hanging="533"/>
    </w:pPr>
    <w:rPr>
      <w:b w:val="0"/>
      <w:sz w:val="20"/>
    </w:rPr>
  </w:style>
  <w:style w:type="paragraph" w:styleId="TOC3">
    <w:name w:val="toc 5"/>
    <w:basedOn w:val="Title"/>
    <w:next w:val="Normal"/>
    <w:semiHidden/>
    <w:pPr>
      <w:ind w:left="1980" w:hanging="533"/>
    </w:pPr>
    <w:rPr>
      <w:b w:val="0"/>
      <w:sz w:val="20"/>
    </w:rPr>
  </w:style>
  <w:style w:type="paragraph" w:styleId="TOC4">
    <w:name w:val="toc 6"/>
    <w:basedOn w:val="Title"/>
    <w:next w:val="Normal"/>
    <w:semiHidden/>
    <w:pPr>
      <w:ind w:left="2340" w:hanging="540"/>
    </w:pPr>
    <w:rPr>
      <w:b w:val="0"/>
      <w:sz w:val="20"/>
    </w:rPr>
  </w:style>
  <w:style w:type="paragraph" w:styleId="TOC5">
    <w:name w:val="toc 7"/>
    <w:basedOn w:val="Title"/>
    <w:next w:val="Normal"/>
    <w:semiHidden/>
    <w:pPr>
      <w:tabs>
        <w:tab w:val="left" w:pos="1170"/>
        <w:tab w:val="left" w:leader="dot" w:pos="8190"/>
        <w:tab w:val="right" w:pos="8640"/>
      </w:tabs>
    </w:pPr>
    <w:rPr>
      <w:sz w:val="20"/>
    </w:rPr>
  </w:style>
  <w:style w:type="paragraph" w:styleId="TOC6">
    <w:name w:val="toc 8"/>
    <w:basedOn w:val="Normal"/>
    <w:next w:val="Normal"/>
    <w:semiHidden/>
    <w:pPr>
      <w:tabs>
        <w:tab w:val="left" w:leader="dot" w:pos="8280"/>
        <w:tab w:val="right" w:pos="8640"/>
      </w:tabs>
    </w:pPr>
    <w:rPr>
      <w:sz w:val="20"/>
    </w:rPr>
  </w:style>
  <w:style w:type="paragraph" w:styleId="TOC7">
    <w:name w:val="toc 9"/>
    <w:basedOn w:val="Normal"/>
    <w:next w:val="Normal"/>
    <w:semiHidden/>
    <w:pPr>
      <w:tabs>
        <w:tab w:val="right" w:leader="dot" w:pos="8640"/>
      </w:tabs>
      <w:ind w:left="1760"/>
    </w:pPr>
  </w:style>
  <w:style w:type="paragraph" w:customStyle="1" w:styleId="TOC8">
    <w:name w:val="toc chapter heading"/>
    <w:next w:val="Normal"/>
    <w:pPr>
      <w:keepNext/>
      <w:pBdr>
        <w:top w:val="single" w:sz="6" w:space="1" w:color="auto"/>
      </w:pBdr>
      <w:spacing w:before="240"/>
      <w:ind w:left="360" w:hanging="360"/>
    </w:pPr>
    <w:rPr>
      <w:rFonts w:ascii="Book Antiqua" w:hAnsi="Book Antiqua"/>
      <w:b/>
      <w:noProof/>
      <w:sz w:val="24"/>
    </w:rPr>
  </w:style>
  <w:style w:type="paragraph" w:styleId="TOC9">
    <w:name w:val="Body Text"/>
    <w:basedOn w:val="Normal"/>
    <w:link w:val="TableGrid"/>
    <w:rsid w:val="00625AE3"/>
    <w:pPr>
      <w:spacing w:line="360" w:lineRule="auto"/>
    </w:pPr>
  </w:style>
  <w:style w:type="paragraph" w:customStyle="1" w:styleId="tocchapterheading">
    <w:name w:val="Quote1"/>
    <w:basedOn w:val="Normal"/>
    <w:rsid w:val="003B1DDB"/>
    <w:pPr>
      <w:ind w:left="720" w:right="720"/>
    </w:pPr>
  </w:style>
  <w:style w:type="paragraph" w:styleId="BodyText">
    <w:name w:val="Body Text Indent"/>
    <w:basedOn w:val="TOC9"/>
    <w:rsid w:val="0067263E"/>
    <w:pPr>
      <w:ind w:firstLine="360"/>
    </w:pPr>
  </w:style>
  <w:style w:type="paragraph" w:customStyle="1" w:styleId="Quote1">
    <w:name w:val="answer first"/>
    <w:basedOn w:val="TOC9"/>
    <w:next w:val="BodyTextIndent"/>
    <w:rsid w:val="006F697D"/>
    <w:pPr>
      <w:ind w:left="720" w:hanging="720"/>
    </w:pPr>
  </w:style>
  <w:style w:type="paragraph" w:customStyle="1" w:styleId="BodyTextIndent">
    <w:name w:val="answer body text"/>
    <w:basedOn w:val="Quote1"/>
    <w:rsid w:val="0067263E"/>
    <w:pPr>
      <w:ind w:firstLine="0"/>
    </w:pPr>
  </w:style>
  <w:style w:type="table" w:styleId="answerfirst">
    <w:name w:val="Table Grid"/>
    <w:basedOn w:val="TableNormal"/>
    <w:rsid w:val="00625AE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dytext">
    <w:name w:val="footnote text manual"/>
    <w:basedOn w:val="Footer"/>
    <w:rsid w:val="00805761"/>
  </w:style>
  <w:style w:type="character" w:customStyle="1" w:styleId="TableGrid">
    <w:name w:val="Body Text Char"/>
    <w:basedOn w:val="DefaultParagraphFont"/>
    <w:link w:val="TOC9"/>
    <w:rsid w:val="0070718C"/>
    <w:rPr>
      <w:rFonts w:ascii="Book Antiqua" w:hAnsi="Book Antiqua"/>
      <w:sz w:val="22"/>
    </w:rPr>
  </w:style>
  <w:style w:type="character" w:styleId="footnotetextmanual">
    <w:name w:val="Hyperlink"/>
    <w:basedOn w:val="DefaultParagraphFont"/>
    <w:rsid w:val="00350EA8"/>
    <w:rPr>
      <w:color w:val="0000FF" w:themeColor="hyperlink"/>
      <w:u w:val="single"/>
    </w:rPr>
  </w:style>
  <w:style w:type="paragraph" w:styleId="BodyTextChar">
    <w:name w:val="List Paragraph"/>
    <w:basedOn w:val="Normal"/>
    <w:uiPriority w:val="34"/>
    <w:qFormat/>
    <w:rsid w:val="007728D9"/>
    <w:pPr>
      <w:ind w:left="720"/>
      <w:contextualSpacing/>
    </w:pPr>
  </w:style>
</w:styles>
</file>

<file path=word/webSettings.xml><?xml version="1.0" encoding="utf-8"?>
<w:webSettings xmlns:r="http://schemas.openxmlformats.org/officeDocument/2006/relationships" xmlns:w="http://schemas.openxmlformats.org/wordprocessingml/2006/main">
  <w:divs>
    <w:div w:id="184904082">
      <w:bodyDiv w:val="1"/>
      <w:marLeft w:val="0"/>
      <w:marRight w:val="0"/>
      <w:marTop w:val="0"/>
      <w:marBottom w:val="0"/>
      <w:divBdr>
        <w:top w:val="none" w:sz="0" w:space="0" w:color="auto"/>
        <w:left w:val="none" w:sz="0" w:space="0" w:color="auto"/>
        <w:bottom w:val="none" w:sz="0" w:space="0" w:color="auto"/>
        <w:right w:val="none" w:sz="0" w:space="0" w:color="auto"/>
      </w:divBdr>
      <w:divsChild>
        <w:div w:id="996305547">
          <w:marLeft w:val="0"/>
          <w:marRight w:val="0"/>
          <w:marTop w:val="0"/>
          <w:marBottom w:val="0"/>
          <w:divBdr>
            <w:top w:val="none" w:sz="0" w:space="0" w:color="auto"/>
            <w:left w:val="none" w:sz="0" w:space="0" w:color="auto"/>
            <w:bottom w:val="none" w:sz="0" w:space="0" w:color="auto"/>
            <w:right w:val="none" w:sz="0" w:space="0" w:color="auto"/>
          </w:divBdr>
          <w:divsChild>
            <w:div w:id="9206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5459">
      <w:bodyDiv w:val="1"/>
      <w:marLeft w:val="0"/>
      <w:marRight w:val="0"/>
      <w:marTop w:val="0"/>
      <w:marBottom w:val="0"/>
      <w:divBdr>
        <w:top w:val="none" w:sz="0" w:space="0" w:color="auto"/>
        <w:left w:val="none" w:sz="0" w:space="0" w:color="auto"/>
        <w:bottom w:val="none" w:sz="0" w:space="0" w:color="auto"/>
        <w:right w:val="none" w:sz="0" w:space="0" w:color="auto"/>
      </w:divBdr>
      <w:divsChild>
        <w:div w:id="746611703">
          <w:marLeft w:val="0"/>
          <w:marRight w:val="0"/>
          <w:marTop w:val="0"/>
          <w:marBottom w:val="0"/>
          <w:divBdr>
            <w:top w:val="none" w:sz="0" w:space="0" w:color="auto"/>
            <w:left w:val="none" w:sz="0" w:space="0" w:color="auto"/>
            <w:bottom w:val="none" w:sz="0" w:space="0" w:color="auto"/>
            <w:right w:val="none" w:sz="0" w:space="0" w:color="auto"/>
          </w:divBdr>
          <w:divsChild>
            <w:div w:id="607548370">
              <w:marLeft w:val="0"/>
              <w:marRight w:val="0"/>
              <w:marTop w:val="0"/>
              <w:marBottom w:val="0"/>
              <w:divBdr>
                <w:top w:val="none" w:sz="0" w:space="0" w:color="auto"/>
                <w:left w:val="none" w:sz="0" w:space="0" w:color="auto"/>
                <w:bottom w:val="none" w:sz="0" w:space="0" w:color="auto"/>
                <w:right w:val="none" w:sz="0" w:space="0" w:color="auto"/>
              </w:divBdr>
            </w:div>
            <w:div w:id="1592472073">
              <w:marLeft w:val="0"/>
              <w:marRight w:val="0"/>
              <w:marTop w:val="0"/>
              <w:marBottom w:val="0"/>
              <w:divBdr>
                <w:top w:val="none" w:sz="0" w:space="0" w:color="auto"/>
                <w:left w:val="none" w:sz="0" w:space="0" w:color="auto"/>
                <w:bottom w:val="none" w:sz="0" w:space="0" w:color="auto"/>
                <w:right w:val="none" w:sz="0" w:space="0" w:color="auto"/>
              </w:divBdr>
            </w:div>
            <w:div w:id="1026908952">
              <w:marLeft w:val="0"/>
              <w:marRight w:val="0"/>
              <w:marTop w:val="0"/>
              <w:marBottom w:val="0"/>
              <w:divBdr>
                <w:top w:val="none" w:sz="0" w:space="0" w:color="auto"/>
                <w:left w:val="none" w:sz="0" w:space="0" w:color="auto"/>
                <w:bottom w:val="none" w:sz="0" w:space="0" w:color="auto"/>
                <w:right w:val="none" w:sz="0" w:space="0" w:color="auto"/>
              </w:divBdr>
              <w:divsChild>
                <w:div w:id="608127927">
                  <w:marLeft w:val="0"/>
                  <w:marRight w:val="0"/>
                  <w:marTop w:val="0"/>
                  <w:marBottom w:val="0"/>
                  <w:divBdr>
                    <w:top w:val="none" w:sz="0" w:space="0" w:color="auto"/>
                    <w:left w:val="none" w:sz="0" w:space="0" w:color="auto"/>
                    <w:bottom w:val="none" w:sz="0" w:space="0" w:color="auto"/>
                    <w:right w:val="none" w:sz="0" w:space="0" w:color="auto"/>
                  </w:divBdr>
                </w:div>
                <w:div w:id="1462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977">
      <w:bodyDiv w:val="1"/>
      <w:marLeft w:val="0"/>
      <w:marRight w:val="0"/>
      <w:marTop w:val="0"/>
      <w:marBottom w:val="0"/>
      <w:divBdr>
        <w:top w:val="none" w:sz="0" w:space="0" w:color="auto"/>
        <w:left w:val="none" w:sz="0" w:space="0" w:color="auto"/>
        <w:bottom w:val="none" w:sz="0" w:space="0" w:color="auto"/>
        <w:right w:val="none" w:sz="0" w:space="0" w:color="auto"/>
      </w:divBdr>
    </w:div>
    <w:div w:id="1501849313">
      <w:bodyDiv w:val="1"/>
      <w:marLeft w:val="0"/>
      <w:marRight w:val="0"/>
      <w:marTop w:val="0"/>
      <w:marBottom w:val="0"/>
      <w:divBdr>
        <w:top w:val="none" w:sz="0" w:space="0" w:color="auto"/>
        <w:left w:val="none" w:sz="0" w:space="0" w:color="auto"/>
        <w:bottom w:val="none" w:sz="0" w:space="0" w:color="auto"/>
        <w:right w:val="none" w:sz="0" w:space="0" w:color="auto"/>
      </w:divBdr>
      <w:divsChild>
        <w:div w:id="83958394">
          <w:marLeft w:val="0"/>
          <w:marRight w:val="0"/>
          <w:marTop w:val="0"/>
          <w:marBottom w:val="0"/>
          <w:divBdr>
            <w:top w:val="none" w:sz="0" w:space="0" w:color="auto"/>
            <w:left w:val="none" w:sz="0" w:space="0" w:color="auto"/>
            <w:bottom w:val="none" w:sz="0" w:space="0" w:color="auto"/>
            <w:right w:val="none" w:sz="0" w:space="0" w:color="auto"/>
          </w:divBdr>
          <w:divsChild>
            <w:div w:id="790901708">
              <w:marLeft w:val="0"/>
              <w:marRight w:val="0"/>
              <w:marTop w:val="0"/>
              <w:marBottom w:val="0"/>
              <w:divBdr>
                <w:top w:val="none" w:sz="0" w:space="0" w:color="auto"/>
                <w:left w:val="none" w:sz="0" w:space="0" w:color="auto"/>
                <w:bottom w:val="none" w:sz="0" w:space="0" w:color="auto"/>
                <w:right w:val="none" w:sz="0" w:space="0" w:color="auto"/>
              </w:divBdr>
            </w:div>
            <w:div w:id="913473239">
              <w:marLeft w:val="0"/>
              <w:marRight w:val="0"/>
              <w:marTop w:val="0"/>
              <w:marBottom w:val="0"/>
              <w:divBdr>
                <w:top w:val="none" w:sz="0" w:space="0" w:color="auto"/>
                <w:left w:val="none" w:sz="0" w:space="0" w:color="auto"/>
                <w:bottom w:val="none" w:sz="0" w:space="0" w:color="auto"/>
                <w:right w:val="none" w:sz="0" w:space="0" w:color="auto"/>
              </w:divBdr>
            </w:div>
            <w:div w:id="810828276">
              <w:marLeft w:val="0"/>
              <w:marRight w:val="0"/>
              <w:marTop w:val="0"/>
              <w:marBottom w:val="0"/>
              <w:divBdr>
                <w:top w:val="none" w:sz="0" w:space="0" w:color="auto"/>
                <w:left w:val="none" w:sz="0" w:space="0" w:color="auto"/>
                <w:bottom w:val="none" w:sz="0" w:space="0" w:color="auto"/>
                <w:right w:val="none" w:sz="0" w:space="0" w:color="auto"/>
              </w:divBdr>
            </w:div>
            <w:div w:id="242447722">
              <w:marLeft w:val="0"/>
              <w:marRight w:val="0"/>
              <w:marTop w:val="0"/>
              <w:marBottom w:val="0"/>
              <w:divBdr>
                <w:top w:val="none" w:sz="0" w:space="0" w:color="auto"/>
                <w:left w:val="none" w:sz="0" w:space="0" w:color="auto"/>
                <w:bottom w:val="none" w:sz="0" w:space="0" w:color="auto"/>
                <w:right w:val="none" w:sz="0" w:space="0" w:color="auto"/>
              </w:divBdr>
              <w:divsChild>
                <w:div w:id="1333140685">
                  <w:marLeft w:val="0"/>
                  <w:marRight w:val="0"/>
                  <w:marTop w:val="0"/>
                  <w:marBottom w:val="0"/>
                  <w:divBdr>
                    <w:top w:val="none" w:sz="0" w:space="0" w:color="auto"/>
                    <w:left w:val="none" w:sz="0" w:space="0" w:color="auto"/>
                    <w:bottom w:val="none" w:sz="0" w:space="0" w:color="auto"/>
                    <w:right w:val="none" w:sz="0" w:space="0" w:color="auto"/>
                  </w:divBdr>
                </w:div>
                <w:div w:id="17555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finkelstein@turn.org" TargetMode="External"/><Relationship Id="rId8" Type="http://schemas.openxmlformats.org/officeDocument/2006/relationships/hyperlink" Target="mailto:garrick@jbsenergy.com" TargetMode="External"/><Relationship Id="rId9" Type="http://schemas.openxmlformats.org/officeDocument/2006/relationships/hyperlink" Target="http://sempra.mediaroom.com/index.php?s=19080&amp;item=136982"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2493</Words>
  <Characters>14213</Characters>
  <Application>Microsoft Macintosh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Body Text</vt:lpstr>
    </vt:vector>
  </TitlesOfParts>
  <Company>Microsoft</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dc:title>
  <dc:creator>William B. Marcus</dc:creator>
  <cp:lastModifiedBy>Bob Finkelstein</cp:lastModifiedBy>
  <cp:revision>3</cp:revision>
  <cp:lastPrinted>2007-07-16T17:04:00Z</cp:lastPrinted>
  <dcterms:created xsi:type="dcterms:W3CDTF">2015-03-20T01:20:00Z</dcterms:created>
  <dcterms:modified xsi:type="dcterms:W3CDTF">2015-03-20T01:22:00Z</dcterms:modified>
</cp:coreProperties>
</file>