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2B" w:rsidRPr="00D83C2B" w:rsidRDefault="001A10E2" w:rsidP="00D83C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D83C2B">
        <w:rPr>
          <w:rFonts w:ascii="TimesNewRomanPSMT" w:hAnsi="TimesNewRomanPSMT" w:cs="TimesNewRomanPSMT"/>
          <w:b/>
          <w:sz w:val="28"/>
          <w:szCs w:val="28"/>
        </w:rPr>
        <w:t>UCAN's questions for</w:t>
      </w:r>
      <w:r w:rsidR="000065F3" w:rsidRPr="00D83C2B">
        <w:rPr>
          <w:rFonts w:ascii="TimesNewRomanPSMT" w:hAnsi="TimesNewRomanPSMT" w:cs="TimesNewRomanPSMT"/>
          <w:b/>
          <w:sz w:val="28"/>
          <w:szCs w:val="28"/>
        </w:rPr>
        <w:t xml:space="preserve"> SDG&amp;E witness</w:t>
      </w:r>
      <w:r w:rsidRPr="00D83C2B">
        <w:rPr>
          <w:rFonts w:ascii="TimesNewRomanPSMT" w:hAnsi="TimesNewRomanPSMT" w:cs="TimesNewRomanPSMT"/>
          <w:b/>
          <w:sz w:val="28"/>
          <w:szCs w:val="28"/>
        </w:rPr>
        <w:t xml:space="preserve"> Calabrese</w:t>
      </w:r>
      <w:r w:rsidR="000065F3" w:rsidRPr="00D83C2B">
        <w:rPr>
          <w:rFonts w:ascii="TimesNewRomanPSMT" w:hAnsi="TimesNewRomanPSMT" w:cs="TimesNewRomanPSMT"/>
          <w:b/>
          <w:sz w:val="28"/>
          <w:szCs w:val="28"/>
        </w:rPr>
        <w:t>.</w:t>
      </w:r>
    </w:p>
    <w:p w:rsidR="00D83C2B" w:rsidRDefault="00D83C2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A10E2" w:rsidRDefault="000065F3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UCAN's questions </w:t>
      </w:r>
      <w:r w:rsidR="006C2ED5">
        <w:rPr>
          <w:rFonts w:ascii="TimesNewRomanPSMT" w:hAnsi="TimesNewRomanPSMT" w:cs="TimesNewRomanPSMT"/>
          <w:sz w:val="24"/>
          <w:szCs w:val="24"/>
        </w:rPr>
        <w:t xml:space="preserve">primarily </w:t>
      </w:r>
      <w:r w:rsidR="001A10E2">
        <w:rPr>
          <w:rFonts w:ascii="TimesNewRomanPSMT" w:hAnsi="TimesNewRomanPSMT" w:cs="TimesNewRomanPSMT"/>
          <w:sz w:val="24"/>
          <w:szCs w:val="24"/>
        </w:rPr>
        <w:t>concer</w:t>
      </w:r>
      <w:r>
        <w:rPr>
          <w:rFonts w:ascii="TimesNewRomanPSMT" w:hAnsi="TimesNewRomanPSMT" w:cs="TimesNewRomanPSMT"/>
          <w:sz w:val="24"/>
          <w:szCs w:val="24"/>
        </w:rPr>
        <w:t>n Mr. Calabrese's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 answer to UCAN's Data Req</w:t>
      </w:r>
      <w:r w:rsidR="006C2ED5">
        <w:rPr>
          <w:rFonts w:ascii="TimesNewRomanPSMT" w:hAnsi="TimesNewRomanPSMT" w:cs="TimesNewRomanPSMT"/>
          <w:sz w:val="24"/>
          <w:szCs w:val="24"/>
        </w:rPr>
        <w:t xml:space="preserve">uest DR -02, </w:t>
      </w:r>
      <w:r>
        <w:rPr>
          <w:rFonts w:ascii="TimesNewRomanPSMT" w:hAnsi="TimesNewRomanPSMT" w:cs="TimesNewRomanPSMT"/>
          <w:sz w:val="24"/>
          <w:szCs w:val="24"/>
        </w:rPr>
        <w:t xml:space="preserve">questions 8 &amp; 9.  </w:t>
      </w:r>
      <w:r w:rsidR="00D83C2B">
        <w:rPr>
          <w:rFonts w:ascii="TimesNewRomanPSMT" w:hAnsi="TimesNewRomanPSMT" w:cs="TimesNewRomanPSMT"/>
          <w:sz w:val="24"/>
          <w:szCs w:val="24"/>
        </w:rPr>
        <w:t xml:space="preserve">For reference </w:t>
      </w:r>
      <w:r>
        <w:rPr>
          <w:rFonts w:ascii="TimesNewRomanPSMT" w:hAnsi="TimesNewRomanPSMT" w:cs="TimesNewRomanPSMT"/>
          <w:sz w:val="24"/>
          <w:szCs w:val="24"/>
        </w:rPr>
        <w:t>Mr. Calabrese's responses to questions 8 &amp; 9 of UCAN DR-02 are reprinte</w:t>
      </w:r>
      <w:r w:rsidR="00D83C2B">
        <w:rPr>
          <w:rFonts w:ascii="TimesNewRomanPSMT" w:hAnsi="TimesNewRomanPSMT" w:cs="TimesNewRomanPSMT"/>
          <w:sz w:val="24"/>
          <w:szCs w:val="24"/>
        </w:rPr>
        <w:t xml:space="preserve">d below following the list of 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questions for Mr. Calabrese.</w:t>
      </w:r>
    </w:p>
    <w:p w:rsidR="001A10E2" w:rsidRDefault="001A10E2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A10E2" w:rsidRDefault="001A10E2" w:rsidP="001A10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 Please explain </w:t>
      </w:r>
      <w:r w:rsidR="008A00AA">
        <w:rPr>
          <w:rFonts w:ascii="TimesNewRomanPSMT" w:hAnsi="TimesNewRomanPSMT" w:cs="TimesNewRomanPSMT"/>
          <w:sz w:val="24"/>
          <w:szCs w:val="24"/>
        </w:rPr>
        <w:t xml:space="preserve">what SDG&amp;E includes and </w:t>
      </w:r>
      <w:r>
        <w:rPr>
          <w:rFonts w:ascii="TimesNewRomanPSMT" w:hAnsi="TimesNewRomanPSMT" w:cs="TimesNewRomanPSMT"/>
          <w:sz w:val="24"/>
          <w:szCs w:val="24"/>
        </w:rPr>
        <w:t xml:space="preserve">how SDG&amp;E defines the term "overhead rate" as used in SDG&amp;E's response to UCAN DR-02, Q, 9 </w:t>
      </w:r>
    </w:p>
    <w:p w:rsidR="001A10E2" w:rsidRDefault="001A10E2" w:rsidP="001A10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A10E2" w:rsidRDefault="001A10E2" w:rsidP="001A10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Please explain how SDG&amp;E sets its overhead rate for different accounts. </w:t>
      </w:r>
    </w:p>
    <w:p w:rsidR="001A10E2" w:rsidRDefault="001A10E2" w:rsidP="001A10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A10E2" w:rsidRDefault="001A10E2" w:rsidP="008A00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Please explain the statement </w:t>
      </w:r>
      <w:r w:rsidR="008E43FA">
        <w:rPr>
          <w:rFonts w:ascii="TimesNewRomanPSMT" w:hAnsi="TimesNewRomanPSMT" w:cs="TimesNewRomanPSMT"/>
          <w:sz w:val="24"/>
          <w:szCs w:val="24"/>
        </w:rPr>
        <w:t>in</w:t>
      </w:r>
      <w:r>
        <w:rPr>
          <w:rFonts w:ascii="TimesNewRomanPSMT" w:hAnsi="TimesNewRomanPSMT" w:cs="TimesNewRomanPSMT"/>
          <w:sz w:val="24"/>
          <w:szCs w:val="24"/>
        </w:rPr>
        <w:t xml:space="preserve"> DR- 02, Q 9 "T</w:t>
      </w:r>
      <w:r>
        <w:rPr>
          <w:rFonts w:ascii="TimesNewRomanPSMT" w:hAnsi="TimesNewRomanPSMT" w:cs="TimesNewRomanPSMT"/>
          <w:sz w:val="24"/>
          <w:szCs w:val="24"/>
        </w:rPr>
        <w:t>he overheads applied to the capitalized Level 2 charger costs are 48.9%.</w:t>
      </w:r>
      <w:r>
        <w:rPr>
          <w:rFonts w:ascii="TimesNewRomanPSMT" w:hAnsi="TimesNewRomanPSMT" w:cs="TimesNewRomanPSMT"/>
          <w:sz w:val="24"/>
          <w:szCs w:val="24"/>
        </w:rPr>
        <w:t xml:space="preserve">" </w:t>
      </w:r>
      <w:r w:rsidR="008E43FA">
        <w:rPr>
          <w:rFonts w:ascii="TimesNewRomanPSMT" w:hAnsi="TimesNewRomanPSMT" w:cs="TimesNewRomanPSMT"/>
          <w:sz w:val="24"/>
          <w:szCs w:val="24"/>
        </w:rPr>
        <w:t xml:space="preserve">  </w:t>
      </w:r>
      <w:r w:rsidR="008A00AA">
        <w:rPr>
          <w:rFonts w:ascii="TimesNewRomanPSMT" w:hAnsi="TimesNewRomanPSMT" w:cs="TimesNewRomanPSMT"/>
          <w:sz w:val="24"/>
          <w:szCs w:val="24"/>
        </w:rPr>
        <w:t xml:space="preserve">Does this mean that the overhead rate to obtain the Level 2 chargers is 48% of total costs allocated for the level 2 charger?  </w:t>
      </w:r>
    </w:p>
    <w:p w:rsidR="0097558D" w:rsidRDefault="0097558D" w:rsidP="008A00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E43FA" w:rsidRDefault="008E43FA" w:rsidP="008A00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 In SDG&amp;E's answer to UCAN DR-02, Q. 9 it also notes that t</w:t>
      </w:r>
      <w:r>
        <w:rPr>
          <w:rFonts w:ascii="TimesNewRomanPSMT" w:hAnsi="TimesNewRomanPSMT" w:cs="TimesNewRomanPSMT"/>
          <w:sz w:val="24"/>
          <w:szCs w:val="24"/>
        </w:rPr>
        <w:t xml:space="preserve">he overheads applied to the capitalized labor of $1,425 are 5.0%. </w:t>
      </w:r>
      <w:r>
        <w:rPr>
          <w:rFonts w:ascii="TimesNewRomanPSMT" w:hAnsi="TimesNewRomanPSMT" w:cs="TimesNewRomanPSMT"/>
          <w:sz w:val="24"/>
          <w:szCs w:val="24"/>
        </w:rPr>
        <w:t xml:space="preserve">  Does this mean that SDG&amp;E is charging a 5% overhead rate for labor to install the level 2 chargers?  </w:t>
      </w:r>
    </w:p>
    <w:p w:rsidR="008E43FA" w:rsidRDefault="008E43FA" w:rsidP="008A00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E43FA" w:rsidRDefault="008E43FA" w:rsidP="006C2ED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For how many years </w:t>
      </w:r>
      <w:r w:rsidR="006C2ED5">
        <w:rPr>
          <w:rFonts w:ascii="TimesNewRomanPSMT" w:hAnsi="TimesNewRomanPSMT" w:cs="TimesNewRomanPSMT"/>
          <w:sz w:val="24"/>
          <w:szCs w:val="24"/>
        </w:rPr>
        <w:t xml:space="preserve">will SDG&amp;E charge an overhead rate to the capitalized labor used </w:t>
      </w:r>
      <w:r>
        <w:rPr>
          <w:rFonts w:ascii="TimesNewRomanPSMT" w:hAnsi="TimesNewRomanPSMT" w:cs="TimesNewRomanPSMT"/>
          <w:sz w:val="24"/>
          <w:szCs w:val="24"/>
        </w:rPr>
        <w:t xml:space="preserve">to </w:t>
      </w:r>
      <w:r w:rsidR="006C2ED5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>nstall level 2 chargers in people's homes</w:t>
      </w:r>
      <w:r w:rsidR="006C2ED5">
        <w:rPr>
          <w:rFonts w:ascii="TimesNewRomanPSMT" w:hAnsi="TimesNewRomanPSMT" w:cs="TimesNewRomanPSMT"/>
          <w:sz w:val="24"/>
          <w:szCs w:val="24"/>
        </w:rPr>
        <w:t>?</w:t>
      </w:r>
    </w:p>
    <w:p w:rsidR="008E43FA" w:rsidRDefault="008E43FA" w:rsidP="008A00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97558D" w:rsidRDefault="0097558D" w:rsidP="00A607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In Mr. Calabrese's rebuttal testimony at page MAC -1 he notes that: </w:t>
      </w:r>
    </w:p>
    <w:p w:rsidR="0097558D" w:rsidRPr="006C2ED5" w:rsidRDefault="0097558D" w:rsidP="00A6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7EC" w:rsidRPr="006C2ED5" w:rsidRDefault="0097558D" w:rsidP="00A6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2ED5">
        <w:rPr>
          <w:rFonts w:ascii="Times New Roman" w:hAnsi="Times New Roman" w:cs="Times New Roman"/>
          <w:i/>
          <w:sz w:val="24"/>
          <w:szCs w:val="24"/>
        </w:rPr>
        <w:t>SDG&amp;E is requesting that the Commission approve in this proceedi</w:t>
      </w:r>
      <w:r w:rsidRPr="006C2ED5">
        <w:rPr>
          <w:rFonts w:ascii="Times New Roman" w:hAnsi="Times New Roman" w:cs="Times New Roman"/>
          <w:i/>
          <w:sz w:val="24"/>
          <w:szCs w:val="24"/>
        </w:rPr>
        <w:t>ng:</w:t>
      </w:r>
      <w:r w:rsidRPr="006C2ED5">
        <w:rPr>
          <w:rFonts w:ascii="Times New Roman" w:hAnsi="Times New Roman" w:cs="Times New Roman"/>
          <w:i/>
          <w:sz w:val="24"/>
          <w:szCs w:val="24"/>
        </w:rPr>
        <w:t xml:space="preserve"> (1) direct capital and O&amp;M costs of $241.8 mil</w:t>
      </w:r>
      <w:r w:rsidRPr="006C2ED5">
        <w:rPr>
          <w:rFonts w:ascii="Times New Roman" w:hAnsi="Times New Roman" w:cs="Times New Roman"/>
          <w:i/>
          <w:sz w:val="24"/>
          <w:szCs w:val="24"/>
        </w:rPr>
        <w:t>lion (as shown in Table MAC-</w:t>
      </w:r>
      <w:r w:rsidRPr="006C2ED5">
        <w:rPr>
          <w:rFonts w:ascii="Times New Roman" w:hAnsi="Times New Roman" w:cs="Times New Roman"/>
          <w:i/>
          <w:sz w:val="24"/>
          <w:szCs w:val="24"/>
        </w:rPr>
        <w:t xml:space="preserve">3 and loaded and escalated to $341.6 </w:t>
      </w:r>
      <w:r w:rsidRPr="006C2ED5">
        <w:rPr>
          <w:rFonts w:ascii="Times New Roman" w:hAnsi="Times New Roman" w:cs="Times New Roman"/>
          <w:i/>
          <w:sz w:val="24"/>
          <w:szCs w:val="24"/>
        </w:rPr>
        <w:t>million as shown in Table MAC-6</w:t>
      </w:r>
      <w:r w:rsidRPr="006C2ED5">
        <w:rPr>
          <w:rFonts w:ascii="Times New Roman" w:hAnsi="Times New Roman" w:cs="Times New Roman"/>
          <w:i/>
          <w:sz w:val="24"/>
          <w:szCs w:val="24"/>
        </w:rPr>
        <w:t xml:space="preserve"> and (2) the assoc</w:t>
      </w:r>
      <w:r w:rsidR="008E43FA" w:rsidRPr="006C2ED5">
        <w:rPr>
          <w:rFonts w:ascii="Times New Roman" w:hAnsi="Times New Roman" w:cs="Times New Roman"/>
          <w:i/>
          <w:sz w:val="24"/>
          <w:szCs w:val="24"/>
        </w:rPr>
        <w:t>iated</w:t>
      </w:r>
      <w:r w:rsidRPr="006C2ED5">
        <w:rPr>
          <w:rFonts w:ascii="Times New Roman" w:hAnsi="Times New Roman" w:cs="Times New Roman"/>
          <w:i/>
          <w:sz w:val="24"/>
          <w:szCs w:val="24"/>
        </w:rPr>
        <w:t xml:space="preserve"> revenue requirement currently estimated to be $211.7 million (as shown in Appendix A).</w:t>
      </w:r>
    </w:p>
    <w:p w:rsidR="0097558D" w:rsidRPr="006C2ED5" w:rsidRDefault="0097558D" w:rsidP="00A6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7558D" w:rsidRPr="006C2ED5" w:rsidRDefault="009B472E" w:rsidP="009B47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ED5">
        <w:rPr>
          <w:rFonts w:ascii="Times New Roman" w:hAnsi="Times New Roman" w:cs="Times New Roman"/>
          <w:sz w:val="24"/>
          <w:szCs w:val="24"/>
        </w:rPr>
        <w:t>Does SDG&amp;E’s estimate that the direct costs of $241.8 million will increase to $</w:t>
      </w:r>
      <w:r w:rsidR="00D83C2B" w:rsidRPr="006C2ED5">
        <w:rPr>
          <w:rFonts w:ascii="Times New Roman" w:hAnsi="Times New Roman" w:cs="Times New Roman"/>
          <w:sz w:val="24"/>
          <w:szCs w:val="24"/>
        </w:rPr>
        <w:t>341.6 million</w:t>
      </w:r>
      <w:r w:rsidRPr="006C2ED5">
        <w:rPr>
          <w:rFonts w:ascii="Times New Roman" w:hAnsi="Times New Roman" w:cs="Times New Roman"/>
          <w:sz w:val="24"/>
          <w:szCs w:val="24"/>
        </w:rPr>
        <w:t xml:space="preserve"> when including escalation and loaders represent the costs SDG&amp;E estimates for overhead? If not, please explain what the </w:t>
      </w:r>
      <w:r w:rsidR="006C2ED5">
        <w:rPr>
          <w:rFonts w:ascii="Times New Roman" w:hAnsi="Times New Roman" w:cs="Times New Roman"/>
          <w:sz w:val="24"/>
          <w:szCs w:val="24"/>
        </w:rPr>
        <w:t xml:space="preserve">extra </w:t>
      </w:r>
      <w:r w:rsidRPr="006C2ED5">
        <w:rPr>
          <w:rFonts w:ascii="Times New Roman" w:hAnsi="Times New Roman" w:cs="Times New Roman"/>
          <w:sz w:val="24"/>
          <w:szCs w:val="24"/>
        </w:rPr>
        <w:t xml:space="preserve">$100.2 million represents.   </w:t>
      </w:r>
    </w:p>
    <w:p w:rsidR="008E43FA" w:rsidRPr="006C2ED5" w:rsidRDefault="006C2ED5" w:rsidP="009B47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 the associated increase in the revenue requirement of $211.7 mentioned by Mr. Calabrese in his testimony (and as shown in Appendix A to his testimony) does this $211.7 represent only 6 years for the life of this program, i.e., the years 2019 to 2025 and for the projected life of this program, (projected in Appendix A to be to 2050), an increase of $750,266,000?</w:t>
      </w:r>
    </w:p>
    <w:p w:rsidR="00A607EC" w:rsidRDefault="00A607EC" w:rsidP="00A607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8646C" w:rsidRDefault="00A607EC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</w:t>
      </w:r>
      <w:r w:rsidR="0078646C">
        <w:rPr>
          <w:rFonts w:ascii="TimesNewRomanPSMT" w:hAnsi="TimesNewRomanPSMT" w:cs="TimesNewRomanPSMT"/>
          <w:sz w:val="24"/>
          <w:szCs w:val="24"/>
        </w:rPr>
        <w:t>. Please explain the meaning of the following statement as used in SDG&amp;E's response to UCAN DR-02, Q. 9:  "</w:t>
      </w:r>
      <w:r w:rsidR="0078646C">
        <w:rPr>
          <w:rFonts w:ascii="TimesNewRomanPSMT" w:hAnsi="TimesNewRomanPSMT" w:cs="TimesNewRomanPSMT"/>
          <w:sz w:val="24"/>
          <w:szCs w:val="24"/>
        </w:rPr>
        <w:t>Escalation percentages also are applied and compounded monthly</w:t>
      </w:r>
      <w:r w:rsidR="0078646C">
        <w:rPr>
          <w:rFonts w:ascii="TimesNewRomanPSMT" w:hAnsi="TimesNewRomanPSMT" w:cs="TimesNewRomanPSMT"/>
          <w:sz w:val="24"/>
          <w:szCs w:val="24"/>
        </w:rPr>
        <w:t xml:space="preserve">".  </w:t>
      </w:r>
      <w:r w:rsidR="008A00AA">
        <w:rPr>
          <w:rFonts w:ascii="TimesNewRomanPSMT" w:hAnsi="TimesNewRomanPSMT" w:cs="TimesNewRomanPSMT"/>
          <w:sz w:val="24"/>
          <w:szCs w:val="24"/>
        </w:rPr>
        <w:t>SDG&amp;E's response then provides a forecast of escalation rates to 2025.  Does SDG&amp;E's forecast</w:t>
      </w:r>
      <w:r w:rsidR="0078646C">
        <w:rPr>
          <w:rFonts w:ascii="TimesNewRomanPSMT" w:hAnsi="TimesNewRomanPSMT" w:cs="TimesNewRomanPSMT"/>
          <w:sz w:val="24"/>
          <w:szCs w:val="24"/>
        </w:rPr>
        <w:t xml:space="preserve"> mean that in addition to the overhead rate collected by SDG&amp;E that the utility is</w:t>
      </w:r>
      <w:r w:rsidR="008A00AA">
        <w:rPr>
          <w:rFonts w:ascii="TimesNewRomanPSMT" w:hAnsi="TimesNewRomanPSMT" w:cs="TimesNewRomanPSMT"/>
          <w:sz w:val="24"/>
          <w:szCs w:val="24"/>
        </w:rPr>
        <w:t xml:space="preserve"> anticipating a 3% escalation, compounded </w:t>
      </w:r>
      <w:r w:rsidR="008A00AA" w:rsidRPr="008A00AA">
        <w:rPr>
          <w:rFonts w:ascii="TimesNewRomanPSMT" w:hAnsi="TimesNewRomanPSMT" w:cs="TimesNewRomanPSMT"/>
          <w:sz w:val="24"/>
          <w:szCs w:val="24"/>
        </w:rPr>
        <w:t>monthly,</w:t>
      </w:r>
      <w:r w:rsidR="008A00AA">
        <w:rPr>
          <w:rFonts w:ascii="TimesNewRomanPSMT" w:hAnsi="TimesNewRomanPSMT" w:cs="TimesNewRomanPSMT"/>
          <w:sz w:val="24"/>
          <w:szCs w:val="24"/>
        </w:rPr>
        <w:t xml:space="preserve"> until 2025</w:t>
      </w:r>
      <w:r w:rsidR="0078646C">
        <w:rPr>
          <w:rFonts w:ascii="TimesNewRomanPSMT" w:hAnsi="TimesNewRomanPSMT" w:cs="TimesNewRomanPSMT"/>
          <w:sz w:val="24"/>
          <w:szCs w:val="24"/>
        </w:rPr>
        <w:t xml:space="preserve"> to their overhead rates?</w:t>
      </w:r>
    </w:p>
    <w:p w:rsidR="00A607EC" w:rsidRDefault="00A607EC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A00AA" w:rsidRDefault="00A607EC" w:rsidP="00725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58D">
        <w:rPr>
          <w:rFonts w:ascii="Times New Roman" w:hAnsi="Times New Roman" w:cs="Times New Roman"/>
          <w:sz w:val="24"/>
          <w:szCs w:val="24"/>
        </w:rPr>
        <w:lastRenderedPageBreak/>
        <w:t>6.  Why doe</w:t>
      </w:r>
      <w:r w:rsidR="009B472E">
        <w:rPr>
          <w:rFonts w:ascii="Times New Roman" w:hAnsi="Times New Roman" w:cs="Times New Roman"/>
          <w:sz w:val="24"/>
          <w:szCs w:val="24"/>
        </w:rPr>
        <w:t>s SDG&amp;E forecast</w:t>
      </w:r>
      <w:r w:rsidR="0097558D" w:rsidRPr="0097558D">
        <w:rPr>
          <w:rFonts w:ascii="Times New Roman" w:hAnsi="Times New Roman" w:cs="Times New Roman"/>
          <w:sz w:val="24"/>
          <w:szCs w:val="24"/>
        </w:rPr>
        <w:t xml:space="preserve">, as shown </w:t>
      </w:r>
      <w:r w:rsidR="009B472E">
        <w:rPr>
          <w:rFonts w:ascii="Times New Roman" w:hAnsi="Times New Roman" w:cs="Times New Roman"/>
          <w:sz w:val="24"/>
          <w:szCs w:val="24"/>
        </w:rPr>
        <w:t>in</w:t>
      </w:r>
      <w:r w:rsidR="0097558D" w:rsidRPr="0097558D">
        <w:rPr>
          <w:rFonts w:ascii="Times New Roman" w:hAnsi="Times New Roman" w:cs="Times New Roman"/>
          <w:sz w:val="24"/>
          <w:szCs w:val="24"/>
        </w:rPr>
        <w:t xml:space="preserve"> </w:t>
      </w:r>
      <w:r w:rsidR="009B472E">
        <w:rPr>
          <w:rFonts w:ascii="Times New Roman" w:hAnsi="Times New Roman" w:cs="Times New Roman"/>
          <w:sz w:val="24"/>
          <w:szCs w:val="24"/>
        </w:rPr>
        <w:t xml:space="preserve">SDG&amp;E’s answer to </w:t>
      </w:r>
      <w:r w:rsidR="0097558D" w:rsidRPr="0097558D">
        <w:rPr>
          <w:rFonts w:ascii="Times New Roman" w:hAnsi="Times New Roman" w:cs="Times New Roman"/>
          <w:sz w:val="24"/>
          <w:szCs w:val="24"/>
        </w:rPr>
        <w:t xml:space="preserve">UCAN DR-02, Q. 9, an approximately </w:t>
      </w:r>
      <w:r w:rsidRPr="0097558D">
        <w:rPr>
          <w:rFonts w:ascii="Times New Roman" w:hAnsi="Times New Roman" w:cs="Times New Roman"/>
          <w:sz w:val="24"/>
          <w:szCs w:val="24"/>
        </w:rPr>
        <w:t xml:space="preserve">3% </w:t>
      </w:r>
      <w:r w:rsidR="0097558D" w:rsidRPr="0097558D">
        <w:rPr>
          <w:rFonts w:ascii="Times New Roman" w:hAnsi="Times New Roman" w:cs="Times New Roman"/>
          <w:sz w:val="24"/>
          <w:szCs w:val="24"/>
        </w:rPr>
        <w:t>escalation for labor and capital for this program from 2020 to 2015?</w:t>
      </w:r>
      <w:r w:rsidRPr="0097558D">
        <w:rPr>
          <w:rFonts w:ascii="Times New Roman" w:hAnsi="Times New Roman" w:cs="Times New Roman"/>
          <w:sz w:val="24"/>
          <w:szCs w:val="24"/>
        </w:rPr>
        <w:t xml:space="preserve"> </w:t>
      </w:r>
      <w:r w:rsidR="008E4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C2B" w:rsidRPr="0097558D" w:rsidRDefault="00D83C2B" w:rsidP="00725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7EC" w:rsidRPr="0097558D" w:rsidRDefault="00A607EC" w:rsidP="00725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7EC" w:rsidRPr="0097558D" w:rsidRDefault="00A607EC" w:rsidP="00A6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E2" w:rsidRPr="00D83C2B" w:rsidRDefault="006C2ED5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D83C2B">
        <w:rPr>
          <w:rFonts w:ascii="TimesNewRomanPSMT" w:hAnsi="TimesNewRomanPSMT" w:cs="TimesNewRomanPSMT"/>
          <w:b/>
          <w:sz w:val="24"/>
          <w:szCs w:val="24"/>
        </w:rPr>
        <w:t>UCAN DATA REQUEST DR-02, QUESTION S 8 AND 9 AND SDG&amp;E'S RESPONSES.</w:t>
      </w:r>
    </w:p>
    <w:p w:rsidR="001A10E2" w:rsidRPr="00D83C2B" w:rsidRDefault="001A10E2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1A10E2" w:rsidRDefault="001A10E2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A10E2" w:rsidRDefault="001A10E2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SDG&amp;E responded to those questions as follows:</w:t>
      </w:r>
    </w:p>
    <w:p w:rsidR="001A10E2" w:rsidRDefault="001A10E2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 Does the amount SDG&amp;E has estimated for the Level 2 charge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r costs, installation costs and </w:t>
      </w:r>
      <w:r>
        <w:rPr>
          <w:rFonts w:ascii="TimesNewRomanPSMT" w:hAnsi="TimesNewRomanPSMT" w:cs="TimesNewRomanPSMT"/>
          <w:sz w:val="24"/>
          <w:szCs w:val="24"/>
        </w:rPr>
        <w:t>permitting fees include funds to cover other costs i.e., an a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llocation of fixed corporate or </w:t>
      </w:r>
      <w:r>
        <w:rPr>
          <w:rFonts w:ascii="TimesNewRomanPSMT" w:hAnsi="TimesNewRomanPSMT" w:cs="TimesNewRomanPSMT"/>
          <w:sz w:val="24"/>
          <w:szCs w:val="24"/>
        </w:rPr>
        <w:t>other overheads, e.g., A&amp;G? If you included an allocation of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 overhead or other fixed costs, </w:t>
      </w:r>
      <w:r>
        <w:rPr>
          <w:rFonts w:ascii="TimesNewRomanPSMT" w:hAnsi="TimesNewRomanPSMT" w:cs="TimesNewRomanPSMT"/>
          <w:sz w:val="24"/>
          <w:szCs w:val="24"/>
        </w:rPr>
        <w:t>were these incremental costs associated with the incremental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 EVs purchased or an allocation </w:t>
      </w:r>
      <w:r>
        <w:rPr>
          <w:rFonts w:ascii="TimesNewRomanPSMT" w:hAnsi="TimesNewRomanPSMT" w:cs="TimesNewRomanPSMT"/>
          <w:sz w:val="24"/>
          <w:szCs w:val="24"/>
        </w:rPr>
        <w:t>of total overhead costs?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SDG&amp;E Response: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Please see the response to Question #9.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E1FE1" w:rsidRDefault="0072585B" w:rsidP="001A10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 Please list the overhead and other fixed costs included in the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 SDG&amp;E Level 2 charger cost, if </w:t>
      </w:r>
      <w:r>
        <w:rPr>
          <w:rFonts w:ascii="TimesNewRomanPSMT" w:hAnsi="TimesNewRomanPSMT" w:cs="TimesNewRomanPSMT"/>
          <w:sz w:val="24"/>
          <w:szCs w:val="24"/>
        </w:rPr>
        <w:t>any? Please identify the relevant cost driver, e.g., n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umber of employees, kWh energy, </w:t>
      </w:r>
      <w:r>
        <w:rPr>
          <w:rFonts w:ascii="TimesNewRomanPSMT" w:hAnsi="TimesNewRomanPSMT" w:cs="TimesNewRomanPSMT"/>
          <w:sz w:val="24"/>
          <w:szCs w:val="24"/>
        </w:rPr>
        <w:t>revenues, etc.?</w:t>
      </w:r>
    </w:p>
    <w:p w:rsidR="0072585B" w:rsidRDefault="0072585B" w:rsidP="0072585B">
      <w:pPr>
        <w:rPr>
          <w:rFonts w:ascii="TimesNewRomanPSMT" w:hAnsi="TimesNewRomanPSMT" w:cs="TimesNewRomanPSMT"/>
          <w:sz w:val="24"/>
          <w:szCs w:val="24"/>
        </w:rPr>
      </w:pP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SDG&amp;E Response: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overheads applied to the capitalized Level 2 charger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 costs are 48.9%. (</w:t>
      </w:r>
      <w:r w:rsidR="00D83C2B">
        <w:rPr>
          <w:rFonts w:ascii="TimesNewRomanPSMT" w:hAnsi="TimesNewRomanPSMT" w:cs="TimesNewRomanPSMT"/>
          <w:sz w:val="24"/>
          <w:szCs w:val="24"/>
        </w:rPr>
        <w:t>See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 attached </w:t>
      </w:r>
      <w:r>
        <w:rPr>
          <w:rFonts w:ascii="TimesNewRomanPSMT" w:hAnsi="TimesNewRomanPSMT" w:cs="TimesNewRomanPSMT"/>
          <w:sz w:val="24"/>
          <w:szCs w:val="24"/>
        </w:rPr>
        <w:t>worksheet “UCAN Data Response for Q8 and Q9” and the tab labeled “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Master Esc &amp; </w:t>
      </w:r>
      <w:r>
        <w:rPr>
          <w:rFonts w:ascii="TimesNewRomanPSMT" w:hAnsi="TimesNewRomanPSMT" w:cs="TimesNewRomanPSMT"/>
          <w:sz w:val="24"/>
          <w:szCs w:val="24"/>
        </w:rPr>
        <w:t>Loader” Col. E Row 29). This overhead rate is applied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 to Contracted Electric Vehicle </w:t>
      </w:r>
      <w:r>
        <w:rPr>
          <w:rFonts w:ascii="TimesNewRomanPSMT" w:hAnsi="TimesNewRomanPSMT" w:cs="TimesNewRomanPSMT"/>
          <w:sz w:val="24"/>
          <w:szCs w:val="24"/>
        </w:rPr>
        <w:t>Equipment &amp; Installation costs. It includes services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 which are provided by electric </w:t>
      </w:r>
      <w:r>
        <w:rPr>
          <w:rFonts w:ascii="TimesNewRomanPSMT" w:hAnsi="TimesNewRomanPSMT" w:cs="TimesNewRomanPSMT"/>
          <w:sz w:val="24"/>
          <w:szCs w:val="24"/>
        </w:rPr>
        <w:t>distribution, Purchasing, and administrative and gene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ral group functions. Escalation </w:t>
      </w:r>
      <w:r>
        <w:rPr>
          <w:rFonts w:ascii="TimesNewRomanPSMT" w:hAnsi="TimesNewRomanPSMT" w:cs="TimesNewRomanPSMT"/>
          <w:sz w:val="24"/>
          <w:szCs w:val="24"/>
        </w:rPr>
        <w:t>percentages also are applied and compounded monthly. Pl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ease refer to the worksheet tab </w:t>
      </w:r>
      <w:r>
        <w:rPr>
          <w:rFonts w:ascii="TimesNewRomanPSMT" w:hAnsi="TimesNewRomanPSMT" w:cs="TimesNewRomanPSMT"/>
          <w:sz w:val="24"/>
          <w:szCs w:val="24"/>
        </w:rPr>
        <w:t>“Residential RR Input” Row 58 labeled Escalation Percen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tage for escalation percentages </w:t>
      </w:r>
      <w:r>
        <w:rPr>
          <w:rFonts w:ascii="TimesNewRomanPSMT" w:hAnsi="TimesNewRomanPSMT" w:cs="TimesNewRomanPSMT"/>
          <w:sz w:val="24"/>
          <w:szCs w:val="24"/>
        </w:rPr>
        <w:t>identified below, and row 75 Escalator Multiplier fo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r monthly compounded escalation </w:t>
      </w:r>
      <w:r>
        <w:rPr>
          <w:rFonts w:ascii="TimesNewRomanPSMT" w:hAnsi="TimesNewRomanPSMT" w:cs="TimesNewRomanPSMT"/>
          <w:sz w:val="24"/>
          <w:szCs w:val="24"/>
        </w:rPr>
        <w:t>percentages.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585B" w:rsidRDefault="0072585B" w:rsidP="0072585B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Escalation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Year Percentage Compounded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2020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2.95% see worksheet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2021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3.00% see worksheet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2022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3.02% </w:t>
      </w:r>
      <w:r w:rsidR="00D83C2B">
        <w:rPr>
          <w:rFonts w:ascii="TimesNewRomanPSMT" w:hAnsi="TimesNewRomanPSMT" w:cs="TimesNewRomanPSMT"/>
          <w:sz w:val="24"/>
          <w:szCs w:val="24"/>
        </w:rPr>
        <w:t>““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2023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3.01% “ “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2024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2.97% “ “</w:t>
      </w:r>
    </w:p>
    <w:p w:rsidR="0072585B" w:rsidRDefault="0072585B" w:rsidP="0072585B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2025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3.00% “ “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overheads applied to the capitalized labor of $1,425 ar</w:t>
      </w:r>
      <w:r w:rsidR="001A10E2">
        <w:rPr>
          <w:rFonts w:ascii="TimesNewRomanPSMT" w:hAnsi="TimesNewRomanPSMT" w:cs="TimesNewRomanPSMT"/>
          <w:sz w:val="24"/>
          <w:szCs w:val="24"/>
        </w:rPr>
        <w:t>e 5.0%. (</w:t>
      </w:r>
      <w:r w:rsidR="00D83C2B">
        <w:rPr>
          <w:rFonts w:ascii="TimesNewRomanPSMT" w:hAnsi="TimesNewRomanPSMT" w:cs="TimesNewRomanPSMT"/>
          <w:sz w:val="24"/>
          <w:szCs w:val="24"/>
        </w:rPr>
        <w:t>See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 attached worksheet </w:t>
      </w:r>
      <w:r>
        <w:rPr>
          <w:rFonts w:ascii="TimesNewRomanPSMT" w:hAnsi="TimesNewRomanPSMT" w:cs="TimesNewRomanPSMT"/>
          <w:sz w:val="24"/>
          <w:szCs w:val="24"/>
        </w:rPr>
        <w:t>“UCAN Data Response for Q8 and Q9” and the tab labeled “Master Esc. &amp; Loaders”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 Col. E </w:t>
      </w:r>
      <w:r>
        <w:rPr>
          <w:rFonts w:ascii="TimesNewRomanPSMT" w:hAnsi="TimesNewRomanPSMT" w:cs="TimesNewRomanPSMT"/>
          <w:sz w:val="24"/>
          <w:szCs w:val="24"/>
        </w:rPr>
        <w:t>Row 30). This overhead rate is applied to contracted engineer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ing, design, and permitting. It </w:t>
      </w:r>
      <w:r>
        <w:rPr>
          <w:rFonts w:ascii="TimesNewRomanPSMT" w:hAnsi="TimesNewRomanPSMT" w:cs="TimesNewRomanPSMT"/>
          <w:sz w:val="24"/>
          <w:szCs w:val="24"/>
        </w:rPr>
        <w:lastRenderedPageBreak/>
        <w:t>includes services which are provided by administrative a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nd general group functions, and </w:t>
      </w:r>
      <w:r>
        <w:rPr>
          <w:rFonts w:ascii="TimesNewRomanPSMT" w:hAnsi="TimesNewRomanPSMT" w:cs="TimesNewRomanPSMT"/>
          <w:sz w:val="24"/>
          <w:szCs w:val="24"/>
        </w:rPr>
        <w:t xml:space="preserve">Purchasing. Annual Escalation percentages also are 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applied and compounded monthly. </w:t>
      </w:r>
      <w:r>
        <w:rPr>
          <w:rFonts w:ascii="TimesNewRomanPSMT" w:hAnsi="TimesNewRomanPSMT" w:cs="TimesNewRomanPSMT"/>
          <w:sz w:val="24"/>
          <w:szCs w:val="24"/>
        </w:rPr>
        <w:t>Please refer to the worksheet tab “Residential RR Input”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 Row 58 labeled Escalation </w:t>
      </w:r>
      <w:r>
        <w:rPr>
          <w:rFonts w:ascii="TimesNewRomanPSMT" w:hAnsi="TimesNewRomanPSMT" w:cs="TimesNewRomanPSMT"/>
          <w:sz w:val="24"/>
          <w:szCs w:val="24"/>
        </w:rPr>
        <w:t xml:space="preserve">Percentage for escalation percentages identified below, and </w:t>
      </w:r>
      <w:r w:rsidR="001A10E2">
        <w:rPr>
          <w:rFonts w:ascii="TimesNewRomanPSMT" w:hAnsi="TimesNewRomanPSMT" w:cs="TimesNewRomanPSMT"/>
          <w:sz w:val="24"/>
          <w:szCs w:val="24"/>
        </w:rPr>
        <w:t xml:space="preserve">row 75 Escalator Multiplier for </w:t>
      </w:r>
      <w:r>
        <w:rPr>
          <w:rFonts w:ascii="TimesNewRomanPSMT" w:hAnsi="TimesNewRomanPSMT" w:cs="TimesNewRomanPSMT"/>
          <w:sz w:val="24"/>
          <w:szCs w:val="24"/>
        </w:rPr>
        <w:t>monthly compounded escalation percentages.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585B" w:rsidRPr="001A10E2" w:rsidRDefault="0072585B" w:rsidP="0072585B">
      <w:pPr>
        <w:rPr>
          <w:rFonts w:ascii="TimesNewRomanPSMT" w:hAnsi="TimesNewRomanPSMT" w:cs="TimesNewRomanPSMT"/>
          <w:b/>
          <w:sz w:val="24"/>
          <w:szCs w:val="24"/>
        </w:rPr>
      </w:pPr>
      <w:r w:rsidRPr="001A10E2">
        <w:rPr>
          <w:rFonts w:ascii="TimesNewRomanPSMT" w:hAnsi="TimesNewRomanPSMT" w:cs="TimesNewRomanPSMT"/>
          <w:b/>
          <w:sz w:val="24"/>
          <w:szCs w:val="24"/>
        </w:rPr>
        <w:t>Escalation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Year Percentage Compounded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2020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2.95% see worksheet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2021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3.00% see worksheet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2022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3.02% “ “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2023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3.01% “ “</w:t>
      </w:r>
    </w:p>
    <w:p w:rsidR="0072585B" w:rsidRDefault="0072585B" w:rsidP="00725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2024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2.97% “ “</w:t>
      </w:r>
    </w:p>
    <w:p w:rsidR="0072585B" w:rsidRDefault="0072585B" w:rsidP="0072585B">
      <w:r>
        <w:rPr>
          <w:rFonts w:ascii="TimesNewRomanPSMT" w:hAnsi="TimesNewRomanPSMT" w:cs="TimesNewRomanPSMT"/>
          <w:sz w:val="24"/>
          <w:szCs w:val="24"/>
        </w:rPr>
        <w:t xml:space="preserve">2025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3.00% “ “</w:t>
      </w:r>
    </w:p>
    <w:sectPr w:rsidR="00725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A1973"/>
    <w:multiLevelType w:val="hybridMultilevel"/>
    <w:tmpl w:val="C1E4F5B8"/>
    <w:lvl w:ilvl="0" w:tplc="7486A288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05387"/>
    <w:multiLevelType w:val="hybridMultilevel"/>
    <w:tmpl w:val="D9CCEC00"/>
    <w:lvl w:ilvl="0" w:tplc="FBD4929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2B3A25"/>
    <w:multiLevelType w:val="hybridMultilevel"/>
    <w:tmpl w:val="6EEA9FAE"/>
    <w:lvl w:ilvl="0" w:tplc="5DD2AD0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5B"/>
    <w:rsid w:val="000065F3"/>
    <w:rsid w:val="001A10E2"/>
    <w:rsid w:val="00201C8C"/>
    <w:rsid w:val="002E1FE1"/>
    <w:rsid w:val="006C2ED5"/>
    <w:rsid w:val="0072585B"/>
    <w:rsid w:val="0078646C"/>
    <w:rsid w:val="008A00AA"/>
    <w:rsid w:val="008E43FA"/>
    <w:rsid w:val="0097558D"/>
    <w:rsid w:val="009B472E"/>
    <w:rsid w:val="00A3591D"/>
    <w:rsid w:val="00A607EC"/>
    <w:rsid w:val="00D8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3831"/>
  <w15:chartTrackingRefBased/>
  <w15:docId w15:val="{F81C8144-59C7-497B-A71D-705D10A4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dkelly</dc:creator>
  <cp:keywords/>
  <dc:description/>
  <cp:lastModifiedBy>dkelly</cp:lastModifiedBy>
  <cp:revision>1</cp:revision>
  <dcterms:created xsi:type="dcterms:W3CDTF">2017-09-29T00:49:00Z</dcterms:created>
  <dcterms:modified xsi:type="dcterms:W3CDTF">2017-09-29T19:26:00Z</dcterms:modified>
</cp:coreProperties>
</file>