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7C570" w14:textId="77777777" w:rsidR="005477C5" w:rsidRDefault="00C219C9">
      <w:pPr>
        <w:pStyle w:val="Title"/>
        <w:rPr>
          <w:u w:val="none"/>
        </w:rPr>
      </w:pPr>
      <w:r>
        <w:t>Respondent</w:t>
      </w:r>
      <w:r>
        <w:rPr>
          <w:spacing w:val="-7"/>
        </w:rPr>
        <w:t xml:space="preserve"> </w:t>
      </w:r>
      <w:r>
        <w:t>Confidentiality</w:t>
      </w:r>
      <w:r>
        <w:rPr>
          <w:spacing w:val="-5"/>
        </w:rPr>
        <w:t xml:space="preserve"> </w:t>
      </w:r>
      <w:r>
        <w:t>Notice</w:t>
      </w:r>
      <w:r>
        <w:rPr>
          <w:spacing w:val="-8"/>
        </w:rPr>
        <w:t xml:space="preserve"> </w:t>
      </w:r>
      <w:r>
        <w:t>and</w:t>
      </w:r>
      <w:r>
        <w:rPr>
          <w:spacing w:val="-7"/>
        </w:rPr>
        <w:t xml:space="preserve"> </w:t>
      </w:r>
      <w:r>
        <w:rPr>
          <w:spacing w:val="-2"/>
        </w:rPr>
        <w:t>Agreement</w:t>
      </w:r>
    </w:p>
    <w:p w14:paraId="754E28CF" w14:textId="77777777" w:rsidR="005477C5" w:rsidRDefault="005477C5">
      <w:pPr>
        <w:pStyle w:val="BodyText"/>
        <w:spacing w:before="3"/>
        <w:rPr>
          <w:b/>
          <w:sz w:val="12"/>
        </w:rPr>
      </w:pPr>
    </w:p>
    <w:p w14:paraId="528091B6" w14:textId="5A9B0F71" w:rsidR="005477C5" w:rsidRDefault="00C219C9">
      <w:pPr>
        <w:pStyle w:val="BodyText"/>
        <w:ind w:left="100" w:right="108"/>
        <w:jc w:val="both"/>
      </w:pPr>
      <w:r>
        <w:t xml:space="preserve">San Diego Gas &amp; Electric Company (“Company”) considers the </w:t>
      </w:r>
      <w:r w:rsidR="00653E2C">
        <w:rPr>
          <w:b/>
        </w:rPr>
        <w:t>2027-2032 Reliability RFO</w:t>
      </w:r>
      <w:r>
        <w:rPr>
          <w:b/>
        </w:rPr>
        <w:t xml:space="preserve"> Request for Offers </w:t>
      </w:r>
      <w:r>
        <w:t>(“RFO”), and all attachments, documents, and information related thereto, including, without limitation, information relating to customers, energy usage, electric loads, Company facilities (including, without limitation, circuit</w:t>
      </w:r>
      <w:r>
        <w:rPr>
          <w:spacing w:val="40"/>
        </w:rPr>
        <w:t xml:space="preserve"> </w:t>
      </w:r>
      <w:r>
        <w:t>and substation locations thereof) and/or business plans (collectively, “Confidential Information”) to be confidential and proprietary. Additionally, Confidential Information shall include any data in GIS format pertaining to SDG&amp;E’s electric and gas infrastructure, including shapefiles for structures, biological and cultural resources survey shapefile data, geotechnical reports, timeline layers and access roads, electric pole locations and any other information of a confidential nature (“GIS Data”). By signing this Confidentiality Notice and Agreement (“Agreement”), Respondent hereby represents and warrants that all Confidential Information supplied to Respondent by Company shall</w:t>
      </w:r>
      <w:r>
        <w:rPr>
          <w:spacing w:val="-13"/>
        </w:rPr>
        <w:t xml:space="preserve"> </w:t>
      </w:r>
      <w:r>
        <w:t>be considered and treated as confidential and shall not be provided or disclosed to any third parties without express written permission from Company, except that Respondent may disclose Confidential Information to Respondent’s own affiliates, employees and consultants who require access to the RFO in the preparation of a proposal and have agreed to keep</w:t>
      </w:r>
      <w:r>
        <w:rPr>
          <w:spacing w:val="80"/>
        </w:rPr>
        <w:t xml:space="preserve"> </w:t>
      </w:r>
      <w:r>
        <w:t>such Confidential Information confidential consistent with the requirements of this Agreement. Respondent shall exercise the same degree of care to protect the confidentiality of the Confidential Information as it would exercise in protecting its own similar confidential information. Respondent further agrees to destroy (and certify such destruction) or return, on Company’s request, all Confidential Information following the conclusion of the RFO. Respondent shall be liable for any actions by its employees, contractors,</w:t>
      </w:r>
      <w:r>
        <w:rPr>
          <w:spacing w:val="-2"/>
        </w:rPr>
        <w:t xml:space="preserve"> </w:t>
      </w:r>
      <w:r>
        <w:t>subcontractors</w:t>
      </w:r>
      <w:r>
        <w:rPr>
          <w:spacing w:val="-3"/>
        </w:rPr>
        <w:t xml:space="preserve"> </w:t>
      </w:r>
      <w:r>
        <w:t>or</w:t>
      </w:r>
      <w:r>
        <w:rPr>
          <w:spacing w:val="-4"/>
        </w:rPr>
        <w:t xml:space="preserve"> </w:t>
      </w:r>
      <w:r>
        <w:t>any</w:t>
      </w:r>
      <w:r>
        <w:rPr>
          <w:spacing w:val="-1"/>
        </w:rPr>
        <w:t xml:space="preserve"> </w:t>
      </w:r>
      <w:r>
        <w:t>party</w:t>
      </w:r>
      <w:r>
        <w:rPr>
          <w:spacing w:val="-1"/>
        </w:rPr>
        <w:t xml:space="preserve"> </w:t>
      </w:r>
      <w:r>
        <w:t>under</w:t>
      </w:r>
      <w:r>
        <w:rPr>
          <w:spacing w:val="-1"/>
        </w:rPr>
        <w:t xml:space="preserve"> </w:t>
      </w:r>
      <w:r>
        <w:t>its control</w:t>
      </w:r>
      <w:r>
        <w:rPr>
          <w:spacing w:val="-3"/>
        </w:rPr>
        <w:t xml:space="preserve"> </w:t>
      </w:r>
      <w:r>
        <w:t>that</w:t>
      </w:r>
      <w:r>
        <w:rPr>
          <w:spacing w:val="-3"/>
        </w:rPr>
        <w:t xml:space="preserve"> </w:t>
      </w:r>
      <w:r>
        <w:t>is</w:t>
      </w:r>
      <w:r>
        <w:rPr>
          <w:spacing w:val="-3"/>
        </w:rPr>
        <w:t xml:space="preserve"> </w:t>
      </w:r>
      <w:r>
        <w:t>inconsistent</w:t>
      </w:r>
      <w:r>
        <w:rPr>
          <w:spacing w:val="-3"/>
        </w:rPr>
        <w:t xml:space="preserve"> </w:t>
      </w:r>
      <w:r>
        <w:t>with</w:t>
      </w:r>
      <w:r>
        <w:rPr>
          <w:spacing w:val="-2"/>
        </w:rPr>
        <w:t xml:space="preserve"> </w:t>
      </w:r>
      <w:r>
        <w:t>such</w:t>
      </w:r>
      <w:r>
        <w:rPr>
          <w:spacing w:val="-1"/>
        </w:rPr>
        <w:t xml:space="preserve"> </w:t>
      </w:r>
      <w:r>
        <w:t>obligations.</w:t>
      </w:r>
      <w:r>
        <w:rPr>
          <w:spacing w:val="-2"/>
        </w:rPr>
        <w:t xml:space="preserve"> </w:t>
      </w:r>
      <w:r>
        <w:t>Excluded</w:t>
      </w:r>
      <w:r>
        <w:rPr>
          <w:spacing w:val="-1"/>
        </w:rPr>
        <w:t xml:space="preserve"> </w:t>
      </w:r>
      <w:r>
        <w:t>from</w:t>
      </w:r>
      <w:r>
        <w:rPr>
          <w:spacing w:val="-1"/>
        </w:rPr>
        <w:t xml:space="preserve"> </w:t>
      </w:r>
      <w:r>
        <w:t>these</w:t>
      </w:r>
      <w:r>
        <w:rPr>
          <w:spacing w:val="-4"/>
        </w:rPr>
        <w:t xml:space="preserve"> </w:t>
      </w:r>
      <w:r>
        <w:t>confidentiality requirements is any Confidential Information which: (a) is now available to the general public or later become available</w:t>
      </w:r>
      <w:r>
        <w:rPr>
          <w:spacing w:val="-2"/>
        </w:rPr>
        <w:t xml:space="preserve"> </w:t>
      </w:r>
      <w:r>
        <w:t>to the general public without fault of the Respondent, or (b)</w:t>
      </w:r>
      <w:r>
        <w:rPr>
          <w:spacing w:val="-13"/>
        </w:rPr>
        <w:t xml:space="preserve"> </w:t>
      </w:r>
      <w:r>
        <w:t>is hereafter furnished to Respondent by a third party as a matter of right and without restriction of</w:t>
      </w:r>
      <w:r>
        <w:rPr>
          <w:spacing w:val="-4"/>
        </w:rPr>
        <w:t xml:space="preserve"> </w:t>
      </w:r>
      <w:r>
        <w:t>nondisclosure,</w:t>
      </w:r>
      <w:r>
        <w:rPr>
          <w:spacing w:val="-2"/>
        </w:rPr>
        <w:t xml:space="preserve"> </w:t>
      </w:r>
      <w:r>
        <w:t>or</w:t>
      </w:r>
      <w:r>
        <w:rPr>
          <w:spacing w:val="-4"/>
        </w:rPr>
        <w:t xml:space="preserve"> </w:t>
      </w:r>
      <w:r>
        <w:t>(c) is</w:t>
      </w:r>
      <w:r>
        <w:rPr>
          <w:spacing w:val="-3"/>
        </w:rPr>
        <w:t xml:space="preserve"> </w:t>
      </w:r>
      <w:r>
        <w:t>required to</w:t>
      </w:r>
      <w:r>
        <w:rPr>
          <w:spacing w:val="-1"/>
        </w:rPr>
        <w:t xml:space="preserve"> </w:t>
      </w:r>
      <w:r>
        <w:t>be</w:t>
      </w:r>
      <w:r w:rsidR="0079459F">
        <w:t xml:space="preserve"> </w:t>
      </w:r>
      <w:r>
        <w:t>disclosed</w:t>
      </w:r>
      <w:r>
        <w:rPr>
          <w:spacing w:val="-3"/>
        </w:rPr>
        <w:t xml:space="preserve"> </w:t>
      </w:r>
      <w:r>
        <w:t>by</w:t>
      </w:r>
      <w:r>
        <w:rPr>
          <w:spacing w:val="-1"/>
        </w:rPr>
        <w:t xml:space="preserve"> </w:t>
      </w:r>
      <w:r>
        <w:t>legal</w:t>
      </w:r>
      <w:r>
        <w:rPr>
          <w:spacing w:val="-2"/>
        </w:rPr>
        <w:t xml:space="preserve"> </w:t>
      </w:r>
      <w:r>
        <w:t>process</w:t>
      </w:r>
      <w:r>
        <w:rPr>
          <w:spacing w:val="-2"/>
        </w:rPr>
        <w:t xml:space="preserve"> </w:t>
      </w:r>
      <w:r>
        <w:t>or</w:t>
      </w:r>
      <w:r>
        <w:rPr>
          <w:spacing w:val="-4"/>
        </w:rPr>
        <w:t xml:space="preserve"> </w:t>
      </w:r>
      <w:r>
        <w:t>governmental or</w:t>
      </w:r>
      <w:r>
        <w:rPr>
          <w:spacing w:val="-1"/>
        </w:rPr>
        <w:t xml:space="preserve"> </w:t>
      </w:r>
      <w:r>
        <w:t>regulatory authority,</w:t>
      </w:r>
      <w:r>
        <w:rPr>
          <w:spacing w:val="-1"/>
        </w:rPr>
        <w:t xml:space="preserve"> </w:t>
      </w:r>
      <w:r>
        <w:t>or</w:t>
      </w:r>
      <w:r>
        <w:rPr>
          <w:spacing w:val="-4"/>
        </w:rPr>
        <w:t xml:space="preserve"> </w:t>
      </w:r>
      <w:r>
        <w:t>(d) was in</w:t>
      </w:r>
      <w:r>
        <w:rPr>
          <w:spacing w:val="-1"/>
        </w:rPr>
        <w:t xml:space="preserve"> </w:t>
      </w:r>
      <w:r>
        <w:t>the rightful possession of Respondent or was disclosed</w:t>
      </w:r>
      <w:r w:rsidR="0079459F">
        <w:t xml:space="preserve"> </w:t>
      </w:r>
      <w:r>
        <w:t>to Respondent prior to receipt of this RFO without obligation of confidentiality. Notwithstanding the return or destruction of all or any part of the Confidential Information, the terms of this Agreement shall nevertheless</w:t>
      </w:r>
      <w:r>
        <w:rPr>
          <w:spacing w:val="-8"/>
        </w:rPr>
        <w:t xml:space="preserve"> </w:t>
      </w:r>
      <w:r>
        <w:t>remain</w:t>
      </w:r>
      <w:r>
        <w:rPr>
          <w:spacing w:val="-4"/>
        </w:rPr>
        <w:t xml:space="preserve"> </w:t>
      </w:r>
      <w:r>
        <w:t>in</w:t>
      </w:r>
      <w:r>
        <w:rPr>
          <w:spacing w:val="-7"/>
        </w:rPr>
        <w:t xml:space="preserve"> </w:t>
      </w:r>
      <w:r>
        <w:t>full</w:t>
      </w:r>
      <w:r>
        <w:rPr>
          <w:spacing w:val="-8"/>
        </w:rPr>
        <w:t xml:space="preserve"> </w:t>
      </w:r>
      <w:r>
        <w:t>force</w:t>
      </w:r>
      <w:r>
        <w:rPr>
          <w:spacing w:val="-7"/>
        </w:rPr>
        <w:t xml:space="preserve"> </w:t>
      </w:r>
      <w:r>
        <w:t>and</w:t>
      </w:r>
      <w:r>
        <w:rPr>
          <w:spacing w:val="-5"/>
        </w:rPr>
        <w:t xml:space="preserve"> </w:t>
      </w:r>
      <w:r>
        <w:t>effect</w:t>
      </w:r>
      <w:r>
        <w:rPr>
          <w:spacing w:val="-7"/>
        </w:rPr>
        <w:t xml:space="preserve"> </w:t>
      </w:r>
      <w:r>
        <w:t>with</w:t>
      </w:r>
      <w:r>
        <w:rPr>
          <w:spacing w:val="-7"/>
        </w:rPr>
        <w:t xml:space="preserve"> </w:t>
      </w:r>
      <w:r>
        <w:t>respect</w:t>
      </w:r>
      <w:r>
        <w:rPr>
          <w:spacing w:val="-8"/>
        </w:rPr>
        <w:t xml:space="preserve"> </w:t>
      </w:r>
      <w:r>
        <w:t>to</w:t>
      </w:r>
      <w:r>
        <w:rPr>
          <w:spacing w:val="-7"/>
        </w:rPr>
        <w:t xml:space="preserve"> </w:t>
      </w:r>
      <w:r>
        <w:t>specific</w:t>
      </w:r>
      <w:r w:rsidR="0079459F">
        <w:t xml:space="preserve"> </w:t>
      </w:r>
      <w:r>
        <w:t>Confidential Information until the date that is five (5) years after the date of disclosure of such Confidential Information</w:t>
      </w:r>
      <w:r>
        <w:rPr>
          <w:b/>
        </w:rPr>
        <w:t xml:space="preserve">, </w:t>
      </w:r>
      <w:r>
        <w:t>provided, however, that, with respect to GIS Data, the terms of this Agreement shall remain in full force and effect in perpetuity.</w:t>
      </w:r>
    </w:p>
    <w:p w14:paraId="2962C2C5" w14:textId="77777777" w:rsidR="005477C5" w:rsidRDefault="005477C5">
      <w:pPr>
        <w:pStyle w:val="BodyText"/>
        <w:spacing w:before="1"/>
      </w:pPr>
    </w:p>
    <w:p w14:paraId="4CD6B643" w14:textId="130F744A" w:rsidR="005477C5" w:rsidRDefault="00C219C9">
      <w:pPr>
        <w:pStyle w:val="BodyText"/>
        <w:spacing w:before="1"/>
        <w:ind w:left="100" w:right="113"/>
        <w:jc w:val="both"/>
      </w:pPr>
      <w:r>
        <w:t>Respondent hereby acknowledges and understands that all proposals, responses, inquiries, or correspondence relating to or in</w:t>
      </w:r>
      <w:r>
        <w:rPr>
          <w:spacing w:val="40"/>
        </w:rPr>
        <w:t xml:space="preserve"> </w:t>
      </w:r>
      <w:r>
        <w:t>reference</w:t>
      </w:r>
      <w:r>
        <w:rPr>
          <w:spacing w:val="-13"/>
        </w:rPr>
        <w:t xml:space="preserve"> </w:t>
      </w:r>
      <w:r>
        <w:t>to this RFO, and all reports, charts, displays, schedules, exhibits and other documentation produced by Respondents will, when received</w:t>
      </w:r>
      <w:r w:rsidR="0079459F">
        <w:t xml:space="preserve"> </w:t>
      </w:r>
      <w:r>
        <w:t>by Company, become the property of Company and will not be returned to Respondent.</w:t>
      </w:r>
    </w:p>
    <w:p w14:paraId="641B191B" w14:textId="77777777" w:rsidR="005477C5" w:rsidRDefault="005477C5">
      <w:pPr>
        <w:pStyle w:val="BodyText"/>
        <w:spacing w:before="10"/>
        <w:rPr>
          <w:sz w:val="19"/>
        </w:rPr>
      </w:pPr>
    </w:p>
    <w:p w14:paraId="7E9F08CE" w14:textId="77777777" w:rsidR="005477C5" w:rsidRDefault="00C219C9">
      <w:pPr>
        <w:pStyle w:val="BodyText"/>
        <w:spacing w:before="0"/>
        <w:ind w:left="100" w:right="111"/>
        <w:jc w:val="both"/>
      </w:pPr>
      <w:r>
        <w:t>Respondent hereby acknowledges and understands that Company may be required to disclose Respondent’s price quotes provided by Respondent as part of the RFO process as required by subpoena or other legal process or upon request by governmental or regulatory authorities</w:t>
      </w:r>
      <w:r>
        <w:rPr>
          <w:spacing w:val="-7"/>
        </w:rPr>
        <w:t xml:space="preserve"> </w:t>
      </w:r>
      <w:r>
        <w:t>(including</w:t>
      </w:r>
      <w:r>
        <w:rPr>
          <w:spacing w:val="-4"/>
        </w:rPr>
        <w:t xml:space="preserve"> </w:t>
      </w:r>
      <w:r>
        <w:t>their</w:t>
      </w:r>
      <w:r>
        <w:rPr>
          <w:spacing w:val="-5"/>
        </w:rPr>
        <w:t xml:space="preserve"> </w:t>
      </w:r>
      <w:r>
        <w:t>staffs),</w:t>
      </w:r>
      <w:r>
        <w:rPr>
          <w:spacing w:val="-5"/>
        </w:rPr>
        <w:t xml:space="preserve"> </w:t>
      </w:r>
      <w:r>
        <w:t>including</w:t>
      </w:r>
      <w:r>
        <w:rPr>
          <w:spacing w:val="-5"/>
        </w:rPr>
        <w:t xml:space="preserve"> </w:t>
      </w:r>
      <w:r>
        <w:t>but</w:t>
      </w:r>
      <w:r>
        <w:rPr>
          <w:spacing w:val="-8"/>
        </w:rPr>
        <w:t xml:space="preserve"> </w:t>
      </w:r>
      <w:r>
        <w:t>not</w:t>
      </w:r>
      <w:r>
        <w:rPr>
          <w:spacing w:val="-8"/>
        </w:rPr>
        <w:t xml:space="preserve"> </w:t>
      </w:r>
      <w:r>
        <w:t>limited</w:t>
      </w:r>
      <w:r>
        <w:rPr>
          <w:spacing w:val="-5"/>
        </w:rPr>
        <w:t xml:space="preserve"> </w:t>
      </w:r>
      <w:r>
        <w:t>to</w:t>
      </w:r>
      <w:r>
        <w:rPr>
          <w:spacing w:val="-5"/>
        </w:rPr>
        <w:t xml:space="preserve"> </w:t>
      </w:r>
      <w:r>
        <w:t>the</w:t>
      </w:r>
      <w:r>
        <w:rPr>
          <w:spacing w:val="-7"/>
        </w:rPr>
        <w:t xml:space="preserve"> </w:t>
      </w:r>
      <w:r>
        <w:t>California</w:t>
      </w:r>
      <w:r>
        <w:rPr>
          <w:spacing w:val="-6"/>
        </w:rPr>
        <w:t xml:space="preserve"> </w:t>
      </w:r>
      <w:r>
        <w:t>Public</w:t>
      </w:r>
      <w:r>
        <w:rPr>
          <w:spacing w:val="-7"/>
        </w:rPr>
        <w:t xml:space="preserve"> </w:t>
      </w:r>
      <w:r>
        <w:t>Utilities</w:t>
      </w:r>
      <w:r>
        <w:rPr>
          <w:spacing w:val="-6"/>
        </w:rPr>
        <w:t xml:space="preserve"> </w:t>
      </w:r>
      <w:r>
        <w:t>Commission,</w:t>
      </w:r>
      <w:r>
        <w:rPr>
          <w:spacing w:val="-4"/>
        </w:rPr>
        <w:t xml:space="preserve"> </w:t>
      </w:r>
      <w:r>
        <w:t>provided</w:t>
      </w:r>
      <w:r>
        <w:rPr>
          <w:spacing w:val="-4"/>
        </w:rPr>
        <w:t xml:space="preserve"> </w:t>
      </w:r>
      <w:r>
        <w:t>that</w:t>
      </w:r>
      <w:r>
        <w:rPr>
          <w:spacing w:val="-7"/>
        </w:rPr>
        <w:t xml:space="preserve"> </w:t>
      </w:r>
      <w:r>
        <w:t>Company</w:t>
      </w:r>
      <w:r>
        <w:rPr>
          <w:spacing w:val="-6"/>
        </w:rPr>
        <w:t xml:space="preserve"> </w:t>
      </w:r>
      <w:r>
        <w:t>shall seek confidential treatment of such price quotes under California Public Utilities Code Section 583 and California Public Utilities Commission General</w:t>
      </w:r>
      <w:r>
        <w:rPr>
          <w:spacing w:val="-3"/>
        </w:rPr>
        <w:t xml:space="preserve"> </w:t>
      </w:r>
      <w:r>
        <w:t>Order</w:t>
      </w:r>
      <w:r>
        <w:rPr>
          <w:spacing w:val="-1"/>
        </w:rPr>
        <w:t xml:space="preserve"> </w:t>
      </w:r>
      <w:r>
        <w:t>No. 66-C</w:t>
      </w:r>
      <w:r>
        <w:rPr>
          <w:spacing w:val="-2"/>
        </w:rPr>
        <w:t xml:space="preserve"> </w:t>
      </w:r>
      <w:r>
        <w:t>to the</w:t>
      </w:r>
      <w:r>
        <w:rPr>
          <w:spacing w:val="-2"/>
        </w:rPr>
        <w:t xml:space="preserve"> </w:t>
      </w:r>
      <w:r>
        <w:t>extent</w:t>
      </w:r>
      <w:r>
        <w:rPr>
          <w:spacing w:val="-3"/>
        </w:rPr>
        <w:t xml:space="preserve"> </w:t>
      </w:r>
      <w:r>
        <w:t>applicable. Company cannot guarantee</w:t>
      </w:r>
      <w:r>
        <w:rPr>
          <w:spacing w:val="-2"/>
        </w:rPr>
        <w:t xml:space="preserve"> </w:t>
      </w:r>
      <w:r>
        <w:t>that such treatment will</w:t>
      </w:r>
      <w:r>
        <w:rPr>
          <w:spacing w:val="-1"/>
        </w:rPr>
        <w:t xml:space="preserve"> </w:t>
      </w:r>
      <w:r>
        <w:t>be</w:t>
      </w:r>
      <w:r>
        <w:rPr>
          <w:spacing w:val="-3"/>
        </w:rPr>
        <w:t xml:space="preserve"> </w:t>
      </w:r>
      <w:r>
        <w:t>granted but shall use</w:t>
      </w:r>
      <w:r>
        <w:rPr>
          <w:spacing w:val="-7"/>
        </w:rPr>
        <w:t xml:space="preserve"> </w:t>
      </w:r>
      <w:r>
        <w:t>commercially</w:t>
      </w:r>
      <w:r>
        <w:rPr>
          <w:spacing w:val="-5"/>
        </w:rPr>
        <w:t xml:space="preserve"> </w:t>
      </w:r>
      <w:r>
        <w:t>reasonable</w:t>
      </w:r>
      <w:r>
        <w:rPr>
          <w:spacing w:val="-7"/>
        </w:rPr>
        <w:t xml:space="preserve"> </w:t>
      </w:r>
      <w:r>
        <w:t>efforts</w:t>
      </w:r>
      <w:r>
        <w:rPr>
          <w:spacing w:val="-8"/>
        </w:rPr>
        <w:t xml:space="preserve"> </w:t>
      </w:r>
      <w:r>
        <w:t>to</w:t>
      </w:r>
      <w:r>
        <w:rPr>
          <w:spacing w:val="-6"/>
        </w:rPr>
        <w:t xml:space="preserve"> </w:t>
      </w:r>
      <w:r>
        <w:t>obtain</w:t>
      </w:r>
      <w:r>
        <w:rPr>
          <w:spacing w:val="-6"/>
        </w:rPr>
        <w:t xml:space="preserve"> </w:t>
      </w:r>
      <w:r>
        <w:t>it.</w:t>
      </w:r>
      <w:r>
        <w:rPr>
          <w:spacing w:val="-7"/>
        </w:rPr>
        <w:t xml:space="preserve"> </w:t>
      </w:r>
      <w:r>
        <w:t>All</w:t>
      </w:r>
      <w:r>
        <w:rPr>
          <w:spacing w:val="-8"/>
        </w:rPr>
        <w:t xml:space="preserve"> </w:t>
      </w:r>
      <w:r>
        <w:t>other</w:t>
      </w:r>
      <w:r>
        <w:rPr>
          <w:spacing w:val="-4"/>
        </w:rPr>
        <w:t xml:space="preserve"> </w:t>
      </w:r>
      <w:r>
        <w:t>Respondent</w:t>
      </w:r>
      <w:r>
        <w:rPr>
          <w:spacing w:val="-7"/>
        </w:rPr>
        <w:t xml:space="preserve"> </w:t>
      </w:r>
      <w:r>
        <w:t>information</w:t>
      </w:r>
      <w:r>
        <w:rPr>
          <w:spacing w:val="-3"/>
        </w:rPr>
        <w:t xml:space="preserve"> </w:t>
      </w:r>
      <w:r>
        <w:t>shall</w:t>
      </w:r>
      <w:r>
        <w:rPr>
          <w:spacing w:val="-8"/>
        </w:rPr>
        <w:t xml:space="preserve"> </w:t>
      </w:r>
      <w:r>
        <w:t>not</w:t>
      </w:r>
      <w:r>
        <w:rPr>
          <w:spacing w:val="-10"/>
        </w:rPr>
        <w:t xml:space="preserve"> </w:t>
      </w:r>
      <w:r>
        <w:t>be</w:t>
      </w:r>
      <w:r>
        <w:rPr>
          <w:spacing w:val="-5"/>
        </w:rPr>
        <w:t xml:space="preserve"> </w:t>
      </w:r>
      <w:r>
        <w:t>subject</w:t>
      </w:r>
      <w:r>
        <w:rPr>
          <w:spacing w:val="-5"/>
        </w:rPr>
        <w:t xml:space="preserve"> </w:t>
      </w:r>
      <w:r>
        <w:t>to</w:t>
      </w:r>
      <w:r>
        <w:rPr>
          <w:spacing w:val="-6"/>
        </w:rPr>
        <w:t xml:space="preserve"> </w:t>
      </w:r>
      <w:r>
        <w:t>any</w:t>
      </w:r>
      <w:r>
        <w:rPr>
          <w:spacing w:val="-9"/>
        </w:rPr>
        <w:t xml:space="preserve"> </w:t>
      </w:r>
      <w:r>
        <w:t>confidentiality</w:t>
      </w:r>
      <w:r>
        <w:rPr>
          <w:spacing w:val="-4"/>
        </w:rPr>
        <w:t xml:space="preserve"> </w:t>
      </w:r>
      <w:r>
        <w:t>obligation, even if marked to such effect in Respondents’ RFO responses. Respondents should not submit information containing its or any third party’s</w:t>
      </w:r>
      <w:r>
        <w:rPr>
          <w:spacing w:val="-7"/>
        </w:rPr>
        <w:t xml:space="preserve"> </w:t>
      </w:r>
      <w:r>
        <w:t>trade</w:t>
      </w:r>
      <w:r>
        <w:rPr>
          <w:spacing w:val="-7"/>
        </w:rPr>
        <w:t xml:space="preserve"> </w:t>
      </w:r>
      <w:r>
        <w:t>secrets</w:t>
      </w:r>
      <w:r>
        <w:rPr>
          <w:spacing w:val="-8"/>
        </w:rPr>
        <w:t xml:space="preserve"> </w:t>
      </w:r>
      <w:r>
        <w:t>or</w:t>
      </w:r>
      <w:r>
        <w:rPr>
          <w:spacing w:val="-9"/>
        </w:rPr>
        <w:t xml:space="preserve"> </w:t>
      </w:r>
      <w:r>
        <w:t>other</w:t>
      </w:r>
      <w:r>
        <w:rPr>
          <w:spacing w:val="-9"/>
        </w:rPr>
        <w:t xml:space="preserve"> </w:t>
      </w:r>
      <w:r>
        <w:t>proprietary</w:t>
      </w:r>
      <w:r>
        <w:rPr>
          <w:spacing w:val="-10"/>
        </w:rPr>
        <w:t xml:space="preserve"> </w:t>
      </w:r>
      <w:r>
        <w:t>or</w:t>
      </w:r>
      <w:r>
        <w:rPr>
          <w:spacing w:val="-7"/>
        </w:rPr>
        <w:t xml:space="preserve"> </w:t>
      </w:r>
      <w:r>
        <w:t>confidential</w:t>
      </w:r>
      <w:r>
        <w:rPr>
          <w:spacing w:val="-7"/>
        </w:rPr>
        <w:t xml:space="preserve"> </w:t>
      </w:r>
      <w:r>
        <w:t>information</w:t>
      </w:r>
      <w:r>
        <w:rPr>
          <w:spacing w:val="-6"/>
        </w:rPr>
        <w:t xml:space="preserve"> </w:t>
      </w:r>
      <w:r>
        <w:t>(as</w:t>
      </w:r>
      <w:r>
        <w:rPr>
          <w:spacing w:val="-10"/>
        </w:rPr>
        <w:t xml:space="preserve"> </w:t>
      </w:r>
      <w:r>
        <w:t>defined</w:t>
      </w:r>
      <w:r>
        <w:rPr>
          <w:spacing w:val="-6"/>
        </w:rPr>
        <w:t xml:space="preserve"> </w:t>
      </w:r>
      <w:r>
        <w:t>in</w:t>
      </w:r>
      <w:r>
        <w:rPr>
          <w:spacing w:val="-7"/>
        </w:rPr>
        <w:t xml:space="preserve"> </w:t>
      </w:r>
      <w:r>
        <w:t>California’s</w:t>
      </w:r>
      <w:r>
        <w:rPr>
          <w:spacing w:val="-8"/>
        </w:rPr>
        <w:t xml:space="preserve"> </w:t>
      </w:r>
      <w:r>
        <w:t>Uniform</w:t>
      </w:r>
      <w:r>
        <w:rPr>
          <w:spacing w:val="-8"/>
        </w:rPr>
        <w:t xml:space="preserve"> </w:t>
      </w:r>
      <w:r>
        <w:t>Trade</w:t>
      </w:r>
      <w:r>
        <w:rPr>
          <w:spacing w:val="-9"/>
        </w:rPr>
        <w:t xml:space="preserve"> </w:t>
      </w:r>
      <w:r>
        <w:t>Secrets</w:t>
      </w:r>
      <w:r>
        <w:rPr>
          <w:spacing w:val="-8"/>
        </w:rPr>
        <w:t xml:space="preserve"> </w:t>
      </w:r>
      <w:r>
        <w:t>Act</w:t>
      </w:r>
      <w:r>
        <w:rPr>
          <w:spacing w:val="-8"/>
        </w:rPr>
        <w:t xml:space="preserve"> </w:t>
      </w:r>
      <w:r>
        <w:t>or</w:t>
      </w:r>
      <w:r>
        <w:rPr>
          <w:spacing w:val="-7"/>
        </w:rPr>
        <w:t xml:space="preserve"> </w:t>
      </w:r>
      <w:r>
        <w:t>otherwise) (“Trade Secrets”). Company may enter into mutual nondisclosure agreements with Respondents selected for further participation in transactions</w:t>
      </w:r>
      <w:r>
        <w:rPr>
          <w:spacing w:val="-5"/>
        </w:rPr>
        <w:t xml:space="preserve"> </w:t>
      </w:r>
      <w:r>
        <w:t>that</w:t>
      </w:r>
      <w:r>
        <w:rPr>
          <w:spacing w:val="-5"/>
        </w:rPr>
        <w:t xml:space="preserve"> </w:t>
      </w:r>
      <w:r>
        <w:t>are</w:t>
      </w:r>
      <w:r>
        <w:rPr>
          <w:spacing w:val="-5"/>
        </w:rPr>
        <w:t xml:space="preserve"> </w:t>
      </w:r>
      <w:r>
        <w:t>the</w:t>
      </w:r>
      <w:r>
        <w:rPr>
          <w:spacing w:val="-5"/>
        </w:rPr>
        <w:t xml:space="preserve"> </w:t>
      </w:r>
      <w:r>
        <w:t>subject</w:t>
      </w:r>
      <w:r>
        <w:rPr>
          <w:spacing w:val="-5"/>
        </w:rPr>
        <w:t xml:space="preserve"> </w:t>
      </w:r>
      <w:r>
        <w:t>matter</w:t>
      </w:r>
      <w:r>
        <w:rPr>
          <w:spacing w:val="-3"/>
        </w:rPr>
        <w:t xml:space="preserve"> </w:t>
      </w:r>
      <w:r>
        <w:t>of</w:t>
      </w:r>
      <w:r>
        <w:rPr>
          <w:spacing w:val="-7"/>
        </w:rPr>
        <w:t xml:space="preserve"> </w:t>
      </w:r>
      <w:r>
        <w:t>this</w:t>
      </w:r>
      <w:r>
        <w:rPr>
          <w:spacing w:val="-6"/>
        </w:rPr>
        <w:t xml:space="preserve"> </w:t>
      </w:r>
      <w:r>
        <w:t>RFO,</w:t>
      </w:r>
      <w:r>
        <w:rPr>
          <w:spacing w:val="-8"/>
        </w:rPr>
        <w:t xml:space="preserve"> </w:t>
      </w:r>
      <w:r>
        <w:t>but</w:t>
      </w:r>
      <w:r>
        <w:rPr>
          <w:spacing w:val="-6"/>
        </w:rPr>
        <w:t xml:space="preserve"> </w:t>
      </w:r>
      <w:r>
        <w:t>Company</w:t>
      </w:r>
      <w:r>
        <w:rPr>
          <w:spacing w:val="-6"/>
        </w:rPr>
        <w:t xml:space="preserve"> </w:t>
      </w:r>
      <w:r>
        <w:t>is</w:t>
      </w:r>
      <w:r>
        <w:rPr>
          <w:spacing w:val="-6"/>
        </w:rPr>
        <w:t xml:space="preserve"> </w:t>
      </w:r>
      <w:r>
        <w:t>not</w:t>
      </w:r>
      <w:r>
        <w:rPr>
          <w:spacing w:val="-5"/>
        </w:rPr>
        <w:t xml:space="preserve"> </w:t>
      </w:r>
      <w:r>
        <w:t>agreeing</w:t>
      </w:r>
      <w:r>
        <w:rPr>
          <w:spacing w:val="-6"/>
        </w:rPr>
        <w:t xml:space="preserve"> </w:t>
      </w:r>
      <w:r>
        <w:t>to</w:t>
      </w:r>
      <w:r>
        <w:rPr>
          <w:spacing w:val="-7"/>
        </w:rPr>
        <w:t xml:space="preserve"> </w:t>
      </w:r>
      <w:r>
        <w:t>such</w:t>
      </w:r>
      <w:r>
        <w:rPr>
          <w:spacing w:val="-6"/>
        </w:rPr>
        <w:t xml:space="preserve"> </w:t>
      </w:r>
      <w:r>
        <w:t>an</w:t>
      </w:r>
      <w:r>
        <w:rPr>
          <w:spacing w:val="-7"/>
        </w:rPr>
        <w:t xml:space="preserve"> </w:t>
      </w:r>
      <w:r>
        <w:t>arrangement</w:t>
      </w:r>
      <w:r>
        <w:rPr>
          <w:spacing w:val="-6"/>
        </w:rPr>
        <w:t xml:space="preserve"> </w:t>
      </w:r>
      <w:r>
        <w:t>at</w:t>
      </w:r>
      <w:r>
        <w:rPr>
          <w:spacing w:val="-8"/>
        </w:rPr>
        <w:t xml:space="preserve"> </w:t>
      </w:r>
      <w:r>
        <w:t>this</w:t>
      </w:r>
      <w:r>
        <w:rPr>
          <w:spacing w:val="-6"/>
        </w:rPr>
        <w:t xml:space="preserve"> </w:t>
      </w:r>
      <w:r>
        <w:t>time.</w:t>
      </w:r>
      <w:r>
        <w:rPr>
          <w:spacing w:val="-4"/>
        </w:rPr>
        <w:t xml:space="preserve"> </w:t>
      </w:r>
      <w:r>
        <w:t>By</w:t>
      </w:r>
      <w:r>
        <w:rPr>
          <w:spacing w:val="-7"/>
        </w:rPr>
        <w:t xml:space="preserve"> </w:t>
      </w:r>
      <w:r>
        <w:t>signing</w:t>
      </w:r>
      <w:r>
        <w:rPr>
          <w:spacing w:val="-6"/>
        </w:rPr>
        <w:t xml:space="preserve"> </w:t>
      </w:r>
      <w:r>
        <w:t>below, Respondent represents that all information submitted to Company as part of the RFO is not a Trade Secret of Respondent or any third party.</w:t>
      </w:r>
      <w:r>
        <w:rPr>
          <w:spacing w:val="-4"/>
        </w:rPr>
        <w:t xml:space="preserve"> </w:t>
      </w:r>
      <w:r>
        <w:t>This</w:t>
      </w:r>
      <w:r>
        <w:rPr>
          <w:spacing w:val="-6"/>
        </w:rPr>
        <w:t xml:space="preserve"> </w:t>
      </w:r>
      <w:r>
        <w:t>Agreement</w:t>
      </w:r>
      <w:r>
        <w:rPr>
          <w:spacing w:val="-3"/>
        </w:rPr>
        <w:t xml:space="preserve"> </w:t>
      </w:r>
      <w:r>
        <w:t>shall</w:t>
      </w:r>
      <w:r>
        <w:rPr>
          <w:spacing w:val="-5"/>
        </w:rPr>
        <w:t xml:space="preserve"> </w:t>
      </w:r>
      <w:r>
        <w:t>supersede</w:t>
      </w:r>
      <w:r>
        <w:rPr>
          <w:spacing w:val="-2"/>
        </w:rPr>
        <w:t xml:space="preserve"> </w:t>
      </w:r>
      <w:r>
        <w:t>any</w:t>
      </w:r>
      <w:r>
        <w:rPr>
          <w:spacing w:val="-4"/>
        </w:rPr>
        <w:t xml:space="preserve"> </w:t>
      </w:r>
      <w:r>
        <w:t>existing</w:t>
      </w:r>
      <w:r>
        <w:rPr>
          <w:spacing w:val="-4"/>
        </w:rPr>
        <w:t xml:space="preserve"> </w:t>
      </w:r>
      <w:r>
        <w:t>nondisclosure</w:t>
      </w:r>
      <w:r>
        <w:rPr>
          <w:spacing w:val="-7"/>
        </w:rPr>
        <w:t xml:space="preserve"> </w:t>
      </w:r>
      <w:r>
        <w:t>or</w:t>
      </w:r>
      <w:r>
        <w:rPr>
          <w:spacing w:val="-2"/>
        </w:rPr>
        <w:t xml:space="preserve"> </w:t>
      </w:r>
      <w:r>
        <w:t>confidentiality</w:t>
      </w:r>
      <w:r>
        <w:rPr>
          <w:spacing w:val="-4"/>
        </w:rPr>
        <w:t xml:space="preserve"> </w:t>
      </w:r>
      <w:r>
        <w:t>agreement</w:t>
      </w:r>
      <w:r>
        <w:rPr>
          <w:spacing w:val="-5"/>
        </w:rPr>
        <w:t xml:space="preserve"> </w:t>
      </w:r>
      <w:r>
        <w:t>or</w:t>
      </w:r>
      <w:r>
        <w:rPr>
          <w:spacing w:val="-5"/>
        </w:rPr>
        <w:t xml:space="preserve"> </w:t>
      </w:r>
      <w:r>
        <w:t>arrangement</w:t>
      </w:r>
      <w:r>
        <w:rPr>
          <w:spacing w:val="-6"/>
        </w:rPr>
        <w:t xml:space="preserve"> </w:t>
      </w:r>
      <w:r>
        <w:t>between</w:t>
      </w:r>
      <w:r>
        <w:rPr>
          <w:spacing w:val="-2"/>
        </w:rPr>
        <w:t xml:space="preserve"> </w:t>
      </w:r>
      <w:r>
        <w:t>the</w:t>
      </w:r>
      <w:r>
        <w:rPr>
          <w:spacing w:val="-5"/>
        </w:rPr>
        <w:t xml:space="preserve"> </w:t>
      </w:r>
      <w:r>
        <w:t>parties</w:t>
      </w:r>
      <w:r>
        <w:rPr>
          <w:spacing w:val="-6"/>
        </w:rPr>
        <w:t xml:space="preserve"> </w:t>
      </w:r>
      <w:r>
        <w:t>with respect to the subject matter of the RFO.</w:t>
      </w:r>
    </w:p>
    <w:p w14:paraId="3621CB89" w14:textId="77777777" w:rsidR="005477C5" w:rsidRDefault="005477C5">
      <w:pPr>
        <w:pStyle w:val="BodyText"/>
        <w:spacing w:before="2"/>
      </w:pPr>
    </w:p>
    <w:p w14:paraId="498A149F" w14:textId="77777777" w:rsidR="005477C5" w:rsidRDefault="00C219C9">
      <w:pPr>
        <w:pStyle w:val="BodyText"/>
        <w:spacing w:before="0"/>
        <w:ind w:left="100"/>
        <w:jc w:val="both"/>
      </w:pPr>
      <w:r>
        <w:t>IN</w:t>
      </w:r>
      <w:r>
        <w:rPr>
          <w:spacing w:val="-13"/>
        </w:rPr>
        <w:t xml:space="preserve"> </w:t>
      </w:r>
      <w:r>
        <w:t>WITNESS</w:t>
      </w:r>
      <w:r>
        <w:rPr>
          <w:spacing w:val="-11"/>
        </w:rPr>
        <w:t xml:space="preserve"> </w:t>
      </w:r>
      <w:r>
        <w:t>WHEREOF,</w:t>
      </w:r>
      <w:r>
        <w:rPr>
          <w:spacing w:val="-9"/>
        </w:rPr>
        <w:t xml:space="preserve"> </w:t>
      </w:r>
      <w:r>
        <w:t>the</w:t>
      </w:r>
      <w:r>
        <w:rPr>
          <w:spacing w:val="-11"/>
        </w:rPr>
        <w:t xml:space="preserve"> </w:t>
      </w:r>
      <w:r>
        <w:t>parties</w:t>
      </w:r>
      <w:r>
        <w:rPr>
          <w:spacing w:val="-11"/>
        </w:rPr>
        <w:t xml:space="preserve"> </w:t>
      </w:r>
      <w:r>
        <w:t>acknowledge</w:t>
      </w:r>
      <w:r>
        <w:rPr>
          <w:spacing w:val="-11"/>
        </w:rPr>
        <w:t xml:space="preserve"> </w:t>
      </w:r>
      <w:r>
        <w:t>and</w:t>
      </w:r>
      <w:r>
        <w:rPr>
          <w:spacing w:val="-10"/>
        </w:rPr>
        <w:t xml:space="preserve"> </w:t>
      </w:r>
      <w:r>
        <w:t>agree</w:t>
      </w:r>
      <w:r>
        <w:rPr>
          <w:spacing w:val="-11"/>
        </w:rPr>
        <w:t xml:space="preserve"> </w:t>
      </w:r>
      <w:r>
        <w:t>to</w:t>
      </w:r>
      <w:r>
        <w:rPr>
          <w:spacing w:val="-10"/>
        </w:rPr>
        <w:t xml:space="preserve"> </w:t>
      </w:r>
      <w:r>
        <w:t>all</w:t>
      </w:r>
      <w:r>
        <w:rPr>
          <w:spacing w:val="-12"/>
        </w:rPr>
        <w:t xml:space="preserve"> </w:t>
      </w:r>
      <w:r>
        <w:t>terms</w:t>
      </w:r>
      <w:r>
        <w:rPr>
          <w:spacing w:val="-11"/>
        </w:rPr>
        <w:t xml:space="preserve"> </w:t>
      </w:r>
      <w:r>
        <w:t>and</w:t>
      </w:r>
      <w:r>
        <w:rPr>
          <w:spacing w:val="-9"/>
        </w:rPr>
        <w:t xml:space="preserve"> </w:t>
      </w:r>
      <w:r>
        <w:t>conditions</w:t>
      </w:r>
      <w:r>
        <w:rPr>
          <w:spacing w:val="-12"/>
        </w:rPr>
        <w:t xml:space="preserve"> </w:t>
      </w:r>
      <w:r>
        <w:t>of</w:t>
      </w:r>
      <w:r>
        <w:rPr>
          <w:spacing w:val="-10"/>
        </w:rPr>
        <w:t xml:space="preserve"> </w:t>
      </w:r>
      <w:r>
        <w:t>this</w:t>
      </w:r>
      <w:r>
        <w:rPr>
          <w:spacing w:val="-13"/>
        </w:rPr>
        <w:t xml:space="preserve"> </w:t>
      </w:r>
      <w:r>
        <w:t>Confidentiality</w:t>
      </w:r>
      <w:r>
        <w:rPr>
          <w:spacing w:val="-7"/>
        </w:rPr>
        <w:t xml:space="preserve"> </w:t>
      </w:r>
      <w:r>
        <w:t>Notice</w:t>
      </w:r>
      <w:r>
        <w:rPr>
          <w:spacing w:val="-13"/>
        </w:rPr>
        <w:t xml:space="preserve"> </w:t>
      </w:r>
      <w:r>
        <w:t>and</w:t>
      </w:r>
      <w:r>
        <w:rPr>
          <w:spacing w:val="-10"/>
        </w:rPr>
        <w:t xml:space="preserve"> </w:t>
      </w:r>
      <w:r>
        <w:rPr>
          <w:spacing w:val="-2"/>
        </w:rPr>
        <w:t>Agreement.</w:t>
      </w:r>
    </w:p>
    <w:p w14:paraId="5145E709" w14:textId="77777777" w:rsidR="005477C5" w:rsidRDefault="005477C5">
      <w:pPr>
        <w:pStyle w:val="BodyText"/>
        <w:spacing w:before="0"/>
        <w:rPr>
          <w:sz w:val="22"/>
        </w:rPr>
      </w:pPr>
    </w:p>
    <w:p w14:paraId="01BD24DB" w14:textId="77777777" w:rsidR="005477C5" w:rsidRDefault="005477C5">
      <w:pPr>
        <w:pStyle w:val="BodyText"/>
        <w:spacing w:before="11"/>
        <w:rPr>
          <w:sz w:val="17"/>
        </w:rPr>
      </w:pPr>
    </w:p>
    <w:p w14:paraId="503B9E34" w14:textId="77777777" w:rsidR="005477C5" w:rsidRDefault="00C219C9">
      <w:pPr>
        <w:tabs>
          <w:tab w:val="left" w:pos="4316"/>
          <w:tab w:val="left" w:pos="5140"/>
        </w:tabs>
        <w:ind w:left="100"/>
        <w:jc w:val="both"/>
        <w:rPr>
          <w:b/>
          <w:sz w:val="20"/>
        </w:rPr>
      </w:pPr>
      <w:r>
        <w:rPr>
          <w:b/>
          <w:spacing w:val="-2"/>
          <w:sz w:val="20"/>
        </w:rPr>
        <w:t>Respondent:</w:t>
      </w:r>
      <w:r>
        <w:rPr>
          <w:b/>
          <w:sz w:val="20"/>
          <w:u w:val="single"/>
        </w:rPr>
        <w:tab/>
      </w:r>
      <w:r>
        <w:rPr>
          <w:b/>
          <w:sz w:val="20"/>
        </w:rPr>
        <w:tab/>
      </w:r>
      <w:r>
        <w:rPr>
          <w:b/>
          <w:spacing w:val="-2"/>
          <w:sz w:val="20"/>
        </w:rPr>
        <w:t>SDG&amp;E</w:t>
      </w:r>
    </w:p>
    <w:p w14:paraId="1A311706" w14:textId="77777777" w:rsidR="005477C5" w:rsidRDefault="005477C5">
      <w:pPr>
        <w:pStyle w:val="BodyText"/>
        <w:spacing w:before="2"/>
        <w:rPr>
          <w:b/>
          <w:sz w:val="12"/>
        </w:rPr>
      </w:pPr>
    </w:p>
    <w:p w14:paraId="684CFB66" w14:textId="77777777" w:rsidR="005477C5" w:rsidRDefault="00C219C9">
      <w:pPr>
        <w:pStyle w:val="BodyText"/>
        <w:tabs>
          <w:tab w:val="left" w:pos="3928"/>
          <w:tab w:val="left" w:pos="5140"/>
          <w:tab w:val="left" w:pos="8971"/>
        </w:tabs>
        <w:ind w:left="100"/>
      </w:pPr>
      <w:r>
        <w:rPr>
          <w:spacing w:val="-5"/>
        </w:rPr>
        <w:t>By:</w:t>
      </w:r>
      <w:r>
        <w:rPr>
          <w:u w:val="single"/>
        </w:rPr>
        <w:tab/>
      </w:r>
      <w:r>
        <w:tab/>
        <w:t xml:space="preserve">By: </w:t>
      </w:r>
      <w:r>
        <w:rPr>
          <w:u w:val="single"/>
        </w:rPr>
        <w:tab/>
      </w:r>
    </w:p>
    <w:p w14:paraId="6C555710" w14:textId="77777777" w:rsidR="005477C5" w:rsidRDefault="005477C5">
      <w:pPr>
        <w:pStyle w:val="BodyText"/>
        <w:spacing w:before="10"/>
        <w:rPr>
          <w:sz w:val="11"/>
        </w:rPr>
      </w:pPr>
    </w:p>
    <w:p w14:paraId="20F9E6F1" w14:textId="77777777" w:rsidR="005477C5" w:rsidRDefault="00C219C9">
      <w:pPr>
        <w:pStyle w:val="BodyText"/>
        <w:tabs>
          <w:tab w:val="left" w:pos="3973"/>
          <w:tab w:val="left" w:pos="5140"/>
          <w:tab w:val="left" w:pos="9014"/>
        </w:tabs>
        <w:ind w:left="100"/>
      </w:pPr>
      <w:r>
        <w:rPr>
          <w:spacing w:val="-4"/>
        </w:rPr>
        <w:t>Name:</w:t>
      </w:r>
      <w:r>
        <w:rPr>
          <w:u w:val="single"/>
        </w:rPr>
        <w:tab/>
      </w:r>
      <w:r>
        <w:tab/>
        <w:t xml:space="preserve">Name: </w:t>
      </w:r>
      <w:r>
        <w:rPr>
          <w:u w:val="single"/>
        </w:rPr>
        <w:tab/>
      </w:r>
    </w:p>
    <w:p w14:paraId="2E1D7535" w14:textId="77777777" w:rsidR="005477C5" w:rsidRDefault="005477C5">
      <w:pPr>
        <w:pStyle w:val="BodyText"/>
        <w:spacing w:before="2"/>
        <w:rPr>
          <w:sz w:val="12"/>
        </w:rPr>
      </w:pPr>
    </w:p>
    <w:p w14:paraId="3B263AEF" w14:textId="77777777" w:rsidR="005477C5" w:rsidRDefault="00C219C9">
      <w:pPr>
        <w:pStyle w:val="BodyText"/>
        <w:tabs>
          <w:tab w:val="left" w:pos="3973"/>
          <w:tab w:val="left" w:pos="5140"/>
          <w:tab w:val="left" w:pos="9017"/>
        </w:tabs>
        <w:ind w:left="100"/>
      </w:pPr>
      <w:r>
        <w:rPr>
          <w:spacing w:val="-2"/>
        </w:rPr>
        <w:t>Title:</w:t>
      </w:r>
      <w:r>
        <w:rPr>
          <w:u w:val="single"/>
        </w:rPr>
        <w:tab/>
      </w:r>
      <w:r>
        <w:tab/>
        <w:t xml:space="preserve">Title: </w:t>
      </w:r>
      <w:r>
        <w:rPr>
          <w:u w:val="single"/>
        </w:rPr>
        <w:tab/>
      </w:r>
    </w:p>
    <w:p w14:paraId="44AFC402" w14:textId="77777777" w:rsidR="005477C5" w:rsidRDefault="005477C5">
      <w:pPr>
        <w:pStyle w:val="BodyText"/>
        <w:spacing w:before="2"/>
        <w:rPr>
          <w:sz w:val="12"/>
        </w:rPr>
      </w:pPr>
    </w:p>
    <w:p w14:paraId="25FF4AC2" w14:textId="77777777" w:rsidR="005477C5" w:rsidRDefault="00C219C9">
      <w:pPr>
        <w:pStyle w:val="BodyText"/>
        <w:tabs>
          <w:tab w:val="left" w:pos="4024"/>
          <w:tab w:val="left" w:pos="5140"/>
          <w:tab w:val="left" w:pos="9014"/>
        </w:tabs>
        <w:ind w:left="150"/>
      </w:pPr>
      <w:r>
        <w:rPr>
          <w:spacing w:val="-2"/>
        </w:rPr>
        <w:t>Date:</w:t>
      </w:r>
      <w:r>
        <w:rPr>
          <w:u w:val="single"/>
        </w:rPr>
        <w:tab/>
      </w:r>
      <w:r>
        <w:tab/>
        <w:t xml:space="preserve">Date: </w:t>
      </w:r>
      <w:r>
        <w:rPr>
          <w:u w:val="single"/>
        </w:rPr>
        <w:tab/>
      </w:r>
    </w:p>
    <w:sectPr w:rsidR="005477C5">
      <w:type w:val="continuous"/>
      <w:pgSz w:w="12240" w:h="15840"/>
      <w:pgMar w:top="64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477C5"/>
    <w:rsid w:val="00170A3C"/>
    <w:rsid w:val="005477C5"/>
    <w:rsid w:val="00653E2C"/>
    <w:rsid w:val="0079459F"/>
    <w:rsid w:val="009B7515"/>
    <w:rsid w:val="00C21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56ECB"/>
  <w15:docId w15:val="{645BD6D4-4E20-40FC-A94C-C9E945324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1"/>
    </w:pPr>
    <w:rPr>
      <w:sz w:val="20"/>
      <w:szCs w:val="20"/>
    </w:rPr>
  </w:style>
  <w:style w:type="paragraph" w:styleId="Title">
    <w:name w:val="Title"/>
    <w:basedOn w:val="Normal"/>
    <w:uiPriority w:val="10"/>
    <w:qFormat/>
    <w:pPr>
      <w:spacing w:before="78"/>
      <w:ind w:left="3133" w:right="3150"/>
      <w:jc w:val="center"/>
    </w:pPr>
    <w:rPr>
      <w:b/>
      <w:bCs/>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efbac0-be1b-4e89-a255-b18d7ae9ae09" xsi:nil="true"/>
    <lcf76f155ced4ddcb4097134ff3c332f xmlns="aa9cc406-db40-4349-9e9d-431f3b1088f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02C73817DF8E43B2485FC82CF47068" ma:contentTypeVersion="13" ma:contentTypeDescription="Create a new document." ma:contentTypeScope="" ma:versionID="2a570356bee590c05436c3eb7c5f4816">
  <xsd:schema xmlns:xsd="http://www.w3.org/2001/XMLSchema" xmlns:xs="http://www.w3.org/2001/XMLSchema" xmlns:p="http://schemas.microsoft.com/office/2006/metadata/properties" xmlns:ns2="aa9cc406-db40-4349-9e9d-431f3b1088fa" xmlns:ns3="d5efbac0-be1b-4e89-a255-b18d7ae9ae09" targetNamespace="http://schemas.microsoft.com/office/2006/metadata/properties" ma:root="true" ma:fieldsID="dacf6916a3ac5e9abe6c439f0a0b8df6" ns2:_="" ns3:_="">
    <xsd:import namespace="aa9cc406-db40-4349-9e9d-431f3b1088fa"/>
    <xsd:import namespace="d5efbac0-be1b-4e89-a255-b18d7ae9ae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cc406-db40-4349-9e9d-431f3b1088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99c8f0f-62e3-48c7-84e8-4daf5ce6c20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efbac0-be1b-4e89-a255-b18d7ae9ae0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5e25415-9409-45b8-9839-62523fde37db}" ma:internalName="TaxCatchAll" ma:showField="CatchAllData" ma:web="d5efbac0-be1b-4e89-a255-b18d7ae9ae0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87D208-4E74-44A4-BA20-D91575D018B1}">
  <ds:schemaRefs>
    <ds:schemaRef ds:uri="http://schemas.microsoft.com/office/2006/metadata/properties"/>
    <ds:schemaRef ds:uri="http://schemas.microsoft.com/office/infopath/2007/PartnerControls"/>
    <ds:schemaRef ds:uri="d5efbac0-be1b-4e89-a255-b18d7ae9ae09"/>
    <ds:schemaRef ds:uri="aa9cc406-db40-4349-9e9d-431f3b1088fa"/>
  </ds:schemaRefs>
</ds:datastoreItem>
</file>

<file path=customXml/itemProps2.xml><?xml version="1.0" encoding="utf-8"?>
<ds:datastoreItem xmlns:ds="http://schemas.openxmlformats.org/officeDocument/2006/customXml" ds:itemID="{542785BB-A8DD-4447-916F-89AE4D84E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cc406-db40-4349-9e9d-431f3b1088fa"/>
    <ds:schemaRef ds:uri="d5efbac0-be1b-4e89-a255-b18d7ae9a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CC2DEA-F2F2-4952-9AA8-2D2EE7EBC1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757</Words>
  <Characters>4533</Characters>
  <Application>Microsoft Office Word</Application>
  <DocSecurity>0</DocSecurity>
  <Lines>56</Lines>
  <Paragraphs>11</Paragraphs>
  <ScaleCrop>false</ScaleCrop>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 McDaniel</dc:creator>
  <cp:lastModifiedBy>Chasse, Josh M - E&amp;FP</cp:lastModifiedBy>
  <cp:revision>6</cp:revision>
  <dcterms:created xsi:type="dcterms:W3CDTF">2023-04-26T21:19:00Z</dcterms:created>
  <dcterms:modified xsi:type="dcterms:W3CDTF">2025-11-21T17:45:00Z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2021-07-12T00:00:00Z</vt:filetime>
  </property>
  <property fmtid="{D5CDD505-2E9C-101B-9397-08002B2CF9AE}" pid="3" name="Creator">
    <vt:lpwstr>Microsoft® Word for Microsoft 365</vt:lpwstr>
  </property>
  <property fmtid="{D5CDD505-2E9C-101B-9397-08002B2CF9AE}" pid="4" name="LastSaved">
    <vt:filetime>2023-04-26T00:00:00Z</vt:filetime>
  </property>
  <property fmtid="{D5CDD505-2E9C-101B-9397-08002B2CF9AE}" pid="5" name="Producer">
    <vt:lpwstr>Microsoft® Word for Microsoft 365</vt:lpwstr>
  </property>
  <property fmtid="{D5CDD505-2E9C-101B-9397-08002B2CF9AE}" pid="6" name="ContentTypeId">
    <vt:lpwstr>0x0101003202C73817DF8E43B2485FC82CF47068</vt:lpwstr>
  </property>
  <property fmtid="{D5CDD505-2E9C-101B-9397-08002B2CF9AE}" pid="7" name="Order">
    <vt:r8>1707300</vt:r8>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MediaServiceImageTags">
    <vt:lpwstr/>
  </property>
</Properties>
</file>